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i/>
          <w:outline/>
          <w:color w:val="FF0000"/>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ascii="华文中宋" w:hAnsi="华文中宋" w:eastAsia="华文中宋"/>
          <w:i/>
          <w:outline/>
          <w:color w:val="FF0000"/>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让日本专家手把手教你装配式构造设计与施工技术！</w:t>
      </w:r>
    </w:p>
    <w:p>
      <w:pPr>
        <w:jc w:val="center"/>
        <w:rPr>
          <w:rFonts w:ascii="华文中宋" w:hAnsi="华文中宋" w:eastAsia="华文中宋"/>
          <w:i/>
          <w:sz w:val="36"/>
          <w:szCs w:val="36"/>
        </w:rPr>
      </w:pPr>
      <w:r>
        <w:rPr>
          <w:rFonts w:ascii="华文中宋" w:hAnsi="华文中宋" w:eastAsia="华文中宋"/>
          <w:i/>
          <w:sz w:val="36"/>
          <w:szCs w:val="36"/>
        </w:rPr>
        <mc:AlternateContent>
          <mc:Choice Requires="wps">
            <w:drawing>
              <wp:anchor distT="0" distB="0" distL="114300" distR="114300" simplePos="0" relativeHeight="251658240" behindDoc="0" locked="0" layoutInCell="1" allowOverlap="1">
                <wp:simplePos x="0" y="0"/>
                <wp:positionH relativeFrom="column">
                  <wp:posOffset>-727710</wp:posOffset>
                </wp:positionH>
                <wp:positionV relativeFrom="paragraph">
                  <wp:posOffset>141605</wp:posOffset>
                </wp:positionV>
                <wp:extent cx="7576820" cy="1170305"/>
                <wp:effectExtent l="0" t="0" r="5080" b="10795"/>
                <wp:wrapNone/>
                <wp:docPr id="2" name="文本框 2"/>
                <wp:cNvGraphicFramePr/>
                <a:graphic xmlns:a="http://schemas.openxmlformats.org/drawingml/2006/main">
                  <a:graphicData uri="http://schemas.microsoft.com/office/word/2010/wordprocessingShape">
                    <wps:wsp>
                      <wps:cNvSpPr txBox="1"/>
                      <wps:spPr>
                        <a:xfrm>
                          <a:off x="0" y="0"/>
                          <a:ext cx="7576820" cy="1170305"/>
                        </a:xfrm>
                        <a:prstGeom prst="rect">
                          <a:avLst/>
                        </a:prstGeom>
                        <a:solidFill>
                          <a:schemeClr val="tx2">
                            <a:lumMod val="60000"/>
                            <a:lumOff val="40000"/>
                          </a:schemeClr>
                        </a:solidFill>
                        <a:ln w="9525">
                          <a:noFill/>
                        </a:ln>
                      </wps:spPr>
                      <wps:txbx>
                        <w:txbxContent>
                          <w:p>
                            <w:pPr>
                              <w:adjustRightInd w:val="0"/>
                              <w:snapToGrid w:val="0"/>
                              <w:jc w:val="center"/>
                              <w:rPr>
                                <w:rFonts w:ascii="华文中宋" w:hAnsi="华文中宋" w:eastAsia="华文中宋"/>
                                <w:b/>
                                <w:color w:val="FFFFFF" w:themeColor="background1"/>
                                <w:sz w:val="48"/>
                                <w:szCs w:val="48"/>
                                <w14:textFill>
                                  <w14:solidFill>
                                    <w14:schemeClr w14:val="bg1"/>
                                  </w14:solidFill>
                                </w14:textFill>
                              </w:rPr>
                            </w:pPr>
                            <w:r>
                              <w:rPr>
                                <w:rFonts w:hint="eastAsia" w:ascii="华文中宋" w:hAnsi="华文中宋" w:eastAsia="华文中宋"/>
                                <w:b/>
                                <w:color w:val="FFFFFF" w:themeColor="background1"/>
                                <w:sz w:val="48"/>
                                <w:szCs w:val="48"/>
                                <w14:textFill>
                                  <w14:solidFill>
                                    <w14:schemeClr w14:val="bg1"/>
                                  </w14:solidFill>
                                </w14:textFill>
                              </w:rPr>
                              <w:t>装配式房地产项目</w:t>
                            </w:r>
                          </w:p>
                          <w:p>
                            <w:pPr>
                              <w:adjustRightInd w:val="0"/>
                              <w:snapToGrid w:val="0"/>
                              <w:jc w:val="center"/>
                              <w:rPr>
                                <w:rFonts w:ascii="华文中宋" w:hAnsi="华文中宋" w:eastAsia="华文中宋"/>
                                <w:b/>
                                <w:color w:val="FFFFFF" w:themeColor="background1"/>
                                <w:sz w:val="48"/>
                                <w:szCs w:val="48"/>
                                <w14:textFill>
                                  <w14:solidFill>
                                    <w14:schemeClr w14:val="bg1"/>
                                  </w14:solidFill>
                                </w14:textFill>
                              </w:rPr>
                            </w:pPr>
                            <w:r>
                              <w:rPr>
                                <w:rFonts w:hint="eastAsia" w:ascii="华文中宋" w:hAnsi="华文中宋" w:eastAsia="华文中宋"/>
                                <w:b/>
                                <w:color w:val="FFFFFF" w:themeColor="background1"/>
                                <w:sz w:val="48"/>
                                <w:szCs w:val="48"/>
                                <w14:textFill>
                                  <w14:solidFill>
                                    <w14:schemeClr w14:val="bg1"/>
                                  </w14:solidFill>
                                </w14:textFill>
                              </w:rPr>
                              <w:t>全过程工程管理与建造技术高级培训班</w:t>
                            </w:r>
                          </w:p>
                        </w:txbxContent>
                      </wps:txbx>
                      <wps:bodyPr anchor="ctr" upright="1"/>
                    </wps:wsp>
                  </a:graphicData>
                </a:graphic>
              </wp:anchor>
            </w:drawing>
          </mc:Choice>
          <mc:Fallback>
            <w:pict>
              <v:shape id="_x0000_s1026" o:spid="_x0000_s1026" o:spt="202" type="#_x0000_t202" style="position:absolute;left:0pt;margin-left:-57.3pt;margin-top:11.15pt;height:92.15pt;width:596.6pt;z-index:251658240;v-text-anchor:middle;mso-width-relative:page;mso-height-relative:page;" fillcolor="#558ED5 [1951]" filled="t" stroked="f" coordsize="21600,21600" o:gfxdata="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q+gV2QAAAAwBAAAPAAAAAAAAAAEAIAAA&#10;ACIAAABkcnMvZG93bnJldi54bWxQSwECFAAUAAAACACHTuJAu+KL79IBAAB5AwAADgAAAAAAAAAB&#10;ACAAAAAoAQAAZHJzL2Uyb0RvYy54bWxQSwUGAAAAAAYABgBZAQAAbAUAAAAA&#10;">
                <v:fill on="t" focussize="0,0"/>
                <v:stroke on="f"/>
                <v:imagedata o:title=""/>
                <o:lock v:ext="edit" aspectratio="f"/>
                <v:textbox>
                  <w:txbxContent>
                    <w:p>
                      <w:pPr>
                        <w:adjustRightInd w:val="0"/>
                        <w:snapToGrid w:val="0"/>
                        <w:jc w:val="center"/>
                        <w:rPr>
                          <w:rFonts w:ascii="华文中宋" w:hAnsi="华文中宋" w:eastAsia="华文中宋"/>
                          <w:b/>
                          <w:color w:val="FFFFFF" w:themeColor="background1"/>
                          <w:sz w:val="48"/>
                          <w:szCs w:val="48"/>
                          <w14:textFill>
                            <w14:solidFill>
                              <w14:schemeClr w14:val="bg1"/>
                            </w14:solidFill>
                          </w14:textFill>
                        </w:rPr>
                      </w:pPr>
                      <w:r>
                        <w:rPr>
                          <w:rFonts w:hint="eastAsia" w:ascii="华文中宋" w:hAnsi="华文中宋" w:eastAsia="华文中宋"/>
                          <w:b/>
                          <w:color w:val="FFFFFF" w:themeColor="background1"/>
                          <w:sz w:val="48"/>
                          <w:szCs w:val="48"/>
                          <w14:textFill>
                            <w14:solidFill>
                              <w14:schemeClr w14:val="bg1"/>
                            </w14:solidFill>
                          </w14:textFill>
                        </w:rPr>
                        <w:t>装配式房地产项目</w:t>
                      </w:r>
                    </w:p>
                    <w:p>
                      <w:pPr>
                        <w:adjustRightInd w:val="0"/>
                        <w:snapToGrid w:val="0"/>
                        <w:jc w:val="center"/>
                        <w:rPr>
                          <w:rFonts w:ascii="华文中宋" w:hAnsi="华文中宋" w:eastAsia="华文中宋"/>
                          <w:b/>
                          <w:color w:val="FFFFFF" w:themeColor="background1"/>
                          <w:sz w:val="48"/>
                          <w:szCs w:val="48"/>
                          <w14:textFill>
                            <w14:solidFill>
                              <w14:schemeClr w14:val="bg1"/>
                            </w14:solidFill>
                          </w14:textFill>
                        </w:rPr>
                      </w:pPr>
                      <w:r>
                        <w:rPr>
                          <w:rFonts w:hint="eastAsia" w:ascii="华文中宋" w:hAnsi="华文中宋" w:eastAsia="华文中宋"/>
                          <w:b/>
                          <w:color w:val="FFFFFF" w:themeColor="background1"/>
                          <w:sz w:val="48"/>
                          <w:szCs w:val="48"/>
                          <w14:textFill>
                            <w14:solidFill>
                              <w14:schemeClr w14:val="bg1"/>
                            </w14:solidFill>
                          </w14:textFill>
                        </w:rPr>
                        <w:t>全过程工程管理与建造技术高级培训班</w:t>
                      </w:r>
                    </w:p>
                  </w:txbxContent>
                </v:textbox>
              </v:shape>
            </w:pict>
          </mc:Fallback>
        </mc:AlternateContent>
      </w:r>
    </w:p>
    <w:p>
      <w:pPr>
        <w:jc w:val="center"/>
        <w:rPr>
          <w:rFonts w:ascii="华文中宋" w:hAnsi="华文中宋" w:eastAsia="华文中宋"/>
          <w:i/>
          <w:sz w:val="36"/>
          <w:szCs w:val="36"/>
        </w:rPr>
      </w:pPr>
    </w:p>
    <w:p>
      <w:pPr>
        <w:adjustRightInd w:val="0"/>
        <w:snapToGrid w:val="0"/>
        <w:rPr>
          <w:rFonts w:ascii="华文中宋" w:hAnsi="华文中宋" w:eastAsia="华文中宋"/>
          <w:b/>
          <w:color w:val="FF0000"/>
          <w:sz w:val="48"/>
          <w:szCs w:val="48"/>
        </w:rPr>
      </w:pPr>
    </w:p>
    <w:p>
      <w:pPr>
        <w:adjustRightInd w:val="0"/>
        <w:snapToGrid w:val="0"/>
        <w:spacing w:line="420" w:lineRule="exact"/>
        <w:jc w:val="left"/>
        <w:rPr>
          <w:rFonts w:ascii="华文中宋" w:hAnsi="华文中宋" w:eastAsia="华文中宋"/>
          <w:sz w:val="24"/>
          <w:szCs w:val="24"/>
        </w:rPr>
      </w:pPr>
    </w:p>
    <w:p>
      <w:pPr>
        <w:adjustRightInd w:val="0"/>
        <w:snapToGrid w:val="0"/>
        <w:spacing w:line="420" w:lineRule="exact"/>
        <w:ind w:firstLine="480" w:firstLineChars="200"/>
        <w:jc w:val="left"/>
        <w:rPr>
          <w:rFonts w:ascii="华文中宋" w:hAnsi="华文中宋" w:eastAsia="华文中宋"/>
          <w:sz w:val="24"/>
          <w:szCs w:val="24"/>
        </w:rPr>
      </w:pPr>
      <w:r>
        <w:rPr>
          <w:rFonts w:hint="eastAsia" w:ascii="华文中宋" w:hAnsi="华文中宋" w:eastAsia="华文中宋"/>
          <w:sz w:val="24"/>
          <w:szCs w:val="24"/>
        </w:rPr>
        <w:t>近年来，为了大力推进装配式建筑，越来越多的地方政府在进行土地出让时，明确必须采用装配式建筑。然而，对于一直习惯于现浇结构的绝大多数地产开发企业、建筑设计与施工建造单位而言，装配式地产项目的全过程管理与建造精度仍然充满着诸多挑战。</w:t>
      </w:r>
    </w:p>
    <w:p>
      <w:pPr>
        <w:adjustRightInd w:val="0"/>
        <w:snapToGrid w:val="0"/>
        <w:spacing w:line="420" w:lineRule="exact"/>
        <w:ind w:firstLine="360" w:firstLineChars="150"/>
        <w:jc w:val="left"/>
        <w:rPr>
          <w:rFonts w:ascii="华文中宋" w:hAnsi="华文中宋" w:eastAsia="华文中宋"/>
          <w:sz w:val="24"/>
          <w:szCs w:val="24"/>
        </w:rPr>
      </w:pPr>
      <w:r>
        <w:rPr>
          <w:rFonts w:hint="eastAsia" w:ascii="华文中宋" w:hAnsi="华文中宋" w:eastAsia="华文中宋"/>
          <w:sz w:val="24"/>
          <w:szCs w:val="24"/>
        </w:rPr>
        <w:t>为了切实有效地解决项目开发中的痛点，本次培训班力邀日本3位在装配式预制混凝土建筑工程筹划、工程管理、造价与成本控制、PC构件设计与生产等领域拥有多年实战经验的专家作为培训讲师。培训将采取课堂授课、现场教学与观摩相结合的形式，力求做到可学、可操与可控。现将具体安排通知如下：</w:t>
      </w:r>
    </w:p>
    <w:p>
      <w:pPr>
        <w:adjustRightInd w:val="0"/>
        <w:snapToGrid w:val="0"/>
        <w:spacing w:line="420" w:lineRule="exact"/>
        <w:ind w:firstLine="360" w:firstLineChars="150"/>
        <w:jc w:val="left"/>
        <w:rPr>
          <w:rFonts w:ascii="华文中宋" w:hAnsi="华文中宋" w:eastAsia="华文中宋"/>
          <w:sz w:val="24"/>
          <w:szCs w:val="24"/>
        </w:rPr>
      </w:pPr>
    </w:p>
    <w:p>
      <w:pPr>
        <w:pStyle w:val="12"/>
        <w:numPr>
          <w:ilvl w:val="0"/>
          <w:numId w:val="1"/>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培训内容：</w:t>
      </w: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943" w:type="dxa"/>
            <w:shd w:val="clear" w:color="auto" w:fill="D8D8D8" w:themeFill="background1" w:themeFillShade="D9"/>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课程设置</w:t>
            </w:r>
          </w:p>
        </w:tc>
        <w:tc>
          <w:tcPr>
            <w:tcW w:w="6911" w:type="dxa"/>
            <w:shd w:val="clear" w:color="auto" w:fill="D8D8D8" w:themeFill="background1" w:themeFillShade="D9"/>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trPr>
        <w:tc>
          <w:tcPr>
            <w:tcW w:w="2943"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装配式地产工程筹划课</w:t>
            </w:r>
          </w:p>
        </w:tc>
        <w:tc>
          <w:tcPr>
            <w:tcW w:w="6911" w:type="dxa"/>
            <w:vAlign w:val="center"/>
          </w:tcPr>
          <w:p>
            <w:pPr>
              <w:pStyle w:val="12"/>
              <w:numPr>
                <w:ilvl w:val="0"/>
                <w:numId w:val="2"/>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装配式PC建筑的基本概论与建造思维</w:t>
            </w:r>
          </w:p>
          <w:p>
            <w:pPr>
              <w:pStyle w:val="12"/>
              <w:numPr>
                <w:ilvl w:val="0"/>
                <w:numId w:val="2"/>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装配式建筑工程成本构成与成本控制策略</w:t>
            </w:r>
          </w:p>
          <w:p>
            <w:pPr>
              <w:pStyle w:val="12"/>
              <w:numPr>
                <w:ilvl w:val="0"/>
                <w:numId w:val="2"/>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装配式PC建筑工程专业协同与工程时间结点管控</w:t>
            </w:r>
          </w:p>
          <w:p>
            <w:pPr>
              <w:pStyle w:val="12"/>
              <w:numPr>
                <w:ilvl w:val="0"/>
                <w:numId w:val="2"/>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装配式PC建筑工程全程策划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1" w:hRule="atLeast"/>
        </w:trPr>
        <w:tc>
          <w:tcPr>
            <w:tcW w:w="2943"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装配式工程设计课</w:t>
            </w:r>
          </w:p>
        </w:tc>
        <w:tc>
          <w:tcPr>
            <w:tcW w:w="6911" w:type="dxa"/>
            <w:vAlign w:val="center"/>
          </w:tcPr>
          <w:p>
            <w:pPr>
              <w:pStyle w:val="12"/>
              <w:numPr>
                <w:ilvl w:val="0"/>
                <w:numId w:val="3"/>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装配式PC建筑设计流程与结构工法的选择</w:t>
            </w:r>
          </w:p>
          <w:p>
            <w:pPr>
              <w:pStyle w:val="12"/>
              <w:numPr>
                <w:ilvl w:val="0"/>
                <w:numId w:val="3"/>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设计环节易发生的问题与解决方案</w:t>
            </w:r>
          </w:p>
          <w:p>
            <w:pPr>
              <w:pStyle w:val="12"/>
              <w:numPr>
                <w:ilvl w:val="0"/>
                <w:numId w:val="3"/>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W-PC工法的计划、结构设计、构件深化设计</w:t>
            </w:r>
          </w:p>
          <w:p>
            <w:pPr>
              <w:pStyle w:val="12"/>
              <w:numPr>
                <w:ilvl w:val="0"/>
                <w:numId w:val="3"/>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WR-PC工法的计划、结构设计、构件深化设计</w:t>
            </w:r>
          </w:p>
          <w:p>
            <w:pPr>
              <w:pStyle w:val="12"/>
              <w:numPr>
                <w:ilvl w:val="0"/>
                <w:numId w:val="3"/>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R-PC工法的计划、结构设计、构件深化设计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3" w:hRule="atLeast"/>
        </w:trPr>
        <w:tc>
          <w:tcPr>
            <w:tcW w:w="2943"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工程管理与建造技术课</w:t>
            </w:r>
          </w:p>
        </w:tc>
        <w:tc>
          <w:tcPr>
            <w:tcW w:w="6911" w:type="dxa"/>
            <w:vAlign w:val="center"/>
          </w:tcPr>
          <w:p>
            <w:pPr>
              <w:pStyle w:val="12"/>
              <w:numPr>
                <w:ilvl w:val="0"/>
                <w:numId w:val="4"/>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装配式PC建筑施工流程计划与供应链管理</w:t>
            </w:r>
          </w:p>
          <w:p>
            <w:pPr>
              <w:pStyle w:val="12"/>
              <w:numPr>
                <w:ilvl w:val="0"/>
                <w:numId w:val="4"/>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施工现场PC制作要点与施工管理</w:t>
            </w:r>
          </w:p>
          <w:p>
            <w:pPr>
              <w:pStyle w:val="12"/>
              <w:numPr>
                <w:ilvl w:val="0"/>
                <w:numId w:val="4"/>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PC工法的施工管理（结构主体、次要构件）</w:t>
            </w:r>
          </w:p>
          <w:p>
            <w:pPr>
              <w:pStyle w:val="12"/>
              <w:numPr>
                <w:ilvl w:val="0"/>
                <w:numId w:val="4"/>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PC工法的施工管理（装修材料、设备）</w:t>
            </w:r>
          </w:p>
          <w:p>
            <w:pPr>
              <w:pStyle w:val="12"/>
              <w:numPr>
                <w:ilvl w:val="0"/>
                <w:numId w:val="4"/>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PC工法的品质管理、安全管理</w:t>
            </w:r>
          </w:p>
          <w:p>
            <w:pPr>
              <w:pStyle w:val="12"/>
              <w:numPr>
                <w:ilvl w:val="0"/>
                <w:numId w:val="4"/>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施工环节中对连接、防水、保温等问题的处理</w:t>
            </w:r>
          </w:p>
          <w:p>
            <w:pPr>
              <w:pStyle w:val="12"/>
              <w:numPr>
                <w:ilvl w:val="0"/>
                <w:numId w:val="4"/>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现场施工观摩:</w:t>
            </w:r>
            <w:r>
              <w:rPr>
                <w:rFonts w:hint="eastAsia"/>
              </w:rPr>
              <w:t xml:space="preserve"> </w:t>
            </w:r>
            <w:r>
              <w:rPr>
                <w:rFonts w:hint="eastAsia" w:ascii="华文中宋" w:hAnsi="华文中宋" w:eastAsia="华文中宋"/>
                <w:sz w:val="24"/>
                <w:szCs w:val="24"/>
              </w:rPr>
              <w:t>接收（检查、现场内存放）、组建（吊具、起重机、起重计划安排）、设置（预先准备、铺设砂浆、脚手架、安全措施）、连接（焊接、机械式连接、连结用水泥材料）、防水（材料、施工）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2943" w:type="dxa"/>
            <w:vAlign w:val="center"/>
          </w:tcPr>
          <w:p>
            <w:pPr>
              <w:adjustRightInd w:val="0"/>
              <w:snapToGrid w:val="0"/>
              <w:spacing w:line="420" w:lineRule="exact"/>
              <w:jc w:val="center"/>
              <w:rPr>
                <w:rFonts w:ascii="华文中宋" w:hAnsi="华文中宋" w:eastAsia="华文中宋"/>
                <w:sz w:val="24"/>
                <w:szCs w:val="24"/>
              </w:rPr>
            </w:pPr>
            <w:r>
              <w:rPr>
                <w:rFonts w:hint="eastAsia" w:ascii="华文中宋" w:hAnsi="华文中宋" w:eastAsia="华文中宋"/>
                <w:sz w:val="24"/>
                <w:szCs w:val="24"/>
              </w:rPr>
              <w:t>PC构件生产与管理课</w:t>
            </w:r>
          </w:p>
        </w:tc>
        <w:tc>
          <w:tcPr>
            <w:tcW w:w="6911" w:type="dxa"/>
            <w:vAlign w:val="center"/>
          </w:tcPr>
          <w:p>
            <w:pPr>
              <w:pStyle w:val="12"/>
              <w:numPr>
                <w:ilvl w:val="0"/>
                <w:numId w:val="2"/>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日本ＰＣ构件生产工厂概论</w:t>
            </w:r>
          </w:p>
          <w:p>
            <w:pPr>
              <w:pStyle w:val="12"/>
              <w:numPr>
                <w:ilvl w:val="0"/>
                <w:numId w:val="2"/>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PC构件的生产</w:t>
            </w:r>
          </w:p>
          <w:p>
            <w:pPr>
              <w:pStyle w:val="12"/>
              <w:numPr>
                <w:ilvl w:val="0"/>
                <w:numId w:val="2"/>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PC构件的品质管理</w:t>
            </w:r>
          </w:p>
          <w:p>
            <w:pPr>
              <w:pStyle w:val="12"/>
              <w:numPr>
                <w:ilvl w:val="0"/>
                <w:numId w:val="2"/>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PC构件的养护、出厂、运输</w:t>
            </w:r>
          </w:p>
          <w:p>
            <w:pPr>
              <w:pStyle w:val="12"/>
              <w:numPr>
                <w:ilvl w:val="0"/>
                <w:numId w:val="2"/>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PC工厂生产观摩，学习构件生产过程及精度控制</w:t>
            </w:r>
          </w:p>
        </w:tc>
      </w:tr>
    </w:tbl>
    <w:p>
      <w:pPr>
        <w:adjustRightInd w:val="0"/>
        <w:snapToGrid w:val="0"/>
        <w:spacing w:line="420" w:lineRule="exact"/>
        <w:jc w:val="left"/>
        <w:rPr>
          <w:rFonts w:ascii="华文中宋" w:hAnsi="华文中宋" w:eastAsia="华文中宋"/>
          <w:sz w:val="24"/>
          <w:szCs w:val="24"/>
        </w:rPr>
      </w:pPr>
    </w:p>
    <w:p>
      <w:pPr>
        <w:pStyle w:val="12"/>
        <w:numPr>
          <w:ilvl w:val="0"/>
          <w:numId w:val="1"/>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日方讲师简介（注：本次培训也会聘请国内一线专家参与授课，具体安排另行通知）</w:t>
      </w:r>
    </w:p>
    <w:tbl>
      <w:tblPr>
        <w:tblStyle w:val="9"/>
        <w:tblpPr w:leftFromText="180" w:rightFromText="180" w:vertAnchor="page" w:horzAnchor="margin" w:tblpY="670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1" w:hRule="atLeast"/>
        </w:trPr>
        <w:tc>
          <w:tcPr>
            <w:tcW w:w="1809" w:type="dxa"/>
          </w:tcPr>
          <w:p>
            <w:pPr>
              <w:pStyle w:val="12"/>
              <w:widowControl/>
              <w:spacing w:line="384" w:lineRule="atLeast"/>
              <w:ind w:firstLine="0" w:firstLineChars="0"/>
              <w:rPr>
                <w:rFonts w:ascii="微软雅黑" w:hAnsi="微软雅黑" w:eastAsia="微软雅黑" w:cs="宋体"/>
                <w:b/>
                <w:color w:val="3E3E3E"/>
                <w:kern w:val="0"/>
                <w:szCs w:val="21"/>
              </w:rPr>
            </w:pPr>
            <w:r>
              <w:rPr>
                <w:rFonts w:ascii="微软雅黑" w:hAnsi="微软雅黑" w:eastAsia="微软雅黑" w:cs="宋体"/>
                <w:b/>
                <w:color w:val="3E3E3E"/>
                <w:kern w:val="0"/>
                <w:szCs w:val="21"/>
              </w:rPr>
              <w:drawing>
                <wp:anchor distT="0" distB="0" distL="114300" distR="114300" simplePos="0" relativeHeight="251659264" behindDoc="0" locked="0" layoutInCell="1" allowOverlap="1">
                  <wp:simplePos x="0" y="0"/>
                  <wp:positionH relativeFrom="column">
                    <wp:posOffset>-26035</wp:posOffset>
                  </wp:positionH>
                  <wp:positionV relativeFrom="paragraph">
                    <wp:posOffset>18415</wp:posOffset>
                  </wp:positionV>
                  <wp:extent cx="1028700" cy="1419225"/>
                  <wp:effectExtent l="19050" t="0" r="0" b="0"/>
                  <wp:wrapNone/>
                  <wp:docPr id="10" name="图片 2" descr="Murayama IMG_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Murayama IMG_1930"/>
                          <pic:cNvPicPr>
                            <a:picLocks noChangeAspect="1" noChangeArrowheads="1"/>
                          </pic:cNvPicPr>
                        </pic:nvPicPr>
                        <pic:blipFill>
                          <a:blip r:embed="rId5" cstate="print"/>
                          <a:srcRect l="14012" t="5966" r="15924" b="20287"/>
                          <a:stretch>
                            <a:fillRect/>
                          </a:stretch>
                        </pic:blipFill>
                        <pic:spPr>
                          <a:xfrm>
                            <a:off x="0" y="0"/>
                            <a:ext cx="1028700" cy="1419225"/>
                          </a:xfrm>
                          <a:prstGeom prst="rect">
                            <a:avLst/>
                          </a:prstGeom>
                          <a:noFill/>
                          <a:ln w="9525">
                            <a:noFill/>
                            <a:miter lim="800000"/>
                            <a:headEnd/>
                            <a:tailEnd/>
                          </a:ln>
                        </pic:spPr>
                      </pic:pic>
                    </a:graphicData>
                  </a:graphic>
                </wp:anchor>
              </w:drawing>
            </w:r>
          </w:p>
          <w:p/>
        </w:tc>
        <w:tc>
          <w:tcPr>
            <w:tcW w:w="8080" w:type="dxa"/>
          </w:tcPr>
          <w:p>
            <w:pPr>
              <w:pStyle w:val="12"/>
              <w:widowControl/>
              <w:shd w:val="clear" w:color="auto" w:fill="FFFFFF"/>
              <w:spacing w:line="384" w:lineRule="atLeast"/>
              <w:ind w:left="1" w:firstLine="31" w:firstLineChars="13"/>
              <w:jc w:val="left"/>
              <w:rPr>
                <w:rFonts w:cs="宋体" w:asciiTheme="majorEastAsia" w:hAnsiTheme="majorEastAsia" w:eastAsiaTheme="majorEastAsia"/>
                <w:color w:val="3E3E3E"/>
                <w:kern w:val="0"/>
                <w:szCs w:val="21"/>
              </w:rPr>
            </w:pPr>
            <w:r>
              <w:rPr>
                <w:rFonts w:hint="eastAsia" w:ascii="微软雅黑" w:hAnsi="微软雅黑" w:eastAsia="微软雅黑" w:cs="宋体"/>
                <w:b/>
                <w:color w:val="3E3E3E"/>
                <w:kern w:val="0"/>
                <w:sz w:val="24"/>
              </w:rPr>
              <w:t>村山 克之，</w:t>
            </w:r>
            <w:r>
              <w:rPr>
                <w:rFonts w:hint="eastAsia" w:cs="宋体" w:asciiTheme="majorEastAsia" w:hAnsiTheme="majorEastAsia" w:eastAsiaTheme="majorEastAsia"/>
                <w:color w:val="3E3E3E"/>
                <w:kern w:val="0"/>
                <w:szCs w:val="21"/>
              </w:rPr>
              <w:t>村山山空间设计有限公司负责人</w:t>
            </w:r>
          </w:p>
          <w:p>
            <w:pPr>
              <w:pStyle w:val="12"/>
              <w:widowControl/>
              <w:shd w:val="clear" w:color="auto" w:fill="FFFFFF"/>
              <w:spacing w:line="384" w:lineRule="atLeast"/>
              <w:ind w:left="36" w:leftChars="16" w:hanging="2" w:firstLineChars="0"/>
              <w:jc w:val="left"/>
              <w:rPr>
                <w:rFonts w:cs="宋体" w:asciiTheme="majorEastAsia" w:hAnsiTheme="majorEastAsia" w:eastAsiaTheme="majorEastAsia"/>
                <w:color w:val="3E3E3E"/>
                <w:kern w:val="0"/>
                <w:szCs w:val="21"/>
                <w:shd w:val="clear" w:color="auto" w:fill="FFFFFF"/>
              </w:rPr>
            </w:pPr>
            <w:r>
              <w:rPr>
                <w:rFonts w:hint="eastAsia" w:cs="宋体" w:asciiTheme="majorEastAsia" w:hAnsiTheme="majorEastAsia" w:eastAsiaTheme="majorEastAsia"/>
                <w:color w:val="3E3E3E"/>
                <w:kern w:val="0"/>
                <w:szCs w:val="21"/>
                <w:shd w:val="clear" w:color="auto" w:fill="FFFFFF"/>
              </w:rPr>
              <w:t>1946年出生于中国天津，毕业于国立名古屋工业大学建筑学科。1968年进入</w:t>
            </w:r>
            <w:r>
              <w:rPr>
                <w:rFonts w:cs="宋体" w:asciiTheme="majorEastAsia" w:hAnsiTheme="majorEastAsia" w:eastAsiaTheme="majorEastAsia"/>
                <w:color w:val="3E3E3E"/>
                <w:kern w:val="0"/>
                <w:szCs w:val="21"/>
                <w:shd w:val="clear" w:color="auto" w:fill="FFFFFF"/>
              </w:rPr>
              <w:t>飞岛建设株式会社</w:t>
            </w:r>
            <w:r>
              <w:rPr>
                <w:rFonts w:hint="eastAsia" w:cs="宋体" w:asciiTheme="majorEastAsia" w:hAnsiTheme="majorEastAsia" w:eastAsiaTheme="majorEastAsia"/>
                <w:color w:val="3E3E3E"/>
                <w:kern w:val="0"/>
                <w:szCs w:val="21"/>
                <w:shd w:val="clear" w:color="auto" w:fill="FFFFFF"/>
              </w:rPr>
              <w:t>，负责建筑工程管理。1970年到株式会社 松田平田坂本设计事务所任职，参与了东京银行业务电算中心设计、银座第一酒店、东京赛马场增建项目等项目。1972年设立村山克之建筑研究所，从事住宅设计至今。曾参与许多各类型PC结构建筑项目.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trPr>
        <w:tc>
          <w:tcPr>
            <w:tcW w:w="1809" w:type="dxa"/>
          </w:tcPr>
          <w:p>
            <w:pPr>
              <w:pStyle w:val="12"/>
              <w:widowControl/>
              <w:spacing w:line="384" w:lineRule="atLeast"/>
              <w:ind w:firstLine="0" w:firstLineChars="0"/>
              <w:rPr>
                <w:rFonts w:ascii="微软雅黑" w:hAnsi="微软雅黑" w:eastAsia="微软雅黑" w:cs="宋体"/>
                <w:b/>
                <w:color w:val="3E3E3E"/>
                <w:kern w:val="0"/>
                <w:szCs w:val="21"/>
              </w:rPr>
            </w:pPr>
            <w:r>
              <w:rPr>
                <w:rFonts w:hint="eastAsia" w:ascii="微软雅黑" w:hAnsi="微软雅黑" w:eastAsia="微软雅黑" w:cs="宋体"/>
                <w:b/>
                <w:color w:val="3E3E3E"/>
                <w:kern w:val="0"/>
                <w:szCs w:val="21"/>
              </w:rPr>
              <w:drawing>
                <wp:anchor distT="0" distB="0" distL="114300" distR="114300" simplePos="0" relativeHeight="251660288" behindDoc="0" locked="0" layoutInCell="1" allowOverlap="1">
                  <wp:simplePos x="0" y="0"/>
                  <wp:positionH relativeFrom="column">
                    <wp:posOffset>-9525</wp:posOffset>
                  </wp:positionH>
                  <wp:positionV relativeFrom="paragraph">
                    <wp:posOffset>137160</wp:posOffset>
                  </wp:positionV>
                  <wp:extent cx="1028700" cy="1257300"/>
                  <wp:effectExtent l="19050" t="0" r="0" b="0"/>
                  <wp:wrapNone/>
                  <wp:docPr id="11" name="图片 5" descr="Goto IMG_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Goto IMG_1928"/>
                          <pic:cNvPicPr>
                            <a:picLocks noChangeAspect="1" noChangeArrowheads="1"/>
                          </pic:cNvPicPr>
                        </pic:nvPicPr>
                        <pic:blipFill>
                          <a:blip r:embed="rId6" cstate="print"/>
                          <a:srcRect/>
                          <a:stretch>
                            <a:fillRect/>
                          </a:stretch>
                        </pic:blipFill>
                        <pic:spPr>
                          <a:xfrm>
                            <a:off x="0" y="0"/>
                            <a:ext cx="1028700" cy="1257300"/>
                          </a:xfrm>
                          <a:prstGeom prst="rect">
                            <a:avLst/>
                          </a:prstGeom>
                          <a:noFill/>
                          <a:ln w="9525">
                            <a:noFill/>
                            <a:miter lim="800000"/>
                            <a:headEnd/>
                            <a:tailEnd/>
                          </a:ln>
                        </pic:spPr>
                      </pic:pic>
                    </a:graphicData>
                  </a:graphic>
                </wp:anchor>
              </w:drawing>
            </w:r>
          </w:p>
        </w:tc>
        <w:tc>
          <w:tcPr>
            <w:tcW w:w="8080" w:type="dxa"/>
          </w:tcPr>
          <w:p>
            <w:pPr>
              <w:pStyle w:val="12"/>
              <w:widowControl/>
              <w:spacing w:line="384" w:lineRule="atLeast"/>
              <w:ind w:firstLine="0" w:firstLineChars="0"/>
              <w:rPr>
                <w:rFonts w:cs="宋体" w:asciiTheme="majorEastAsia" w:hAnsiTheme="majorEastAsia" w:eastAsiaTheme="majorEastAsia"/>
                <w:color w:val="3E3E3E"/>
                <w:kern w:val="0"/>
                <w:szCs w:val="21"/>
              </w:rPr>
            </w:pPr>
            <w:r>
              <w:rPr>
                <w:rFonts w:hint="eastAsia" w:ascii="微软雅黑" w:hAnsi="微软雅黑" w:eastAsia="微软雅黑" w:cs="宋体"/>
                <w:b/>
                <w:color w:val="3E3E3E"/>
                <w:kern w:val="0"/>
                <w:szCs w:val="21"/>
              </w:rPr>
              <w:t>后藤 浩，</w:t>
            </w:r>
            <w:r>
              <w:rPr>
                <w:rFonts w:hint="eastAsia" w:cs="宋体" w:asciiTheme="majorEastAsia" w:hAnsiTheme="majorEastAsia" w:eastAsiaTheme="majorEastAsia"/>
                <w:color w:val="3E3E3E"/>
                <w:kern w:val="0"/>
                <w:szCs w:val="21"/>
              </w:rPr>
              <w:t>日本一级建筑士、一级建筑施工管理技士</w:t>
            </w:r>
          </w:p>
          <w:p>
            <w:pPr>
              <w:pStyle w:val="12"/>
              <w:widowControl/>
              <w:shd w:val="clear" w:color="auto" w:fill="FFFFFF"/>
              <w:spacing w:line="384" w:lineRule="atLeast"/>
              <w:ind w:left="36" w:leftChars="16" w:hanging="2" w:firstLineChars="0"/>
              <w:jc w:val="left"/>
              <w:rPr>
                <w:rFonts w:ascii="微软雅黑" w:hAnsi="微软雅黑" w:eastAsia="微软雅黑" w:cs="宋体"/>
                <w:b/>
                <w:color w:val="3E3E3E"/>
                <w:kern w:val="0"/>
                <w:szCs w:val="21"/>
              </w:rPr>
            </w:pPr>
            <w:r>
              <w:rPr>
                <w:rFonts w:hint="eastAsia" w:cs="宋体" w:asciiTheme="majorEastAsia" w:hAnsiTheme="majorEastAsia" w:eastAsiaTheme="majorEastAsia"/>
                <w:color w:val="3E3E3E"/>
                <w:kern w:val="0"/>
                <w:szCs w:val="21"/>
                <w:shd w:val="clear" w:color="auto" w:fill="FFFFFF"/>
              </w:rPr>
              <w:t>1941年出生于日本岐阜县，1964年毕业于名古屋工业大学建筑学科。曾先后在株式会社藤田、株式会社希望、台日国际工程有限公司、株式会社久米、藤田（中国）建设工程有限公司等单位任职。2017年10月至今 专职负责GOTO建筑研究所业务。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trPr>
        <w:tc>
          <w:tcPr>
            <w:tcW w:w="1809" w:type="dxa"/>
          </w:tcPr>
          <w:p>
            <w:pPr>
              <w:pStyle w:val="12"/>
              <w:widowControl/>
              <w:spacing w:line="384" w:lineRule="atLeast"/>
              <w:ind w:firstLine="0" w:firstLineChars="0"/>
              <w:rPr>
                <w:rFonts w:ascii="微软雅黑" w:hAnsi="微软雅黑" w:eastAsia="微软雅黑" w:cs="宋体"/>
                <w:b/>
                <w:color w:val="3E3E3E"/>
                <w:kern w:val="0"/>
                <w:szCs w:val="21"/>
              </w:rPr>
            </w:pPr>
            <w:r>
              <w:rPr>
                <w:rFonts w:hint="eastAsia" w:ascii="微软雅黑" w:hAnsi="微软雅黑" w:eastAsia="微软雅黑" w:cs="宋体"/>
                <w:b/>
                <w:color w:val="3E3E3E"/>
                <w:kern w:val="0"/>
                <w:szCs w:val="21"/>
              </w:rPr>
              <w:drawing>
                <wp:anchor distT="0" distB="0" distL="114300" distR="114300" simplePos="0" relativeHeight="251661312" behindDoc="0" locked="0" layoutInCell="1" allowOverlap="1">
                  <wp:simplePos x="0" y="0"/>
                  <wp:positionH relativeFrom="column">
                    <wp:posOffset>-5715</wp:posOffset>
                  </wp:positionH>
                  <wp:positionV relativeFrom="paragraph">
                    <wp:posOffset>212090</wp:posOffset>
                  </wp:positionV>
                  <wp:extent cx="1008380" cy="1390650"/>
                  <wp:effectExtent l="19050" t="0" r="1270" b="0"/>
                  <wp:wrapNone/>
                  <wp:docPr id="12" name="图片 6" descr="Nakano IMG_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Nakano IMG_1932"/>
                          <pic:cNvPicPr>
                            <a:picLocks noChangeAspect="1" noChangeArrowheads="1"/>
                          </pic:cNvPicPr>
                        </pic:nvPicPr>
                        <pic:blipFill>
                          <a:blip r:embed="rId7" cstate="print"/>
                          <a:srcRect l="11736" t="3275" r="16626" b="14410"/>
                          <a:stretch>
                            <a:fillRect/>
                          </a:stretch>
                        </pic:blipFill>
                        <pic:spPr>
                          <a:xfrm>
                            <a:off x="0" y="0"/>
                            <a:ext cx="1008380" cy="1390650"/>
                          </a:xfrm>
                          <a:prstGeom prst="rect">
                            <a:avLst/>
                          </a:prstGeom>
                          <a:noFill/>
                          <a:ln w="9525">
                            <a:noFill/>
                            <a:miter lim="800000"/>
                            <a:headEnd/>
                            <a:tailEnd/>
                          </a:ln>
                        </pic:spPr>
                      </pic:pic>
                    </a:graphicData>
                  </a:graphic>
                </wp:anchor>
              </w:drawing>
            </w:r>
          </w:p>
        </w:tc>
        <w:tc>
          <w:tcPr>
            <w:tcW w:w="8080" w:type="dxa"/>
          </w:tcPr>
          <w:p>
            <w:pPr>
              <w:pStyle w:val="12"/>
              <w:widowControl/>
              <w:spacing w:line="384" w:lineRule="atLeast"/>
              <w:ind w:firstLine="0" w:firstLineChars="0"/>
              <w:rPr>
                <w:rFonts w:cs="宋体" w:asciiTheme="majorEastAsia" w:hAnsiTheme="majorEastAsia" w:eastAsiaTheme="majorEastAsia"/>
                <w:color w:val="3E3E3E"/>
                <w:kern w:val="0"/>
                <w:szCs w:val="21"/>
              </w:rPr>
            </w:pPr>
            <w:r>
              <w:rPr>
                <w:rFonts w:hint="eastAsia" w:ascii="微软雅黑" w:hAnsi="微软雅黑" w:eastAsia="微软雅黑" w:cs="宋体"/>
                <w:b/>
                <w:color w:val="3E3E3E"/>
                <w:kern w:val="0"/>
                <w:szCs w:val="21"/>
              </w:rPr>
              <w:t>中野 章，</w:t>
            </w:r>
            <w:r>
              <w:rPr>
                <w:rFonts w:hint="eastAsia" w:cs="宋体" w:asciiTheme="majorEastAsia" w:hAnsiTheme="majorEastAsia" w:eastAsiaTheme="majorEastAsia"/>
                <w:color w:val="3E3E3E"/>
                <w:kern w:val="0"/>
                <w:szCs w:val="21"/>
              </w:rPr>
              <w:t xml:space="preserve"> 日本PC工厂生产运营专家、技术顾问</w:t>
            </w:r>
          </w:p>
          <w:p>
            <w:pPr>
              <w:pStyle w:val="12"/>
              <w:widowControl/>
              <w:shd w:val="clear" w:color="auto" w:fill="FFFFFF"/>
              <w:spacing w:line="384" w:lineRule="atLeast"/>
              <w:ind w:left="36" w:leftChars="16" w:hanging="2" w:firstLineChars="0"/>
              <w:jc w:val="left"/>
              <w:rPr>
                <w:rFonts w:ascii="微软雅黑" w:hAnsi="微软雅黑" w:eastAsia="微软雅黑" w:cs="宋体"/>
                <w:b/>
                <w:color w:val="3E3E3E"/>
                <w:kern w:val="0"/>
                <w:szCs w:val="21"/>
              </w:rPr>
            </w:pPr>
            <w:r>
              <w:rPr>
                <w:rFonts w:hint="eastAsia" w:cs="宋体" w:asciiTheme="majorEastAsia" w:hAnsiTheme="majorEastAsia" w:eastAsiaTheme="majorEastAsia"/>
                <w:color w:val="3E3E3E"/>
                <w:kern w:val="0"/>
                <w:szCs w:val="21"/>
                <w:shd w:val="clear" w:color="auto" w:fill="FFFFFF"/>
              </w:rPr>
              <w:t>1971年3月 毕业于日本大学理工学部建筑学专业。从1971年至2013年，先后供职于株式会社藤田、株式会社Techno Material，负责参与了东京都狛江高层公寓（H-PC）、埼玉县越谷市千间台集合住宅（W-PC）、千叶县习志野市住宅（H-PC）、东京都丰岛区池袋北的sunshine city（PC-CW）等项目，负责包括现场施工计划、施工管理、施工预算等一系列工作。之后工作调动至株式会社Techno Material千叶工厂，负责造价预算、生产管理、产品品质管理、施工指导等工作。之后，调动至营业部门从事营业销售（营业对象为鹿岛建设、大成建设、大林组、三井住友建设，五洋建设，奥村组，熊谷组等）。</w:t>
            </w:r>
          </w:p>
        </w:tc>
      </w:tr>
    </w:tbl>
    <w:p>
      <w:pPr>
        <w:pStyle w:val="12"/>
        <w:adjustRightInd w:val="0"/>
        <w:snapToGrid w:val="0"/>
        <w:spacing w:line="420" w:lineRule="exact"/>
        <w:ind w:left="720" w:firstLine="0" w:firstLineChars="0"/>
        <w:jc w:val="left"/>
        <w:rPr>
          <w:rFonts w:ascii="华文中宋" w:hAnsi="华文中宋" w:eastAsia="华文中宋"/>
          <w:sz w:val="24"/>
          <w:szCs w:val="24"/>
        </w:rPr>
      </w:pPr>
    </w:p>
    <w:p>
      <w:pPr>
        <w:pStyle w:val="12"/>
        <w:numPr>
          <w:ilvl w:val="0"/>
          <w:numId w:val="1"/>
        </w:numPr>
        <w:adjustRightInd w:val="0"/>
        <w:snapToGrid w:val="0"/>
        <w:spacing w:line="420" w:lineRule="exact"/>
        <w:ind w:firstLineChars="0"/>
        <w:jc w:val="left"/>
        <w:rPr>
          <w:rFonts w:ascii="华文中宋" w:hAnsi="华文中宋" w:eastAsia="华文中宋"/>
          <w:sz w:val="24"/>
          <w:szCs w:val="24"/>
        </w:rPr>
      </w:pPr>
      <w:r>
        <w:rPr>
          <w:rFonts w:hint="eastAsia" w:ascii="华文中宋" w:hAnsi="华文中宋" w:eastAsia="华文中宋"/>
          <w:sz w:val="24"/>
          <w:szCs w:val="24"/>
        </w:rPr>
        <w:t>培训时间安排与课程计划</w:t>
      </w:r>
    </w:p>
    <w:p>
      <w:pPr>
        <w:pStyle w:val="12"/>
        <w:adjustRightInd w:val="0"/>
        <w:snapToGrid w:val="0"/>
        <w:spacing w:line="420" w:lineRule="exact"/>
        <w:ind w:left="720" w:firstLine="0" w:firstLineChars="0"/>
        <w:jc w:val="left"/>
        <w:rPr>
          <w:rFonts w:ascii="华文中宋" w:hAnsi="华文中宋" w:eastAsia="华文中宋"/>
          <w:sz w:val="24"/>
          <w:szCs w:val="24"/>
        </w:rPr>
      </w:pP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230"/>
        <w:gridCol w:w="425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569" w:type="dxa"/>
            <w:vAlign w:val="center"/>
          </w:tcPr>
          <w:p>
            <w:pPr>
              <w:jc w:val="center"/>
              <w:rPr>
                <w:rFonts w:ascii="宋体" w:hAnsi="宋体" w:eastAsia="宋体" w:cs="宋体"/>
                <w:b/>
                <w:bCs/>
                <w:sz w:val="24"/>
              </w:rPr>
            </w:pPr>
            <w:r>
              <w:rPr>
                <w:rFonts w:hint="eastAsia" w:ascii="宋体" w:hAnsi="宋体" w:eastAsia="宋体" w:cs="宋体"/>
                <w:b/>
                <w:bCs/>
                <w:sz w:val="24"/>
              </w:rPr>
              <w:t>日期</w:t>
            </w:r>
          </w:p>
        </w:tc>
        <w:tc>
          <w:tcPr>
            <w:tcW w:w="1230" w:type="dxa"/>
            <w:vAlign w:val="center"/>
          </w:tcPr>
          <w:p>
            <w:pPr>
              <w:jc w:val="center"/>
              <w:rPr>
                <w:rFonts w:ascii="宋体" w:hAnsi="宋体" w:eastAsia="宋体" w:cs="宋体"/>
                <w:b/>
                <w:bCs/>
                <w:sz w:val="24"/>
              </w:rPr>
            </w:pPr>
            <w:r>
              <w:rPr>
                <w:rFonts w:hint="eastAsia" w:ascii="宋体" w:hAnsi="宋体" w:eastAsia="宋体" w:cs="宋体"/>
                <w:b/>
                <w:bCs/>
                <w:sz w:val="24"/>
              </w:rPr>
              <w:t>地点</w:t>
            </w:r>
          </w:p>
        </w:tc>
        <w:tc>
          <w:tcPr>
            <w:tcW w:w="4255" w:type="dxa"/>
            <w:vAlign w:val="center"/>
          </w:tcPr>
          <w:p>
            <w:pPr>
              <w:jc w:val="center"/>
              <w:rPr>
                <w:rFonts w:ascii="宋体" w:hAnsi="宋体" w:eastAsia="宋体" w:cs="宋体"/>
                <w:b/>
                <w:bCs/>
                <w:sz w:val="24"/>
              </w:rPr>
            </w:pPr>
            <w:r>
              <w:rPr>
                <w:rFonts w:hint="eastAsia" w:ascii="宋体" w:hAnsi="宋体" w:eastAsia="宋体" w:cs="宋体"/>
                <w:b/>
                <w:bCs/>
                <w:sz w:val="24"/>
              </w:rPr>
              <w:t>课程内容</w:t>
            </w:r>
          </w:p>
        </w:tc>
        <w:tc>
          <w:tcPr>
            <w:tcW w:w="2552" w:type="dxa"/>
            <w:vAlign w:val="center"/>
          </w:tcPr>
          <w:p>
            <w:pPr>
              <w:jc w:val="center"/>
              <w:rPr>
                <w:rFonts w:ascii="宋体" w:hAnsi="宋体" w:eastAsia="宋体" w:cs="宋体"/>
                <w:b/>
                <w:bCs/>
                <w:sz w:val="24"/>
              </w:rPr>
            </w:pPr>
            <w:r>
              <w:rPr>
                <w:rFonts w:hint="eastAsia" w:ascii="宋体" w:hAnsi="宋体" w:eastAsia="宋体" w:cs="宋体"/>
                <w:b/>
                <w:bCs/>
                <w:sz w:val="24"/>
              </w:rPr>
              <w:t>培训讲师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trPr>
        <w:tc>
          <w:tcPr>
            <w:tcW w:w="1569" w:type="dxa"/>
            <w:vAlign w:val="center"/>
          </w:tcPr>
          <w:p>
            <w:pPr>
              <w:jc w:val="center"/>
              <w:rPr>
                <w:rFonts w:ascii="新宋体" w:hAnsi="新宋体" w:eastAsia="新宋体" w:cs="宋体"/>
                <w:bCs/>
                <w:sz w:val="24"/>
              </w:rPr>
            </w:pPr>
            <w:r>
              <w:rPr>
                <w:rFonts w:hint="eastAsia" w:ascii="新宋体" w:hAnsi="新宋体" w:eastAsia="新宋体" w:cs="宋体"/>
                <w:bCs/>
                <w:sz w:val="24"/>
              </w:rPr>
              <w:t>8月17-19日</w:t>
            </w:r>
          </w:p>
        </w:tc>
        <w:tc>
          <w:tcPr>
            <w:tcW w:w="1230" w:type="dxa"/>
            <w:vAlign w:val="center"/>
          </w:tcPr>
          <w:p>
            <w:pPr>
              <w:jc w:val="center"/>
              <w:rPr>
                <w:rFonts w:ascii="新宋体" w:hAnsi="新宋体" w:eastAsia="新宋体" w:cs="宋体"/>
                <w:bCs/>
                <w:sz w:val="24"/>
              </w:rPr>
            </w:pPr>
            <w:r>
              <w:rPr>
                <w:rFonts w:hint="eastAsia" w:ascii="新宋体" w:hAnsi="新宋体" w:eastAsia="新宋体" w:cs="宋体"/>
                <w:bCs/>
                <w:sz w:val="24"/>
              </w:rPr>
              <w:t>北京</w:t>
            </w:r>
          </w:p>
        </w:tc>
        <w:tc>
          <w:tcPr>
            <w:tcW w:w="4255" w:type="dxa"/>
            <w:vAlign w:val="center"/>
          </w:tcPr>
          <w:p>
            <w:pPr>
              <w:jc w:val="left"/>
              <w:rPr>
                <w:rFonts w:ascii="新宋体" w:hAnsi="新宋体" w:eastAsia="新宋体" w:cs="宋体"/>
                <w:bCs/>
                <w:sz w:val="24"/>
              </w:rPr>
            </w:pPr>
            <w:r>
              <w:rPr>
                <w:rFonts w:hint="eastAsia" w:ascii="新宋体" w:hAnsi="新宋体" w:eastAsia="新宋体" w:cs="宋体"/>
                <w:bCs/>
                <w:sz w:val="24"/>
              </w:rPr>
              <w:t>装配式地产工程筹划课、工程设计课、工程管理与建造技术课、PC构件生产与管理课</w:t>
            </w:r>
          </w:p>
        </w:tc>
        <w:tc>
          <w:tcPr>
            <w:tcW w:w="2552" w:type="dxa"/>
            <w:vAlign w:val="center"/>
          </w:tcPr>
          <w:p>
            <w:pPr>
              <w:jc w:val="center"/>
              <w:rPr>
                <w:rFonts w:ascii="新宋体" w:hAnsi="新宋体" w:eastAsia="新宋体" w:cs="宋体"/>
                <w:bCs/>
                <w:sz w:val="24"/>
              </w:rPr>
            </w:pPr>
            <w:r>
              <w:rPr>
                <w:rFonts w:hint="eastAsia" w:ascii="新宋体" w:hAnsi="新宋体" w:eastAsia="新宋体" w:cs="宋体"/>
                <w:bCs/>
                <w:sz w:val="24"/>
              </w:rPr>
              <w:t>村山 克之</w:t>
            </w:r>
          </w:p>
          <w:p>
            <w:pPr>
              <w:jc w:val="center"/>
              <w:rPr>
                <w:rFonts w:ascii="新宋体" w:hAnsi="新宋体" w:eastAsia="新宋体" w:cs="宋体"/>
                <w:bCs/>
                <w:sz w:val="24"/>
              </w:rPr>
            </w:pPr>
            <w:r>
              <w:rPr>
                <w:rFonts w:hint="eastAsia" w:ascii="新宋体" w:hAnsi="新宋体" w:eastAsia="新宋体" w:cs="宋体"/>
                <w:bCs/>
                <w:sz w:val="24"/>
              </w:rPr>
              <w:t>后藤 浩</w:t>
            </w:r>
          </w:p>
          <w:p>
            <w:pPr>
              <w:jc w:val="center"/>
              <w:rPr>
                <w:rFonts w:ascii="新宋体" w:hAnsi="新宋体" w:eastAsia="新宋体" w:cs="宋体"/>
                <w:bCs/>
                <w:sz w:val="24"/>
              </w:rPr>
            </w:pPr>
            <w:r>
              <w:rPr>
                <w:rFonts w:hint="eastAsia" w:ascii="新宋体" w:hAnsi="新宋体" w:eastAsia="新宋体" w:cs="宋体"/>
                <w:bCs/>
                <w:sz w:val="24"/>
              </w:rPr>
              <w:t>中野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1569" w:type="dxa"/>
            <w:vAlign w:val="center"/>
          </w:tcPr>
          <w:p>
            <w:pPr>
              <w:jc w:val="center"/>
              <w:rPr>
                <w:rFonts w:ascii="新宋体" w:hAnsi="新宋体" w:eastAsia="新宋体" w:cs="宋体"/>
                <w:bCs/>
                <w:sz w:val="24"/>
              </w:rPr>
            </w:pPr>
            <w:r>
              <w:rPr>
                <w:rFonts w:hint="eastAsia" w:ascii="新宋体" w:hAnsi="新宋体" w:eastAsia="新宋体" w:cs="宋体"/>
                <w:bCs/>
                <w:sz w:val="24"/>
              </w:rPr>
              <w:t>8月21-23日</w:t>
            </w:r>
          </w:p>
        </w:tc>
        <w:tc>
          <w:tcPr>
            <w:tcW w:w="1230" w:type="dxa"/>
            <w:vAlign w:val="center"/>
          </w:tcPr>
          <w:p>
            <w:pPr>
              <w:jc w:val="center"/>
              <w:rPr>
                <w:rFonts w:ascii="新宋体" w:hAnsi="新宋体" w:eastAsia="新宋体" w:cs="宋体"/>
                <w:bCs/>
                <w:sz w:val="24"/>
              </w:rPr>
            </w:pPr>
            <w:r>
              <w:rPr>
                <w:rFonts w:hint="eastAsia" w:ascii="新宋体" w:hAnsi="新宋体" w:eastAsia="新宋体" w:cs="宋体"/>
                <w:bCs/>
                <w:sz w:val="24"/>
              </w:rPr>
              <w:t>上海</w:t>
            </w:r>
          </w:p>
        </w:tc>
        <w:tc>
          <w:tcPr>
            <w:tcW w:w="4255" w:type="dxa"/>
            <w:vAlign w:val="center"/>
          </w:tcPr>
          <w:p>
            <w:pPr>
              <w:jc w:val="left"/>
              <w:rPr>
                <w:rFonts w:ascii="新宋体" w:hAnsi="新宋体" w:eastAsia="新宋体" w:cs="宋体"/>
                <w:bCs/>
                <w:sz w:val="24"/>
              </w:rPr>
            </w:pPr>
            <w:r>
              <w:rPr>
                <w:rFonts w:hint="eastAsia" w:ascii="新宋体" w:hAnsi="新宋体" w:eastAsia="新宋体" w:cs="宋体"/>
                <w:bCs/>
                <w:sz w:val="24"/>
              </w:rPr>
              <w:t>装配式地产工程筹划课、工程设计课、工程管理与建造技术课、PC构件生产与管理课</w:t>
            </w:r>
          </w:p>
        </w:tc>
        <w:tc>
          <w:tcPr>
            <w:tcW w:w="2552" w:type="dxa"/>
            <w:vAlign w:val="center"/>
          </w:tcPr>
          <w:p>
            <w:pPr>
              <w:jc w:val="center"/>
              <w:rPr>
                <w:rFonts w:ascii="新宋体" w:hAnsi="新宋体" w:eastAsia="新宋体" w:cs="宋体"/>
                <w:bCs/>
                <w:sz w:val="24"/>
              </w:rPr>
            </w:pPr>
            <w:r>
              <w:rPr>
                <w:rFonts w:hint="eastAsia" w:ascii="新宋体" w:hAnsi="新宋体" w:eastAsia="新宋体" w:cs="宋体"/>
                <w:bCs/>
                <w:sz w:val="24"/>
              </w:rPr>
              <w:t>村山 克之</w:t>
            </w:r>
          </w:p>
          <w:p>
            <w:pPr>
              <w:jc w:val="center"/>
              <w:rPr>
                <w:rFonts w:ascii="新宋体" w:hAnsi="新宋体" w:eastAsia="新宋体" w:cs="宋体"/>
                <w:bCs/>
                <w:sz w:val="24"/>
              </w:rPr>
            </w:pPr>
            <w:r>
              <w:rPr>
                <w:rFonts w:hint="eastAsia" w:ascii="新宋体" w:hAnsi="新宋体" w:eastAsia="新宋体" w:cs="宋体"/>
                <w:bCs/>
                <w:sz w:val="24"/>
              </w:rPr>
              <w:t>后藤 浩</w:t>
            </w:r>
          </w:p>
          <w:p>
            <w:pPr>
              <w:jc w:val="center"/>
              <w:rPr>
                <w:rFonts w:ascii="新宋体" w:hAnsi="新宋体" w:eastAsia="新宋体" w:cs="宋体"/>
                <w:bCs/>
                <w:sz w:val="24"/>
              </w:rPr>
            </w:pPr>
            <w:r>
              <w:rPr>
                <w:rFonts w:hint="eastAsia" w:ascii="新宋体" w:hAnsi="新宋体" w:eastAsia="新宋体" w:cs="宋体"/>
                <w:bCs/>
                <w:sz w:val="24"/>
              </w:rPr>
              <w:t>中野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trPr>
        <w:tc>
          <w:tcPr>
            <w:tcW w:w="1569" w:type="dxa"/>
            <w:vAlign w:val="center"/>
          </w:tcPr>
          <w:p>
            <w:pPr>
              <w:jc w:val="center"/>
              <w:rPr>
                <w:rFonts w:ascii="新宋体" w:hAnsi="新宋体" w:eastAsia="新宋体" w:cs="宋体"/>
                <w:bCs/>
                <w:sz w:val="24"/>
              </w:rPr>
            </w:pPr>
            <w:r>
              <w:rPr>
                <w:rFonts w:hint="eastAsia" w:ascii="新宋体" w:hAnsi="新宋体" w:eastAsia="新宋体" w:cs="宋体"/>
                <w:bCs/>
                <w:sz w:val="24"/>
              </w:rPr>
              <w:t>8月25-27日</w:t>
            </w:r>
          </w:p>
        </w:tc>
        <w:tc>
          <w:tcPr>
            <w:tcW w:w="1230" w:type="dxa"/>
            <w:vAlign w:val="center"/>
          </w:tcPr>
          <w:p>
            <w:pPr>
              <w:jc w:val="center"/>
              <w:rPr>
                <w:rFonts w:ascii="新宋体" w:hAnsi="新宋体" w:eastAsia="新宋体" w:cs="宋体"/>
                <w:bCs/>
                <w:sz w:val="24"/>
              </w:rPr>
            </w:pPr>
            <w:r>
              <w:rPr>
                <w:rFonts w:hint="eastAsia" w:ascii="新宋体" w:hAnsi="新宋体" w:eastAsia="新宋体" w:cs="宋体"/>
                <w:bCs/>
                <w:sz w:val="24"/>
              </w:rPr>
              <w:t>武汉</w:t>
            </w:r>
          </w:p>
        </w:tc>
        <w:tc>
          <w:tcPr>
            <w:tcW w:w="4255" w:type="dxa"/>
            <w:vAlign w:val="center"/>
          </w:tcPr>
          <w:p>
            <w:pPr>
              <w:jc w:val="left"/>
              <w:rPr>
                <w:rFonts w:ascii="新宋体" w:hAnsi="新宋体" w:eastAsia="新宋体" w:cs="宋体"/>
                <w:bCs/>
                <w:sz w:val="24"/>
              </w:rPr>
            </w:pPr>
            <w:r>
              <w:rPr>
                <w:rFonts w:hint="eastAsia" w:ascii="新宋体" w:hAnsi="新宋体" w:eastAsia="新宋体" w:cs="宋体"/>
                <w:bCs/>
                <w:sz w:val="24"/>
              </w:rPr>
              <w:t>装配式地产工程筹划课、工程设计课、工程管理与建造技术课、PC构件生产与管理课</w:t>
            </w:r>
          </w:p>
        </w:tc>
        <w:tc>
          <w:tcPr>
            <w:tcW w:w="2552" w:type="dxa"/>
            <w:vAlign w:val="center"/>
          </w:tcPr>
          <w:p>
            <w:pPr>
              <w:jc w:val="center"/>
              <w:rPr>
                <w:rFonts w:ascii="新宋体" w:hAnsi="新宋体" w:eastAsia="新宋体" w:cs="宋体"/>
                <w:bCs/>
                <w:sz w:val="24"/>
              </w:rPr>
            </w:pPr>
            <w:r>
              <w:rPr>
                <w:rFonts w:hint="eastAsia" w:ascii="新宋体" w:hAnsi="新宋体" w:eastAsia="新宋体" w:cs="宋体"/>
                <w:bCs/>
                <w:sz w:val="24"/>
              </w:rPr>
              <w:t>村山 克之</w:t>
            </w:r>
          </w:p>
          <w:p>
            <w:pPr>
              <w:jc w:val="center"/>
              <w:rPr>
                <w:rFonts w:ascii="新宋体" w:hAnsi="新宋体" w:eastAsia="新宋体" w:cs="宋体"/>
                <w:bCs/>
                <w:sz w:val="24"/>
              </w:rPr>
            </w:pPr>
            <w:r>
              <w:rPr>
                <w:rFonts w:hint="eastAsia" w:ascii="新宋体" w:hAnsi="新宋体" w:eastAsia="新宋体" w:cs="宋体"/>
                <w:bCs/>
                <w:sz w:val="24"/>
              </w:rPr>
              <w:t>后藤 浩</w:t>
            </w:r>
          </w:p>
          <w:p>
            <w:pPr>
              <w:jc w:val="center"/>
              <w:rPr>
                <w:rFonts w:ascii="新宋体" w:hAnsi="新宋体" w:eastAsia="新宋体" w:cs="宋体"/>
                <w:bCs/>
                <w:sz w:val="24"/>
              </w:rPr>
            </w:pPr>
            <w:r>
              <w:rPr>
                <w:rFonts w:hint="eastAsia" w:ascii="新宋体" w:hAnsi="新宋体" w:eastAsia="新宋体" w:cs="宋体"/>
                <w:bCs/>
                <w:sz w:val="24"/>
              </w:rPr>
              <w:t>中野 章</w:t>
            </w:r>
          </w:p>
        </w:tc>
      </w:tr>
    </w:tbl>
    <w:p>
      <w:pPr>
        <w:pStyle w:val="12"/>
        <w:adjustRightInd w:val="0"/>
        <w:snapToGrid w:val="0"/>
        <w:spacing w:line="420" w:lineRule="exact"/>
        <w:ind w:left="126" w:leftChars="1" w:hanging="124" w:hangingChars="59"/>
        <w:jc w:val="left"/>
        <w:rPr>
          <w:rFonts w:ascii="华文中宋" w:hAnsi="华文中宋" w:eastAsia="华文中宋"/>
          <w:sz w:val="24"/>
          <w:szCs w:val="24"/>
        </w:rPr>
      </w:pPr>
      <w:r>
        <w:rPr>
          <w:rFonts w:hint="eastAsia" w:ascii="微软雅黑" w:hAnsi="微软雅黑" w:eastAsia="微软雅黑" w:cs="宋体"/>
          <w:b/>
          <w:color w:val="3E3E3E"/>
          <w:kern w:val="0"/>
          <w:szCs w:val="21"/>
        </w:rPr>
        <w:br w:type="textWrapping"/>
      </w:r>
      <w:r>
        <w:rPr>
          <w:rFonts w:hint="eastAsia" w:ascii="华文中宋" w:hAnsi="华文中宋" w:eastAsia="华文中宋"/>
          <w:sz w:val="24"/>
          <w:szCs w:val="24"/>
        </w:rPr>
        <w:t>四、培训费用</w:t>
      </w:r>
    </w:p>
    <w:p>
      <w:pPr>
        <w:pStyle w:val="12"/>
        <w:numPr>
          <w:ilvl w:val="0"/>
          <w:numId w:val="5"/>
        </w:numPr>
        <w:adjustRightInd w:val="0"/>
        <w:snapToGrid w:val="0"/>
        <w:spacing w:line="420" w:lineRule="exact"/>
        <w:ind w:left="0" w:firstLine="0" w:firstLineChars="0"/>
        <w:jc w:val="left"/>
        <w:rPr>
          <w:rFonts w:ascii="华文中宋" w:hAnsi="华文中宋" w:eastAsia="华文中宋"/>
          <w:sz w:val="24"/>
          <w:szCs w:val="24"/>
        </w:rPr>
      </w:pPr>
      <w:r>
        <w:rPr>
          <w:rFonts w:hint="eastAsia" w:ascii="华文中宋" w:hAnsi="华文中宋" w:eastAsia="华文中宋"/>
          <w:sz w:val="24"/>
          <w:szCs w:val="24"/>
        </w:rPr>
        <w:t>同一单位参加培训人数在1-5人（含5人），费用为￥5600元/人；同一单位培训人数在6人以上的，费用为￥4900元/人；</w:t>
      </w:r>
    </w:p>
    <w:p>
      <w:pPr>
        <w:pStyle w:val="12"/>
        <w:adjustRightInd w:val="0"/>
        <w:snapToGrid w:val="0"/>
        <w:spacing w:line="420" w:lineRule="exact"/>
        <w:ind w:firstLine="0" w:firstLineChars="0"/>
        <w:jc w:val="left"/>
        <w:rPr>
          <w:rFonts w:ascii="华文中宋" w:hAnsi="华文中宋" w:eastAsia="华文中宋"/>
          <w:sz w:val="24"/>
          <w:szCs w:val="24"/>
        </w:rPr>
      </w:pPr>
      <w:r>
        <w:rPr>
          <w:rFonts w:hint="eastAsia" w:ascii="华文中宋" w:hAnsi="华文中宋" w:eastAsia="华文中宋"/>
          <w:sz w:val="24"/>
          <w:szCs w:val="24"/>
        </w:rPr>
        <w:t>※费用包括：午餐费用、资料费、翻译费、场地费、现场观摩费、税金等。</w:t>
      </w:r>
    </w:p>
    <w:p>
      <w:pPr>
        <w:pStyle w:val="12"/>
        <w:adjustRightInd w:val="0"/>
        <w:snapToGrid w:val="0"/>
        <w:spacing w:line="420" w:lineRule="exact"/>
        <w:ind w:firstLine="0" w:firstLineChars="0"/>
        <w:jc w:val="left"/>
        <w:rPr>
          <w:rFonts w:ascii="华文中宋" w:hAnsi="华文中宋" w:eastAsia="华文中宋"/>
          <w:sz w:val="24"/>
          <w:szCs w:val="24"/>
        </w:rPr>
      </w:pPr>
      <w:r>
        <w:rPr>
          <w:rFonts w:hint="eastAsia" w:ascii="华文中宋" w:hAnsi="华文中宋" w:eastAsia="华文中宋"/>
          <w:sz w:val="24"/>
          <w:szCs w:val="24"/>
        </w:rPr>
        <w:t>※费用不包括培训期间的住宿费和晚餐费用。</w:t>
      </w:r>
    </w:p>
    <w:p>
      <w:pPr>
        <w:pStyle w:val="12"/>
        <w:numPr>
          <w:ilvl w:val="0"/>
          <w:numId w:val="5"/>
        </w:numPr>
        <w:adjustRightInd w:val="0"/>
        <w:snapToGrid w:val="0"/>
        <w:spacing w:line="420" w:lineRule="exact"/>
        <w:ind w:left="0" w:firstLine="0" w:firstLineChars="0"/>
        <w:jc w:val="left"/>
        <w:rPr>
          <w:rFonts w:ascii="华文中宋" w:hAnsi="华文中宋" w:eastAsia="华文中宋"/>
          <w:sz w:val="24"/>
          <w:szCs w:val="24"/>
        </w:rPr>
      </w:pPr>
      <w:r>
        <w:rPr>
          <w:rFonts w:hint="eastAsia" w:ascii="华文中宋" w:hAnsi="华文中宋" w:eastAsia="华文中宋"/>
          <w:sz w:val="24"/>
          <w:szCs w:val="24"/>
        </w:rPr>
        <w:t>凡于8月5日前报名缴费的，培训费用可享受9折优惠。</w:t>
      </w:r>
    </w:p>
    <w:p>
      <w:pPr>
        <w:adjustRightInd w:val="0"/>
        <w:snapToGrid w:val="0"/>
        <w:spacing w:line="420" w:lineRule="exact"/>
        <w:jc w:val="left"/>
        <w:rPr>
          <w:rFonts w:ascii="华文中宋" w:hAnsi="华文中宋" w:eastAsia="华文中宋"/>
          <w:sz w:val="24"/>
          <w:szCs w:val="24"/>
        </w:rPr>
      </w:pPr>
      <w:r>
        <w:rPr>
          <w:rFonts w:hint="eastAsia" w:ascii="华文中宋" w:hAnsi="华文中宋" w:eastAsia="华文中宋"/>
          <w:sz w:val="24"/>
          <w:szCs w:val="24"/>
        </w:rPr>
        <w:t>3、本培训也可作为企业内训形式，具体费用可另行协商。</w:t>
      </w:r>
    </w:p>
    <w:p>
      <w:pPr>
        <w:pStyle w:val="12"/>
        <w:adjustRightInd w:val="0"/>
        <w:snapToGrid w:val="0"/>
        <w:spacing w:line="420" w:lineRule="exact"/>
        <w:ind w:left="143" w:leftChars="1" w:hanging="141" w:hangingChars="59"/>
        <w:jc w:val="left"/>
        <w:rPr>
          <w:rFonts w:ascii="华文中宋" w:hAnsi="华文中宋" w:eastAsia="华文中宋"/>
          <w:sz w:val="24"/>
          <w:szCs w:val="24"/>
        </w:rPr>
      </w:pPr>
    </w:p>
    <w:p>
      <w:pPr>
        <w:pStyle w:val="12"/>
        <w:adjustRightInd w:val="0"/>
        <w:snapToGrid w:val="0"/>
        <w:spacing w:line="420" w:lineRule="exact"/>
        <w:ind w:left="143" w:leftChars="1" w:hanging="141" w:hangingChars="59"/>
        <w:jc w:val="left"/>
        <w:rPr>
          <w:rFonts w:ascii="华文中宋" w:hAnsi="华文中宋" w:eastAsia="华文中宋"/>
          <w:sz w:val="24"/>
          <w:szCs w:val="24"/>
        </w:rPr>
      </w:pPr>
      <w:r>
        <w:rPr>
          <w:rFonts w:hint="eastAsia" w:ascii="华文中宋" w:hAnsi="华文中宋" w:eastAsia="华文中宋"/>
          <w:sz w:val="24"/>
          <w:szCs w:val="24"/>
        </w:rPr>
        <w:t>五、</w:t>
      </w:r>
      <w:r>
        <w:rPr>
          <w:rFonts w:ascii="华文中宋" w:hAnsi="华文中宋" w:eastAsia="华文中宋"/>
          <w:sz w:val="24"/>
          <w:szCs w:val="24"/>
        </w:rPr>
        <w:t>培训对象</w:t>
      </w:r>
    </w:p>
    <w:p>
      <w:pPr>
        <w:pStyle w:val="12"/>
        <w:adjustRightInd w:val="0"/>
        <w:snapToGrid w:val="0"/>
        <w:spacing w:line="420" w:lineRule="exact"/>
        <w:ind w:left="2" w:firstLine="0" w:firstLineChars="0"/>
        <w:jc w:val="left"/>
        <w:rPr>
          <w:rFonts w:ascii="华文中宋" w:hAnsi="华文中宋" w:eastAsia="华文中宋"/>
          <w:sz w:val="24"/>
          <w:szCs w:val="24"/>
        </w:rPr>
      </w:pPr>
      <w:r>
        <w:rPr>
          <w:rFonts w:hint="eastAsia" w:ascii="华文中宋" w:hAnsi="华文中宋" w:eastAsia="华文中宋"/>
          <w:sz w:val="24"/>
          <w:szCs w:val="24"/>
        </w:rPr>
        <w:t>房地产开发企业、建筑勘察设计单位、建筑施工企业、预制构件生产企业、科研机构等单位从事构造设计、施工技术与管理、构件设计与研发的骨干人员。</w:t>
      </w: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r>
        <w:rPr>
          <w:rFonts w:hint="eastAsia" w:ascii="华文中宋" w:hAnsi="华文中宋" w:eastAsia="华文中宋"/>
          <w:sz w:val="24"/>
          <w:szCs w:val="24"/>
        </w:rPr>
        <w:t>六、</w:t>
      </w:r>
      <w:r>
        <w:rPr>
          <w:rStyle w:val="6"/>
          <w:rFonts w:hint="eastAsia"/>
          <w:color w:val="252525"/>
          <w:shd w:val="clear" w:color="auto" w:fill="FFFFFF"/>
        </w:rPr>
        <w:t>培训形式</w:t>
      </w:r>
    </w:p>
    <w:p>
      <w:pPr>
        <w:pStyle w:val="12"/>
        <w:adjustRightInd w:val="0"/>
        <w:snapToGrid w:val="0"/>
        <w:spacing w:line="420" w:lineRule="exact"/>
        <w:ind w:left="2" w:firstLine="0" w:firstLineChars="0"/>
        <w:jc w:val="left"/>
        <w:rPr>
          <w:rFonts w:ascii="华文中宋" w:hAnsi="华文中宋" w:eastAsia="华文中宋"/>
          <w:sz w:val="24"/>
          <w:szCs w:val="24"/>
        </w:rPr>
      </w:pPr>
      <w:r>
        <w:rPr>
          <w:rFonts w:hint="eastAsia" w:ascii="华文中宋" w:hAnsi="华文中宋" w:eastAsia="华文中宋"/>
          <w:sz w:val="24"/>
          <w:szCs w:val="24"/>
        </w:rPr>
        <w:t>本培训将采取课堂授课、现场教学与观摩相结合的形式，为学员进行规范解读、技术解析、案例精讲和工程实操。</w:t>
      </w: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r>
        <w:rPr>
          <w:rFonts w:hint="eastAsia" w:ascii="华文中宋" w:hAnsi="华文中宋" w:eastAsia="华文中宋"/>
          <w:sz w:val="24"/>
          <w:szCs w:val="24"/>
        </w:rPr>
        <w:t>七、其他事项</w:t>
      </w:r>
    </w:p>
    <w:p>
      <w:pPr>
        <w:pStyle w:val="12"/>
        <w:adjustRightInd w:val="0"/>
        <w:snapToGrid w:val="0"/>
        <w:spacing w:line="420" w:lineRule="exact"/>
        <w:ind w:left="2" w:firstLine="0" w:firstLineChars="0"/>
        <w:jc w:val="left"/>
        <w:rPr>
          <w:rFonts w:hint="eastAsia" w:ascii="华文中宋" w:hAnsi="华文中宋" w:eastAsia="华文中宋"/>
          <w:sz w:val="24"/>
          <w:szCs w:val="24"/>
        </w:rPr>
      </w:pPr>
      <w:r>
        <w:rPr>
          <w:rFonts w:hint="eastAsia" w:ascii="华文中宋" w:hAnsi="华文中宋" w:eastAsia="华文中宋"/>
          <w:sz w:val="24"/>
          <w:szCs w:val="24"/>
        </w:rPr>
        <w:t>1、参加人员培训学时可记入《专业技术人员继续教育登记手册》。</w:t>
      </w:r>
    </w:p>
    <w:p>
      <w:pPr>
        <w:pStyle w:val="12"/>
        <w:adjustRightInd w:val="0"/>
        <w:snapToGrid w:val="0"/>
        <w:spacing w:line="420" w:lineRule="exact"/>
        <w:ind w:left="2" w:firstLine="0" w:firstLineChars="0"/>
        <w:jc w:val="left"/>
        <w:rPr>
          <w:rFonts w:ascii="华文中宋" w:hAnsi="华文中宋" w:eastAsia="华文中宋"/>
          <w:sz w:val="24"/>
          <w:szCs w:val="24"/>
        </w:rPr>
      </w:pPr>
      <w:r>
        <w:rPr>
          <w:rFonts w:hint="eastAsia" w:ascii="华文中宋" w:hAnsi="华文中宋" w:eastAsia="华文中宋"/>
          <w:sz w:val="24"/>
          <w:szCs w:val="24"/>
        </w:rPr>
        <w:t>2、如需办理工业和信息化部人才交流中心颁发“BIM工程师（装配式）”证书，可与我们联系。</w:t>
      </w:r>
    </w:p>
    <w:p>
      <w:pPr>
        <w:pStyle w:val="12"/>
        <w:adjustRightInd w:val="0"/>
        <w:snapToGrid w:val="0"/>
        <w:spacing w:line="420" w:lineRule="exact"/>
        <w:ind w:left="2" w:firstLine="0" w:firstLineChars="0"/>
        <w:jc w:val="left"/>
        <w:rPr>
          <w:rFonts w:ascii="华文中宋" w:hAnsi="华文中宋" w:eastAsia="华文中宋"/>
          <w:sz w:val="24"/>
          <w:szCs w:val="24"/>
        </w:rPr>
      </w:pPr>
      <w:r>
        <w:rPr>
          <w:rFonts w:hint="eastAsia" w:ascii="华文中宋" w:hAnsi="华文中宋" w:eastAsia="华文中宋"/>
          <w:sz w:val="24"/>
          <w:szCs w:val="24"/>
        </w:rPr>
        <w:t>3、主办方会在开班前10天发送培训报到通知，通知会注明培训地点、报到时间、住宿费用等事项；</w:t>
      </w:r>
    </w:p>
    <w:p>
      <w:pPr>
        <w:pStyle w:val="12"/>
        <w:adjustRightInd w:val="0"/>
        <w:snapToGrid w:val="0"/>
        <w:spacing w:line="420" w:lineRule="exact"/>
        <w:ind w:left="2" w:firstLine="0" w:firstLineChars="0"/>
        <w:jc w:val="left"/>
        <w:rPr>
          <w:rFonts w:ascii="华文中宋" w:hAnsi="华文中宋" w:eastAsia="华文中宋"/>
          <w:sz w:val="24"/>
          <w:szCs w:val="24"/>
        </w:rPr>
      </w:pPr>
      <w:r>
        <w:rPr>
          <w:rFonts w:hint="eastAsia" w:ascii="华文中宋" w:hAnsi="华文中宋" w:eastAsia="华文中宋"/>
          <w:sz w:val="24"/>
          <w:szCs w:val="24"/>
        </w:rPr>
        <w:t>4、主办方将为参加培训的企业开具国税增值税专用发票或国税普通发票，请在培训开始前提供开票信息；</w:t>
      </w:r>
    </w:p>
    <w:p>
      <w:pPr>
        <w:pStyle w:val="12"/>
        <w:adjustRightInd w:val="0"/>
        <w:snapToGrid w:val="0"/>
        <w:spacing w:line="420" w:lineRule="exact"/>
        <w:ind w:left="2" w:firstLine="0" w:firstLineChars="0"/>
        <w:jc w:val="left"/>
        <w:rPr>
          <w:rFonts w:ascii="华文中宋" w:hAnsi="华文中宋" w:eastAsia="华文中宋"/>
          <w:sz w:val="24"/>
          <w:szCs w:val="24"/>
        </w:rPr>
      </w:pPr>
      <w:r>
        <w:rPr>
          <w:rFonts w:hint="eastAsia" w:ascii="华文中宋" w:hAnsi="华文中宋" w:eastAsia="华文中宋"/>
          <w:sz w:val="24"/>
          <w:szCs w:val="24"/>
        </w:rPr>
        <w:t>5、参加培训的企业需填写“培训报名表”（见附件）。填好后，</w:t>
      </w:r>
      <w:r>
        <w:fldChar w:fldCharType="begin"/>
      </w:r>
      <w:r>
        <w:instrText xml:space="preserve"> HYPERLINK "mailto:将报名表回发致554056455@qq.com" </w:instrText>
      </w:r>
      <w:r>
        <w:fldChar w:fldCharType="separate"/>
      </w:r>
      <w:r>
        <w:rPr>
          <w:rStyle w:val="7"/>
          <w:rFonts w:hint="eastAsia" w:ascii="华文中宋" w:hAnsi="华文中宋" w:eastAsia="华文中宋"/>
          <w:sz w:val="24"/>
          <w:szCs w:val="24"/>
        </w:rPr>
        <w:t>将报名表回发致</w:t>
      </w:r>
      <w:r>
        <w:rPr>
          <w:rStyle w:val="7"/>
          <w:rFonts w:hint="eastAsia" w:ascii="华文中宋" w:hAnsi="华文中宋" w:eastAsia="华文中宋"/>
          <w:sz w:val="24"/>
          <w:szCs w:val="24"/>
          <w:lang w:val="en-US" w:eastAsia="zh-CN"/>
        </w:rPr>
        <w:t>z</w:t>
      </w:r>
      <w:r>
        <w:rPr>
          <w:rStyle w:val="7"/>
          <w:rFonts w:hint="eastAsia" w:ascii="华文中宋" w:hAnsi="华文中宋" w:eastAsia="华文中宋"/>
          <w:sz w:val="24"/>
          <w:szCs w:val="24"/>
        </w:rPr>
        <w:fldChar w:fldCharType="end"/>
      </w:r>
      <w:r>
        <w:rPr>
          <w:rStyle w:val="7"/>
          <w:rFonts w:hint="eastAsia" w:ascii="华文中宋" w:hAnsi="华文中宋" w:eastAsia="华文中宋"/>
          <w:sz w:val="24"/>
          <w:szCs w:val="24"/>
          <w:lang w:val="en-US" w:eastAsia="zh-CN"/>
        </w:rPr>
        <w:t>qgphwz@126</w:t>
      </w:r>
      <w:bookmarkStart w:id="0" w:name="_GoBack"/>
      <w:bookmarkEnd w:id="0"/>
      <w:r>
        <w:rPr>
          <w:rStyle w:val="7"/>
          <w:rFonts w:hint="eastAsia" w:ascii="华文中宋" w:hAnsi="华文中宋" w:eastAsia="华文中宋"/>
          <w:sz w:val="24"/>
          <w:szCs w:val="24"/>
          <w:lang w:val="en-US" w:eastAsia="zh-CN"/>
        </w:rPr>
        <w:t>.com</w:t>
      </w:r>
      <w:r>
        <w:rPr>
          <w:rFonts w:hint="eastAsia" w:ascii="华文中宋" w:hAnsi="华文中宋" w:eastAsia="华文中宋"/>
          <w:sz w:val="24"/>
          <w:szCs w:val="24"/>
        </w:rPr>
        <w:t xml:space="preserve">. </w:t>
      </w:r>
    </w:p>
    <w:p>
      <w:pPr>
        <w:spacing w:line="340" w:lineRule="exact"/>
        <w:rPr>
          <w:rFonts w:hint="eastAsia" w:ascii="宋体" w:hAnsi="宋体"/>
          <w:b/>
          <w:color w:val="000000"/>
          <w:sz w:val="24"/>
        </w:rPr>
      </w:pPr>
      <w:r>
        <w:rPr>
          <w:rFonts w:hint="eastAsia" w:ascii="华文中宋" w:hAnsi="华文中宋" w:eastAsia="华文中宋"/>
          <w:sz w:val="24"/>
          <w:szCs w:val="24"/>
        </w:rPr>
        <w:t>6、报名咨询：</w:t>
      </w:r>
      <w:r>
        <w:rPr>
          <w:rFonts w:hint="eastAsia" w:ascii="宋体" w:hAnsi="宋体"/>
          <w:b/>
          <w:color w:val="000000"/>
          <w:sz w:val="24"/>
        </w:rPr>
        <w:t>联系人：聂红军 老师 18211071700（微信）         邮  箱：zqgphwz@126.com</w:t>
      </w:r>
    </w:p>
    <w:p>
      <w:pPr>
        <w:pStyle w:val="12"/>
        <w:adjustRightInd w:val="0"/>
        <w:snapToGrid w:val="0"/>
        <w:spacing w:line="420" w:lineRule="exact"/>
        <w:ind w:left="2" w:firstLine="1205" w:firstLineChars="500"/>
        <w:jc w:val="left"/>
        <w:rPr>
          <w:rFonts w:ascii="宋体"/>
          <w:sz w:val="24"/>
        </w:rPr>
      </w:pPr>
      <w:r>
        <w:rPr>
          <w:rFonts w:hint="eastAsia" w:ascii="宋体" w:hAnsi="宋体"/>
          <w:b/>
          <w:color w:val="000000"/>
          <w:sz w:val="24"/>
        </w:rPr>
        <w:t>电话（传真）：010-87697580                      qq咨询：3177524020</w:t>
      </w:r>
    </w:p>
    <w:p>
      <w:pPr>
        <w:adjustRightInd w:val="0"/>
        <w:snapToGrid w:val="0"/>
        <w:spacing w:line="420" w:lineRule="exact"/>
        <w:jc w:val="left"/>
        <w:rPr>
          <w:rFonts w:ascii="宋体"/>
          <w:sz w:val="24"/>
        </w:rPr>
      </w:pPr>
    </w:p>
    <w:p>
      <w:pPr>
        <w:adjustRightInd w:val="0"/>
        <w:snapToGrid w:val="0"/>
        <w:spacing w:line="420" w:lineRule="exact"/>
        <w:jc w:val="left"/>
        <w:rPr>
          <w:rFonts w:ascii="华文中宋" w:hAnsi="华文中宋" w:eastAsia="华文中宋"/>
          <w:sz w:val="24"/>
          <w:szCs w:val="24"/>
        </w:rPr>
      </w:pPr>
      <w:r>
        <w:rPr>
          <w:rFonts w:hint="eastAsia"/>
        </w:rPr>
        <w:drawing>
          <wp:anchor distT="0" distB="0" distL="114300" distR="114300" simplePos="0" relativeHeight="251662336" behindDoc="1" locked="0" layoutInCell="1" allowOverlap="1">
            <wp:simplePos x="0" y="0"/>
            <wp:positionH relativeFrom="column">
              <wp:posOffset>3974465</wp:posOffset>
            </wp:positionH>
            <wp:positionV relativeFrom="paragraph">
              <wp:posOffset>201295</wp:posOffset>
            </wp:positionV>
            <wp:extent cx="1713230" cy="2021205"/>
            <wp:effectExtent l="19050" t="0" r="1041" b="0"/>
            <wp:wrapNone/>
            <wp:docPr id="1" name="图片 0" descr="套红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套红章.jpg"/>
                    <pic:cNvPicPr>
                      <a:picLocks noChangeAspect="1"/>
                    </pic:cNvPicPr>
                  </pic:nvPicPr>
                  <pic:blipFill>
                    <a:blip r:embed="rId8" cstate="print"/>
                    <a:stretch>
                      <a:fillRect/>
                    </a:stretch>
                  </pic:blipFill>
                  <pic:spPr>
                    <a:xfrm>
                      <a:off x="0" y="0"/>
                      <a:ext cx="1713178" cy="2020570"/>
                    </a:xfrm>
                    <a:prstGeom prst="rect">
                      <a:avLst/>
                    </a:prstGeom>
                  </pic:spPr>
                </pic:pic>
              </a:graphicData>
            </a:graphic>
          </wp:anchor>
        </w:drawing>
      </w: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5640" w:firstLineChars="2350"/>
        <w:jc w:val="left"/>
        <w:rPr>
          <w:rFonts w:ascii="华文中宋" w:hAnsi="华文中宋" w:eastAsia="华文中宋"/>
          <w:sz w:val="24"/>
          <w:szCs w:val="24"/>
        </w:rPr>
      </w:pPr>
      <w:r>
        <w:rPr>
          <w:rFonts w:hint="eastAsia" w:ascii="华文中宋" w:hAnsi="华文中宋" w:eastAsia="华文中宋"/>
          <w:sz w:val="24"/>
          <w:szCs w:val="24"/>
        </w:rPr>
        <w:t>北京中外友联建筑文化交流中心</w:t>
      </w:r>
    </w:p>
    <w:p>
      <w:pPr>
        <w:pStyle w:val="12"/>
        <w:adjustRightInd w:val="0"/>
        <w:snapToGrid w:val="0"/>
        <w:spacing w:line="420" w:lineRule="exact"/>
        <w:ind w:left="2" w:firstLine="5640" w:firstLineChars="2350"/>
        <w:jc w:val="left"/>
        <w:rPr>
          <w:rFonts w:ascii="华文中宋" w:hAnsi="华文中宋" w:eastAsia="华文中宋"/>
          <w:sz w:val="24"/>
          <w:szCs w:val="24"/>
        </w:rPr>
      </w:pPr>
      <w:r>
        <w:rPr>
          <w:rFonts w:hint="eastAsia" w:ascii="华文中宋" w:hAnsi="华文中宋" w:eastAsia="华文中宋"/>
          <w:sz w:val="24"/>
          <w:szCs w:val="24"/>
        </w:rPr>
        <w:t xml:space="preserve">          2018年7月</w:t>
      </w:r>
    </w:p>
    <w:p>
      <w:pPr>
        <w:pStyle w:val="12"/>
        <w:adjustRightInd w:val="0"/>
        <w:snapToGrid w:val="0"/>
        <w:spacing w:line="420" w:lineRule="exact"/>
        <w:ind w:left="2" w:firstLine="0" w:firstLineChars="0"/>
        <w:jc w:val="center"/>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adjustRightInd w:val="0"/>
        <w:snapToGrid w:val="0"/>
        <w:spacing w:line="420" w:lineRule="exact"/>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r>
        <w:rPr>
          <w:rFonts w:hint="eastAsia" w:ascii="华文中宋" w:hAnsi="华文中宋" w:eastAsia="华文中宋"/>
          <w:sz w:val="24"/>
          <w:szCs w:val="24"/>
        </w:rPr>
        <w:t>附：《培训报名表》</w:t>
      </w:r>
    </w:p>
    <w:p>
      <w:pPr>
        <w:pStyle w:val="12"/>
        <w:adjustRightInd w:val="0"/>
        <w:snapToGrid w:val="0"/>
        <w:spacing w:line="420" w:lineRule="exact"/>
        <w:ind w:left="2" w:firstLine="0" w:firstLineChars="0"/>
        <w:jc w:val="left"/>
        <w:rPr>
          <w:rFonts w:ascii="华文中宋" w:hAnsi="华文中宋" w:eastAsia="华文中宋"/>
          <w:sz w:val="24"/>
          <w:szCs w:val="24"/>
        </w:rPr>
      </w:pPr>
    </w:p>
    <w:p>
      <w:pPr>
        <w:pStyle w:val="12"/>
        <w:adjustRightInd w:val="0"/>
        <w:snapToGrid w:val="0"/>
        <w:spacing w:line="420" w:lineRule="exact"/>
        <w:ind w:left="2" w:firstLine="0" w:firstLineChars="0"/>
        <w:jc w:val="left"/>
        <w:rPr>
          <w:rFonts w:ascii="华文中宋" w:hAnsi="华文中宋" w:eastAsia="华文中宋"/>
          <w:sz w:val="24"/>
          <w:szCs w:val="24"/>
        </w:rPr>
      </w:pPr>
    </w:p>
    <w:p>
      <w:pPr>
        <w:adjustRightInd w:val="0"/>
        <w:snapToGrid w:val="0"/>
        <w:spacing w:line="420" w:lineRule="exact"/>
        <w:jc w:val="left"/>
        <w:rPr>
          <w:rFonts w:ascii="华文中宋" w:hAnsi="华文中宋" w:eastAsia="华文中宋"/>
          <w:sz w:val="24"/>
          <w:szCs w:val="24"/>
        </w:rPr>
      </w:pPr>
    </w:p>
    <w:p>
      <w:pPr>
        <w:shd w:val="clear" w:color="auto" w:fill="FFFFFF"/>
        <w:spacing w:line="360" w:lineRule="auto"/>
        <w:ind w:right="-1009"/>
        <w:jc w:val="center"/>
        <w:rPr>
          <w:rFonts w:ascii="微软雅黑" w:hAnsi="微软雅黑" w:eastAsia="微软雅黑" w:cs="黑体"/>
          <w:spacing w:val="-2"/>
          <w:sz w:val="36"/>
          <w:szCs w:val="36"/>
        </w:rPr>
      </w:pPr>
      <w:r>
        <w:rPr>
          <w:rFonts w:hint="eastAsia" w:ascii="微软雅黑" w:hAnsi="微软雅黑" w:eastAsia="微软雅黑" w:cs="黑体"/>
          <w:spacing w:val="-2"/>
          <w:sz w:val="36"/>
          <w:szCs w:val="36"/>
        </w:rPr>
        <w:t>培 训 报 名 回 执 表</w:t>
      </w:r>
    </w:p>
    <w:tbl>
      <w:tblPr>
        <w:tblStyle w:val="8"/>
        <w:tblpPr w:leftFromText="180" w:rightFromText="180" w:vertAnchor="text" w:tblpXSpec="center" w:tblpY="1"/>
        <w:tblOverlap w:val="never"/>
        <w:tblW w:w="98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1560"/>
        <w:gridCol w:w="992"/>
        <w:gridCol w:w="1417"/>
        <w:gridCol w:w="567"/>
        <w:gridCol w:w="3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培训地点</w:t>
            </w:r>
          </w:p>
        </w:tc>
        <w:tc>
          <w:tcPr>
            <w:tcW w:w="8028"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ind w:firstLine="240" w:firstLineChars="100"/>
              <w:jc w:val="center"/>
              <w:rPr>
                <w:rFonts w:ascii="宋体" w:hAnsi="宋体"/>
                <w:sz w:val="24"/>
              </w:rPr>
            </w:pPr>
            <w:r>
              <w:rPr>
                <w:rFonts w:hint="eastAsia" w:asciiTheme="minorEastAsia" w:hAnsiTheme="minorEastAsia"/>
                <w:sz w:val="24"/>
              </w:rPr>
              <w:t xml:space="preserve">□北京        □上海       □武汉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单位名称</w:t>
            </w:r>
          </w:p>
        </w:tc>
        <w:tc>
          <w:tcPr>
            <w:tcW w:w="8028"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ind w:firstLine="240" w:firstLineChars="1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通讯地址</w:t>
            </w:r>
          </w:p>
        </w:tc>
        <w:tc>
          <w:tcPr>
            <w:tcW w:w="8028"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经办人</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E-mail/QQ</w:t>
            </w:r>
          </w:p>
        </w:tc>
        <w:tc>
          <w:tcPr>
            <w:tcW w:w="349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电    话</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传  真</w:t>
            </w:r>
          </w:p>
        </w:tc>
        <w:tc>
          <w:tcPr>
            <w:tcW w:w="349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0"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参会人员姓名</w:t>
            </w: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性 别</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职务／职称</w:t>
            </w: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手  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0"/>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9"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0"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0"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240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c>
          <w:tcPr>
            <w:tcW w:w="4059"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仿宋_GB2312" w:hAnsi="宋体"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费用合计</w:t>
            </w:r>
          </w:p>
        </w:tc>
        <w:tc>
          <w:tcPr>
            <w:tcW w:w="8028"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left"/>
              <w:rPr>
                <w:rFonts w:ascii="宋体" w:hAnsi="宋体"/>
                <w:b/>
                <w:bCs/>
                <w:sz w:val="24"/>
              </w:rPr>
            </w:pPr>
            <w:r>
              <w:rPr>
                <w:rFonts w:hint="eastAsia" w:ascii="宋体" w:hAnsi="宋体"/>
                <w:b/>
                <w:bCs/>
                <w:sz w:val="24"/>
              </w:rPr>
              <w:t>(大写人民币)</w:t>
            </w:r>
            <w:r>
              <w:rPr>
                <w:rFonts w:ascii="宋体" w:hAnsi="宋体"/>
                <w:b/>
                <w:bCs/>
                <w:sz w:val="24"/>
              </w:rPr>
              <w:t xml:space="preserve">  </w:t>
            </w:r>
            <w:r>
              <w:rPr>
                <w:rFonts w:hint="eastAsia" w:ascii="宋体" w:hAnsi="宋体"/>
                <w:b/>
                <w:bCs/>
                <w:sz w:val="24"/>
              </w:rPr>
              <w:t xml:space="preserve"> 万</w:t>
            </w:r>
            <w:r>
              <w:rPr>
                <w:rFonts w:ascii="宋体" w:hAnsi="宋体"/>
                <w:b/>
                <w:bCs/>
                <w:sz w:val="24"/>
              </w:rPr>
              <w:t xml:space="preserve"> </w:t>
            </w:r>
            <w:r>
              <w:rPr>
                <w:rFonts w:hint="eastAsia" w:ascii="宋体" w:hAnsi="宋体"/>
                <w:b/>
                <w:bCs/>
                <w:sz w:val="24"/>
              </w:rPr>
              <w:t xml:space="preserve">  仟</w:t>
            </w:r>
            <w:r>
              <w:rPr>
                <w:rFonts w:ascii="宋体" w:hAnsi="宋体"/>
                <w:b/>
                <w:bCs/>
                <w:sz w:val="24"/>
              </w:rPr>
              <w:t xml:space="preserve"> </w:t>
            </w:r>
            <w:r>
              <w:rPr>
                <w:rFonts w:hint="eastAsia" w:ascii="宋体" w:hAnsi="宋体"/>
                <w:b/>
                <w:bCs/>
                <w:sz w:val="24"/>
              </w:rPr>
              <w:t xml:space="preserve">  陆</w:t>
            </w:r>
            <w:r>
              <w:rPr>
                <w:rFonts w:ascii="宋体" w:hAnsi="宋体"/>
                <w:b/>
                <w:bCs/>
                <w:sz w:val="24"/>
              </w:rPr>
              <w:t xml:space="preserve"> </w:t>
            </w:r>
            <w:r>
              <w:rPr>
                <w:rFonts w:hint="eastAsia" w:ascii="宋体" w:hAnsi="宋体"/>
                <w:b/>
                <w:bCs/>
                <w:sz w:val="24"/>
              </w:rPr>
              <w:t xml:space="preserve"> 佰 </w:t>
            </w:r>
            <w:r>
              <w:rPr>
                <w:rFonts w:ascii="宋体" w:hAnsi="宋体"/>
                <w:b/>
                <w:bCs/>
                <w:sz w:val="24"/>
              </w:rPr>
              <w:t xml:space="preserve"> </w:t>
            </w:r>
            <w:r>
              <w:rPr>
                <w:rFonts w:hint="eastAsia" w:ascii="宋体" w:hAnsi="宋体"/>
                <w:b/>
                <w:bCs/>
                <w:sz w:val="24"/>
              </w:rPr>
              <w:t>元整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8" w:hRule="exact"/>
        </w:trPr>
        <w:tc>
          <w:tcPr>
            <w:tcW w:w="18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会务账户</w:t>
            </w:r>
          </w:p>
        </w:tc>
        <w:tc>
          <w:tcPr>
            <w:tcW w:w="8028" w:type="dxa"/>
            <w:gridSpan w:val="5"/>
            <w:tcBorders>
              <w:top w:val="single" w:color="auto" w:sz="4" w:space="0"/>
              <w:bottom w:val="single" w:color="auto" w:sz="4" w:space="0"/>
              <w:right w:val="single" w:color="auto" w:sz="4" w:space="0"/>
            </w:tcBorders>
            <w:vAlign w:val="center"/>
          </w:tcPr>
          <w:p>
            <w:pPr>
              <w:shd w:val="clear" w:color="auto" w:fill="FFFFFF"/>
              <w:spacing w:line="400" w:lineRule="exact"/>
              <w:jc w:val="left"/>
              <w:rPr>
                <w:rFonts w:ascii="宋体" w:hAnsi="宋体"/>
                <w:b/>
                <w:bCs/>
                <w:sz w:val="24"/>
              </w:rPr>
            </w:pPr>
            <w:r>
              <w:rPr>
                <w:rFonts w:hint="eastAsia" w:ascii="宋体" w:hAnsi="宋体"/>
                <w:b/>
                <w:bCs/>
                <w:sz w:val="24"/>
              </w:rPr>
              <w:t>收款单位：北京中外友联建筑文化交流中心有限公司</w:t>
            </w:r>
          </w:p>
          <w:p>
            <w:pPr>
              <w:shd w:val="clear" w:color="auto" w:fill="FFFFFF"/>
              <w:spacing w:line="400" w:lineRule="exact"/>
              <w:jc w:val="left"/>
              <w:rPr>
                <w:rFonts w:ascii="宋体" w:hAnsi="宋体"/>
                <w:b/>
                <w:bCs/>
                <w:sz w:val="24"/>
              </w:rPr>
            </w:pPr>
            <w:r>
              <w:rPr>
                <w:rFonts w:hint="eastAsia" w:ascii="宋体" w:hAnsi="宋体"/>
                <w:b/>
                <w:bCs/>
                <w:sz w:val="24"/>
              </w:rPr>
              <w:t>开</w:t>
            </w:r>
            <w:r>
              <w:rPr>
                <w:rFonts w:ascii="宋体" w:hAnsi="宋体"/>
                <w:b/>
                <w:bCs/>
                <w:sz w:val="24"/>
              </w:rPr>
              <w:t xml:space="preserve"> </w:t>
            </w:r>
            <w:r>
              <w:rPr>
                <w:rFonts w:hint="eastAsia" w:ascii="宋体" w:hAnsi="宋体"/>
                <w:b/>
                <w:bCs/>
                <w:sz w:val="24"/>
              </w:rPr>
              <w:t>户</w:t>
            </w:r>
            <w:r>
              <w:rPr>
                <w:rFonts w:ascii="宋体" w:hAnsi="宋体"/>
                <w:b/>
                <w:bCs/>
                <w:sz w:val="24"/>
              </w:rPr>
              <w:t xml:space="preserve"> </w:t>
            </w:r>
            <w:r>
              <w:rPr>
                <w:rFonts w:hint="eastAsia" w:ascii="宋体" w:hAnsi="宋体"/>
                <w:b/>
                <w:bCs/>
                <w:sz w:val="24"/>
              </w:rPr>
              <w:t>行：中国工商银行北京安贞支行</w:t>
            </w:r>
          </w:p>
          <w:p>
            <w:pPr>
              <w:shd w:val="clear" w:color="auto" w:fill="FFFFFF"/>
              <w:spacing w:line="400" w:lineRule="exact"/>
              <w:jc w:val="left"/>
              <w:rPr>
                <w:rFonts w:ascii="宋体" w:hAnsi="宋体"/>
                <w:b/>
                <w:bCs/>
                <w:sz w:val="24"/>
              </w:rPr>
            </w:pPr>
            <w:r>
              <w:rPr>
                <w:rFonts w:hint="eastAsia" w:ascii="宋体" w:hAnsi="宋体"/>
                <w:b/>
                <w:bCs/>
                <w:sz w:val="24"/>
              </w:rPr>
              <w:t>账    号：0200064809024563981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1809" w:type="dxa"/>
            <w:vMerge w:val="restart"/>
            <w:tcBorders>
              <w:top w:val="single" w:color="auto" w:sz="4" w:space="0"/>
              <w:left w:val="single" w:color="auto" w:sz="4" w:space="0"/>
              <w:right w:val="single" w:color="auto" w:sz="4" w:space="0"/>
            </w:tcBorders>
            <w:vAlign w:val="center"/>
          </w:tcPr>
          <w:p>
            <w:pPr>
              <w:shd w:val="clear" w:color="auto" w:fill="FFFFFF"/>
              <w:spacing w:line="400" w:lineRule="exact"/>
              <w:jc w:val="center"/>
              <w:rPr>
                <w:rFonts w:ascii="宋体" w:hAnsi="宋体"/>
                <w:sz w:val="24"/>
              </w:rPr>
            </w:pPr>
            <w:r>
              <w:rPr>
                <w:rFonts w:hint="eastAsia" w:ascii="宋体" w:hAnsi="宋体"/>
                <w:sz w:val="24"/>
              </w:rPr>
              <w:t>发票类型</w:t>
            </w:r>
          </w:p>
        </w:tc>
        <w:tc>
          <w:tcPr>
            <w:tcW w:w="8028" w:type="dxa"/>
            <w:gridSpan w:val="5"/>
            <w:tcBorders>
              <w:top w:val="single" w:color="auto" w:sz="4" w:space="0"/>
              <w:right w:val="single" w:color="auto" w:sz="4" w:space="0"/>
            </w:tcBorders>
            <w:vAlign w:val="center"/>
          </w:tcPr>
          <w:p>
            <w:pPr>
              <w:spacing w:line="400" w:lineRule="exact"/>
              <w:jc w:val="center"/>
              <w:rPr>
                <w:rFonts w:ascii="宋体" w:hAnsi="宋体" w:cs="宋体"/>
                <w:b/>
                <w:bCs/>
                <w:kern w:val="0"/>
                <w:sz w:val="24"/>
              </w:rPr>
            </w:pPr>
            <w:r>
              <w:rPr>
                <w:rFonts w:hint="eastAsia" w:ascii="宋体" w:hAnsi="宋体"/>
                <w:b/>
                <w:bCs/>
                <w:sz w:val="24"/>
              </w:rPr>
              <w:t>□国税普通发票           □国税增值税专用发票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1809" w:type="dxa"/>
            <w:vMerge w:val="continue"/>
            <w:tcBorders>
              <w:left w:val="single" w:color="auto" w:sz="4" w:space="0"/>
              <w:bottom w:val="single" w:color="auto" w:sz="4" w:space="0"/>
              <w:right w:val="single" w:color="auto" w:sz="4" w:space="0"/>
            </w:tcBorders>
            <w:vAlign w:val="center"/>
          </w:tcPr>
          <w:p>
            <w:pPr>
              <w:shd w:val="clear" w:color="auto" w:fill="FFFFFF"/>
              <w:spacing w:line="400" w:lineRule="exact"/>
              <w:jc w:val="center"/>
              <w:rPr>
                <w:rFonts w:ascii="宋体" w:hAnsi="宋体"/>
                <w:sz w:val="24"/>
              </w:rPr>
            </w:pPr>
          </w:p>
        </w:tc>
        <w:tc>
          <w:tcPr>
            <w:tcW w:w="8028" w:type="dxa"/>
            <w:gridSpan w:val="5"/>
            <w:tcBorders>
              <w:top w:val="single" w:color="auto" w:sz="4" w:space="0"/>
              <w:bottom w:val="single" w:color="auto" w:sz="4" w:space="0"/>
              <w:right w:val="single" w:color="auto" w:sz="4" w:space="0"/>
            </w:tcBorders>
            <w:vAlign w:val="center"/>
          </w:tcPr>
          <w:p>
            <w:pPr>
              <w:spacing w:line="400" w:lineRule="exact"/>
              <w:jc w:val="left"/>
              <w:rPr>
                <w:rFonts w:ascii="宋体" w:hAnsi="宋体"/>
                <w:b/>
                <w:bCs/>
                <w:sz w:val="24"/>
              </w:rPr>
            </w:pPr>
            <w:r>
              <w:rPr>
                <w:rFonts w:hint="eastAsia" w:ascii="宋体" w:hAnsi="宋体" w:cs="宋体"/>
                <w:b/>
                <w:bCs/>
                <w:spacing w:val="-2"/>
                <w:kern w:val="0"/>
                <w:sz w:val="24"/>
              </w:rPr>
              <w:t>注：要求开增值税专用发票的单位，请提前向会务组提供税务登记号码、开户银行信息、开票信息等资料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1" w:hRule="atLeast"/>
        </w:trPr>
        <w:tc>
          <w:tcPr>
            <w:tcW w:w="1809" w:type="dxa"/>
            <w:tcBorders>
              <w:top w:val="single" w:color="auto" w:sz="4" w:space="0"/>
              <w:left w:val="single" w:color="auto" w:sz="4" w:space="0"/>
              <w:bottom w:val="single" w:color="auto" w:sz="4" w:space="0"/>
              <w:right w:val="nil"/>
            </w:tcBorders>
            <w:vAlign w:val="center"/>
          </w:tcPr>
          <w:p>
            <w:pPr>
              <w:shd w:val="clear" w:color="auto" w:fill="FFFFFF"/>
              <w:spacing w:line="400" w:lineRule="exact"/>
              <w:jc w:val="center"/>
              <w:rPr>
                <w:rFonts w:ascii="宋体" w:hAnsi="宋体"/>
                <w:sz w:val="24"/>
              </w:rPr>
            </w:pPr>
            <w:r>
              <w:rPr>
                <w:rFonts w:hint="eastAsia" w:ascii="宋体" w:hAnsi="宋体"/>
                <w:sz w:val="24"/>
              </w:rPr>
              <w:t>参会住宿</w:t>
            </w:r>
          </w:p>
        </w:tc>
        <w:tc>
          <w:tcPr>
            <w:tcW w:w="8028"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cs="宋体"/>
                <w:b/>
                <w:bCs/>
                <w:spacing w:val="-2"/>
                <w:kern w:val="0"/>
                <w:sz w:val="24"/>
              </w:rPr>
            </w:pPr>
            <w:r>
              <w:rPr>
                <w:rFonts w:hint="eastAsia" w:ascii="宋体" w:hAnsi="宋体" w:eastAsia="宋体" w:cs="宋体"/>
                <w:b/>
                <w:bCs/>
                <w:spacing w:val="-2"/>
                <w:kern w:val="0"/>
                <w:sz w:val="24"/>
              </w:rPr>
              <w:t>所需房间数量：</w:t>
            </w:r>
          </w:p>
          <w:p>
            <w:pPr>
              <w:spacing w:line="400" w:lineRule="exact"/>
              <w:jc w:val="center"/>
              <w:rPr>
                <w:rFonts w:ascii="宋体" w:hAnsi="宋体" w:cs="宋体"/>
                <w:b/>
                <w:bCs/>
                <w:spacing w:val="-2"/>
                <w:kern w:val="0"/>
                <w:sz w:val="24"/>
              </w:rPr>
            </w:pPr>
            <w:r>
              <w:rPr>
                <w:rFonts w:hint="eastAsia" w:ascii="宋体" w:hAnsi="宋体" w:eastAsia="宋体" w:cs="宋体"/>
                <w:b/>
                <w:bCs/>
                <w:spacing w:val="-2"/>
                <w:kern w:val="0"/>
                <w:sz w:val="24"/>
              </w:rPr>
              <w:t>单间：（</w:t>
            </w:r>
            <w:r>
              <w:rPr>
                <w:rFonts w:ascii="宋体" w:hAnsi="宋体" w:eastAsia="宋体" w:cs="宋体"/>
                <w:b/>
                <w:bCs/>
                <w:spacing w:val="-2"/>
                <w:kern w:val="0"/>
                <w:sz w:val="24"/>
              </w:rPr>
              <w:t xml:space="preserve">  </w:t>
            </w:r>
            <w:r>
              <w:rPr>
                <w:rFonts w:hint="eastAsia" w:ascii="宋体" w:hAnsi="宋体" w:eastAsia="宋体" w:cs="宋体"/>
                <w:b/>
                <w:bCs/>
                <w:spacing w:val="-2"/>
                <w:kern w:val="0"/>
                <w:sz w:val="24"/>
              </w:rPr>
              <w:t>）间</w:t>
            </w:r>
            <w:r>
              <w:rPr>
                <w:rFonts w:hint="eastAsia" w:ascii="宋体" w:hAnsi="宋体" w:cs="宋体"/>
                <w:b/>
                <w:bCs/>
                <w:spacing w:val="-2"/>
                <w:kern w:val="0"/>
                <w:sz w:val="24"/>
              </w:rPr>
              <w:t xml:space="preserve">       </w:t>
            </w:r>
            <w:r>
              <w:rPr>
                <w:rFonts w:hint="eastAsia" w:ascii="宋体" w:hAnsi="宋体" w:eastAsia="宋体" w:cs="宋体"/>
                <w:b/>
                <w:bCs/>
                <w:spacing w:val="-2"/>
                <w:kern w:val="0"/>
                <w:sz w:val="24"/>
              </w:rPr>
              <w:t>标间：（</w:t>
            </w:r>
            <w:r>
              <w:rPr>
                <w:rFonts w:ascii="宋体" w:hAnsi="宋体" w:eastAsia="宋体" w:cs="宋体"/>
                <w:b/>
                <w:bCs/>
                <w:spacing w:val="-2"/>
                <w:kern w:val="0"/>
                <w:sz w:val="24"/>
              </w:rPr>
              <w:t xml:space="preserve">  </w:t>
            </w:r>
            <w:r>
              <w:rPr>
                <w:rFonts w:hint="eastAsia" w:ascii="宋体" w:hAnsi="宋体" w:eastAsia="宋体" w:cs="宋体"/>
                <w:b/>
                <w:bCs/>
                <w:spacing w:val="-2"/>
                <w:kern w:val="0"/>
                <w:sz w:val="24"/>
              </w:rPr>
              <w:t>）间</w:t>
            </w:r>
          </w:p>
        </w:tc>
      </w:tr>
    </w:tbl>
    <w:p>
      <w:pPr>
        <w:shd w:val="clear" w:color="auto" w:fill="FFFFFF"/>
        <w:wordWrap w:val="0"/>
        <w:spacing w:line="400" w:lineRule="exact"/>
        <w:ind w:right="810"/>
        <w:rPr>
          <w:rFonts w:ascii="新宋体" w:hAnsi="新宋体" w:eastAsia="新宋体"/>
          <w:spacing w:val="30"/>
          <w:sz w:val="36"/>
        </w:rPr>
      </w:pPr>
    </w:p>
    <w:sectPr>
      <w:footerReference r:id="rId3" w:type="default"/>
      <w:pgSz w:w="11906" w:h="16838"/>
      <w:pgMar w:top="1134" w:right="1134" w:bottom="1134" w:left="1134"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0F3C52" w:usb2="00000016" w:usb3="00000000" w:csb0="0004001F"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9469"/>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825CA"/>
    <w:multiLevelType w:val="multilevel"/>
    <w:tmpl w:val="0F7825CA"/>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
    <w:nsid w:val="3D245189"/>
    <w:multiLevelType w:val="multilevel"/>
    <w:tmpl w:val="3D24518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A8629C"/>
    <w:multiLevelType w:val="multilevel"/>
    <w:tmpl w:val="4AA8629C"/>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
    <w:nsid w:val="600575AB"/>
    <w:multiLevelType w:val="multilevel"/>
    <w:tmpl w:val="600575A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651441F"/>
    <w:multiLevelType w:val="multilevel"/>
    <w:tmpl w:val="7651441F"/>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F5"/>
    <w:rsid w:val="000572AE"/>
    <w:rsid w:val="000F3EF5"/>
    <w:rsid w:val="00102478"/>
    <w:rsid w:val="00127579"/>
    <w:rsid w:val="00230FAB"/>
    <w:rsid w:val="002412DC"/>
    <w:rsid w:val="00274EFD"/>
    <w:rsid w:val="0028430E"/>
    <w:rsid w:val="002D342D"/>
    <w:rsid w:val="002E6D0C"/>
    <w:rsid w:val="003303E9"/>
    <w:rsid w:val="003D1D44"/>
    <w:rsid w:val="0041012E"/>
    <w:rsid w:val="004358E6"/>
    <w:rsid w:val="004459FB"/>
    <w:rsid w:val="004702C6"/>
    <w:rsid w:val="00477A3A"/>
    <w:rsid w:val="00486F71"/>
    <w:rsid w:val="004A6CB4"/>
    <w:rsid w:val="004C7176"/>
    <w:rsid w:val="004F7D2A"/>
    <w:rsid w:val="005019A5"/>
    <w:rsid w:val="005131F0"/>
    <w:rsid w:val="00531E9C"/>
    <w:rsid w:val="005476ED"/>
    <w:rsid w:val="00595F42"/>
    <w:rsid w:val="00626957"/>
    <w:rsid w:val="006449B7"/>
    <w:rsid w:val="00654856"/>
    <w:rsid w:val="0069421E"/>
    <w:rsid w:val="00730314"/>
    <w:rsid w:val="00744FAD"/>
    <w:rsid w:val="00762849"/>
    <w:rsid w:val="007A0C2E"/>
    <w:rsid w:val="007B6B70"/>
    <w:rsid w:val="007C55FF"/>
    <w:rsid w:val="008252DA"/>
    <w:rsid w:val="00827665"/>
    <w:rsid w:val="0085520F"/>
    <w:rsid w:val="00871A88"/>
    <w:rsid w:val="00872535"/>
    <w:rsid w:val="00895859"/>
    <w:rsid w:val="008F6C2E"/>
    <w:rsid w:val="009102A2"/>
    <w:rsid w:val="00963D1B"/>
    <w:rsid w:val="00972EE2"/>
    <w:rsid w:val="00994DFB"/>
    <w:rsid w:val="009B1667"/>
    <w:rsid w:val="009D3150"/>
    <w:rsid w:val="009D5ACC"/>
    <w:rsid w:val="009F5540"/>
    <w:rsid w:val="00A36DBB"/>
    <w:rsid w:val="00A8574B"/>
    <w:rsid w:val="00A937C8"/>
    <w:rsid w:val="00AC1D98"/>
    <w:rsid w:val="00AC3710"/>
    <w:rsid w:val="00AD6B5F"/>
    <w:rsid w:val="00B15E77"/>
    <w:rsid w:val="00B40E35"/>
    <w:rsid w:val="00BB0659"/>
    <w:rsid w:val="00BF2F95"/>
    <w:rsid w:val="00C00B3E"/>
    <w:rsid w:val="00C22835"/>
    <w:rsid w:val="00CA11AE"/>
    <w:rsid w:val="00CD2CD3"/>
    <w:rsid w:val="00CF01A1"/>
    <w:rsid w:val="00D710D5"/>
    <w:rsid w:val="00D9488F"/>
    <w:rsid w:val="00D95814"/>
    <w:rsid w:val="00DA28D7"/>
    <w:rsid w:val="00DE0A57"/>
    <w:rsid w:val="00E1241F"/>
    <w:rsid w:val="00E46B59"/>
    <w:rsid w:val="00E87D61"/>
    <w:rsid w:val="00EF6549"/>
    <w:rsid w:val="00F04345"/>
    <w:rsid w:val="00F17C84"/>
    <w:rsid w:val="00F2747B"/>
    <w:rsid w:val="00F45264"/>
    <w:rsid w:val="00F72561"/>
    <w:rsid w:val="00F94634"/>
    <w:rsid w:val="00FE4789"/>
    <w:rsid w:val="14170121"/>
    <w:rsid w:val="7E80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nhideWhenUsed/>
    <w:qFormat/>
    <w:uiPriority w:val="99"/>
    <w:rPr>
      <w:color w:val="0000FF" w:themeColor="hyperlink"/>
      <w:u w:val="single"/>
      <w14:textFill>
        <w14:solidFill>
          <w14:schemeClr w14:val="hlink"/>
        </w14:solidFill>
      </w14:textFill>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4"/>
    <w:semiHidden/>
    <w:qFormat/>
    <w:uiPriority w:val="99"/>
    <w:rPr>
      <w:sz w:val="18"/>
      <w:szCs w:val="18"/>
    </w:rPr>
  </w:style>
  <w:style w:type="character" w:customStyle="1" w:styleId="11">
    <w:name w:val="页脚 Char"/>
    <w:basedOn w:val="5"/>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423</Words>
  <Characters>2414</Characters>
  <Lines>20</Lines>
  <Paragraphs>5</Paragraphs>
  <TotalTime>2</TotalTime>
  <ScaleCrop>false</ScaleCrop>
  <LinksUpToDate>false</LinksUpToDate>
  <CharactersWithSpaces>2832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2018-07-02T03:34:00Z</dcterms:created>
  <dc:creator>Users</dc:creator>
  <cp:lastModifiedBy>Administrator</cp:lastModifiedBy>
  <dcterms:modified xsi:type="dcterms:W3CDTF">2018-07-17T01:25:26Z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