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260"/>
        </w:tabs>
        <w:spacing w:line="1200" w:lineRule="exact"/>
        <w:ind w:right="-735" w:rightChars="-350"/>
        <w:rPr>
          <w:rFonts w:ascii="宋体" w:cs="宋体"/>
          <w:b/>
          <w:color w:val="FF0000"/>
          <w:w w:val="80"/>
          <w:kern w:val="0"/>
          <w:sz w:val="24"/>
          <w:szCs w:val="24"/>
        </w:rPr>
      </w:pPr>
    </w:p>
    <w:p>
      <w:pPr>
        <w:widowControl/>
        <w:spacing w:line="1200" w:lineRule="exact"/>
        <w:ind w:left="210" w:leftChars="100" w:right="-735" w:rightChars="-350"/>
        <w:rPr>
          <w:rFonts w:ascii="宋体" w:cs="宋体"/>
          <w:b/>
          <w:color w:val="000000"/>
          <w:w w:val="80"/>
          <w:kern w:val="0"/>
          <w:sz w:val="120"/>
          <w:szCs w:val="120"/>
        </w:rPr>
      </w:pPr>
      <w:r>
        <w:rPr>
          <w:rFonts w:hint="eastAsia" w:ascii="宋体" w:hAnsi="宋体" w:cs="宋体"/>
          <w:b/>
          <w:color w:val="FF0000"/>
          <w:w w:val="80"/>
          <w:kern w:val="0"/>
          <w:sz w:val="120"/>
          <w:szCs w:val="120"/>
        </w:rPr>
        <w:t>全国城建培训中心文件</w:t>
      </w:r>
    </w:p>
    <w:p>
      <w:pPr>
        <w:widowControl/>
        <w:jc w:val="center"/>
        <w:rPr>
          <w:rFonts w:ascii="宋体" w:cs="宋体"/>
          <w:b/>
          <w:bCs/>
          <w:color w:val="000000"/>
          <w:kern w:val="0"/>
          <w:sz w:val="28"/>
          <w:szCs w:val="28"/>
        </w:rPr>
      </w:pPr>
      <w:r>
        <mc:AlternateContent>
          <mc:Choice Requires="wps">
            <w:drawing>
              <wp:anchor distT="0" distB="0" distL="0" distR="0" simplePos="0" relativeHeight="1024" behindDoc="0" locked="0" layoutInCell="1" allowOverlap="1">
                <wp:simplePos x="0" y="0"/>
                <wp:positionH relativeFrom="column">
                  <wp:posOffset>-41275</wp:posOffset>
                </wp:positionH>
                <wp:positionV relativeFrom="paragraph">
                  <wp:posOffset>334010</wp:posOffset>
                </wp:positionV>
                <wp:extent cx="6403975" cy="17145"/>
                <wp:effectExtent l="0" t="0" r="0" b="0"/>
                <wp:wrapNone/>
                <wp:docPr id="1026" name="Line 3"/>
                <wp:cNvGraphicFramePr/>
                <a:graphic xmlns:a="http://schemas.openxmlformats.org/drawingml/2006/main">
                  <a:graphicData uri="http://schemas.microsoft.com/office/word/2010/wordprocessingShape">
                    <wps:wsp>
                      <wps:cNvCnPr/>
                      <wps:spPr>
                        <a:xfrm>
                          <a:off x="0" y="0"/>
                          <a:ext cx="6403975" cy="17145"/>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Line 3" o:spid="_x0000_s1026" o:spt="20" style="position:absolute;left:0pt;margin-left:-3.25pt;margin-top:26.3pt;height:1.35pt;width:504.25pt;z-index:1024;mso-width-relative:page;mso-height-relative:page;" filled="f" stroked="t" coordsize="21600,21600" o:gfxdata="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CWPB1wAAAAkBAAAPAAAAAAAAAAEAIAAAACIAAABkcnMvZG93bnJl&#10;di54bWxQSwECFAAUAAAACACHTuJA2FJG/sUBAACRAwAADgAAAAAAAAABACAAAAAmAQAAZHJzL2Uy&#10;b0RvYy54bWxQSwUGAAAAAAYABgBZAQAAXQUAAAAA&#10;">
                <v:fill on="f" focussize="0,0"/>
                <v:stroke weight="2.25pt" color="#FF0000" joinstyle="round"/>
                <v:imagedata o:title=""/>
                <o:lock v:ext="edit" aspectratio="f"/>
              </v:line>
            </w:pict>
          </mc:Fallback>
        </mc:AlternateContent>
      </w:r>
      <w:r>
        <w:rPr>
          <w:rFonts w:hint="eastAsia" w:ascii="宋体" w:hAnsi="宋体" w:cs="宋体"/>
          <w:b/>
          <w:bCs/>
          <w:color w:val="000000"/>
          <w:kern w:val="0"/>
          <w:sz w:val="28"/>
          <w:szCs w:val="28"/>
        </w:rPr>
        <w:t>城培教字（</w:t>
      </w:r>
      <w:r>
        <w:rPr>
          <w:rFonts w:ascii="宋体" w:hAnsi="宋体" w:cs="宋体"/>
          <w:b/>
          <w:bCs/>
          <w:color w:val="000000"/>
          <w:kern w:val="0"/>
          <w:sz w:val="28"/>
          <w:szCs w:val="28"/>
        </w:rPr>
        <w:t>201</w:t>
      </w:r>
      <w:r>
        <w:rPr>
          <w:rFonts w:hint="eastAsia" w:ascii="宋体" w:hAnsi="宋体" w:cs="宋体"/>
          <w:b/>
          <w:bCs/>
          <w:color w:val="000000"/>
          <w:kern w:val="0"/>
          <w:sz w:val="28"/>
          <w:szCs w:val="28"/>
        </w:rPr>
        <w:t>8）9号</w:t>
      </w:r>
    </w:p>
    <w:p>
      <w:pPr>
        <w:spacing w:line="360" w:lineRule="exact"/>
        <w:ind w:firstLine="281" w:firstLineChars="100"/>
        <w:jc w:val="center"/>
        <w:rPr>
          <w:rFonts w:ascii="宋体" w:hAnsi="宋体" w:cs="宋体"/>
          <w:b/>
          <w:kern w:val="0"/>
          <w:sz w:val="28"/>
          <w:szCs w:val="28"/>
        </w:rPr>
      </w:pPr>
      <w:r>
        <w:rPr>
          <w:rFonts w:hint="eastAsia" w:ascii="宋体" w:hAnsi="宋体" w:cs="宋体"/>
          <w:b/>
          <w:kern w:val="0"/>
          <w:sz w:val="28"/>
          <w:szCs w:val="28"/>
        </w:rPr>
        <w:t>关于举办“发改委16号令和10号令、财政部87号令和94号令、国家九部委局《标准招标文件》深度解读</w:t>
      </w:r>
      <w:r>
        <w:rPr>
          <w:rFonts w:hint="eastAsia" w:ascii="宋体" w:hAnsi="宋体" w:cs="宋体"/>
          <w:b/>
          <w:kern w:val="0"/>
          <w:sz w:val="28"/>
          <w:szCs w:val="28"/>
          <w:lang w:val="en-US" w:eastAsia="zh-CN"/>
        </w:rPr>
        <w:t>应用</w:t>
      </w:r>
      <w:r>
        <w:rPr>
          <w:rFonts w:hint="eastAsia" w:ascii="宋体" w:hAnsi="宋体" w:cs="宋体"/>
          <w:b/>
          <w:kern w:val="0"/>
          <w:sz w:val="28"/>
          <w:szCs w:val="28"/>
        </w:rPr>
        <w:t>、招投标实务操作全过程指导及</w:t>
      </w:r>
      <w:r>
        <w:rPr>
          <w:rFonts w:hint="eastAsia" w:ascii="宋体" w:hAnsi="宋体" w:cs="宋体"/>
          <w:b/>
          <w:kern w:val="0"/>
          <w:sz w:val="28"/>
          <w:szCs w:val="28"/>
          <w:lang w:val="en-US" w:eastAsia="zh-CN"/>
        </w:rPr>
        <w:t>经典</w:t>
      </w:r>
      <w:r>
        <w:rPr>
          <w:rFonts w:hint="eastAsia" w:ascii="宋体" w:hAnsi="宋体" w:cs="宋体"/>
          <w:b/>
          <w:kern w:val="0"/>
          <w:sz w:val="28"/>
          <w:szCs w:val="28"/>
        </w:rPr>
        <w:t>案例分析”</w:t>
      </w:r>
    </w:p>
    <w:p>
      <w:pPr>
        <w:spacing w:line="360" w:lineRule="exact"/>
        <w:ind w:firstLine="281" w:firstLineChars="100"/>
        <w:jc w:val="center"/>
        <w:rPr>
          <w:rFonts w:ascii="宋体" w:hAnsi="宋体" w:cs="宋体"/>
          <w:b/>
          <w:kern w:val="0"/>
          <w:sz w:val="28"/>
          <w:szCs w:val="28"/>
        </w:rPr>
      </w:pPr>
      <w:r>
        <w:rPr>
          <w:rFonts w:hint="eastAsia" w:ascii="宋体" w:hAnsi="宋体" w:cs="宋体"/>
          <w:b/>
          <w:kern w:val="0"/>
          <w:sz w:val="28"/>
          <w:szCs w:val="28"/>
          <w:lang w:val="en-US" w:eastAsia="zh-CN"/>
        </w:rPr>
        <w:t>专题精品</w:t>
      </w:r>
      <w:r>
        <w:rPr>
          <w:rFonts w:hint="eastAsia" w:ascii="宋体" w:hAnsi="宋体" w:cs="宋体"/>
          <w:b/>
          <w:kern w:val="0"/>
          <w:sz w:val="28"/>
          <w:szCs w:val="28"/>
        </w:rPr>
        <w:t>高级培训班通知</w:t>
      </w:r>
    </w:p>
    <w:p>
      <w:pPr>
        <w:spacing w:line="360" w:lineRule="exact"/>
        <w:jc w:val="left"/>
        <w:rPr>
          <w:rFonts w:ascii="宋体" w:hAnsi="宋体" w:cs="宋体"/>
          <w:bCs/>
          <w:kern w:val="0"/>
          <w:sz w:val="28"/>
          <w:szCs w:val="28"/>
        </w:rPr>
      </w:pPr>
    </w:p>
    <w:p>
      <w:pPr>
        <w:spacing w:line="360" w:lineRule="exact"/>
        <w:jc w:val="left"/>
        <w:rPr>
          <w:rFonts w:ascii="宋体" w:hAnsi="宋体" w:cs="宋体"/>
          <w:bCs/>
          <w:kern w:val="0"/>
          <w:sz w:val="28"/>
          <w:szCs w:val="28"/>
        </w:rPr>
      </w:pPr>
      <w:r>
        <w:rPr>
          <w:rFonts w:hint="eastAsia" w:ascii="宋体" w:hAnsi="宋体" w:cs="宋体"/>
          <w:bCs/>
          <w:kern w:val="0"/>
          <w:sz w:val="28"/>
          <w:szCs w:val="28"/>
        </w:rPr>
        <w:t>各有关单位：</w:t>
      </w:r>
    </w:p>
    <w:p>
      <w:pPr>
        <w:spacing w:line="3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伴随党的十九大的春风中国走进了新时代，党中央国务院对于工程建设项目和政府采购领域的招标投标活动出台了一系列的新的政策法规和操作规定，近日国家发改委对原国家计委3号令进行了修订，经国务院批准，正式发布《必须招标的工程项目规定》（国家发改委令第16号），将于2018年6月1日起施行。为了帮助企事业单位掌握招投标领域最新的法律法规，迅速提高招标管理技能和实务操作水平，合法合规前提下高效廉洁完成招标采购工作。全国城建培训中心决定举办</w:t>
      </w:r>
      <w:r>
        <w:rPr>
          <w:rFonts w:hint="eastAsia" w:ascii="宋体" w:hAnsi="宋体" w:cs="宋体"/>
          <w:b/>
          <w:kern w:val="0"/>
          <w:sz w:val="28"/>
          <w:szCs w:val="28"/>
        </w:rPr>
        <w:t>“发改委16号令和10号令、财政部87号令和94号令、国家九部委局《标准招标文件》深度解读</w:t>
      </w:r>
      <w:r>
        <w:rPr>
          <w:rFonts w:hint="eastAsia" w:ascii="宋体" w:hAnsi="宋体" w:cs="宋体"/>
          <w:b/>
          <w:kern w:val="0"/>
          <w:sz w:val="28"/>
          <w:szCs w:val="28"/>
          <w:lang w:val="en-US" w:eastAsia="zh-CN"/>
        </w:rPr>
        <w:t>应用</w:t>
      </w:r>
      <w:r>
        <w:rPr>
          <w:rFonts w:hint="eastAsia" w:ascii="宋体" w:hAnsi="宋体" w:cs="宋体"/>
          <w:b/>
          <w:kern w:val="0"/>
          <w:sz w:val="28"/>
          <w:szCs w:val="28"/>
        </w:rPr>
        <w:t>、招投标实务操作全过程指导及</w:t>
      </w:r>
      <w:r>
        <w:rPr>
          <w:rFonts w:hint="eastAsia" w:ascii="宋体" w:hAnsi="宋体" w:cs="宋体"/>
          <w:b/>
          <w:kern w:val="0"/>
          <w:sz w:val="28"/>
          <w:szCs w:val="28"/>
          <w:lang w:val="en-US" w:eastAsia="zh-CN"/>
        </w:rPr>
        <w:t>经典</w:t>
      </w:r>
      <w:r>
        <w:rPr>
          <w:rFonts w:hint="eastAsia" w:ascii="宋体" w:hAnsi="宋体" w:cs="宋体"/>
          <w:b/>
          <w:kern w:val="0"/>
          <w:sz w:val="28"/>
          <w:szCs w:val="28"/>
        </w:rPr>
        <w:t>案例分析”</w:t>
      </w:r>
      <w:r>
        <w:rPr>
          <w:rFonts w:hint="eastAsia" w:ascii="宋体" w:hAnsi="宋体" w:cs="宋体"/>
          <w:b/>
          <w:kern w:val="0"/>
          <w:sz w:val="28"/>
          <w:szCs w:val="28"/>
          <w:lang w:val="en-US" w:eastAsia="zh-CN"/>
        </w:rPr>
        <w:t>专题精品高级培训班。</w:t>
      </w:r>
      <w:r>
        <w:rPr>
          <w:rFonts w:hint="eastAsia" w:ascii="宋体" w:hAnsi="宋体" w:cs="宋体"/>
          <w:bCs/>
          <w:kern w:val="0"/>
          <w:sz w:val="28"/>
          <w:szCs w:val="28"/>
        </w:rPr>
        <w:t>届时，将邀请国家发改委、住建部、财政部及行业协会有关资深专家现场授课，结合经典案例和实例分析，并进行现场答疑和互动交流，力求通过培训，让所有参加培训的学员都能“</w:t>
      </w:r>
      <w:r>
        <w:rPr>
          <w:rFonts w:ascii="宋体" w:hAnsi="宋体" w:cs="宋体"/>
          <w:bCs/>
          <w:kern w:val="0"/>
          <w:sz w:val="28"/>
          <w:szCs w:val="28"/>
        </w:rPr>
        <w:t>知其然知其所以然</w:t>
      </w:r>
      <w:r>
        <w:rPr>
          <w:rFonts w:hint="eastAsia" w:ascii="宋体" w:hAnsi="宋体" w:cs="宋体"/>
          <w:bCs/>
          <w:kern w:val="0"/>
          <w:sz w:val="28"/>
          <w:szCs w:val="28"/>
        </w:rPr>
        <w:t>”，提升自己的专业素养。请各单位接此通知后认真组织本地区及本单位相关人员报名参加，现将有关事宜通知如下。</w:t>
      </w:r>
    </w:p>
    <w:p>
      <w:pPr>
        <w:rPr>
          <w:rFonts w:ascii="宋体" w:hAnsi="宋体" w:cs="Arial"/>
          <w:kern w:val="0"/>
          <w:sz w:val="28"/>
          <w:szCs w:val="28"/>
        </w:rPr>
      </w:pPr>
      <w:r>
        <w:rPr>
          <w:rFonts w:hint="eastAsia" w:ascii="宋体" w:hAnsi="宋体" w:cs="Arial"/>
          <w:b/>
          <w:kern w:val="0"/>
          <w:sz w:val="28"/>
          <w:szCs w:val="28"/>
        </w:rPr>
        <w:t>注：本次培训由中建领航企培（北京）信息咨询中心负责协助承办。</w:t>
      </w:r>
    </w:p>
    <w:p>
      <w:pPr>
        <w:widowControl/>
        <w:spacing w:line="400" w:lineRule="exact"/>
        <w:rPr>
          <w:rStyle w:val="7"/>
          <w:rFonts w:ascii="宋体" w:hAnsi="宋体" w:cs="宋体"/>
          <w:color w:val="000000"/>
          <w:sz w:val="28"/>
          <w:szCs w:val="28"/>
        </w:rPr>
      </w:pPr>
    </w:p>
    <w:p>
      <w:pPr>
        <w:widowControl/>
        <w:spacing w:line="400" w:lineRule="exact"/>
        <w:ind w:firstLine="420" w:firstLineChars="150"/>
        <w:rPr>
          <w:rStyle w:val="7"/>
          <w:rFonts w:ascii="宋体" w:hAnsi="宋体" w:cs="宋体"/>
          <w:color w:val="000000"/>
          <w:sz w:val="28"/>
          <w:szCs w:val="28"/>
        </w:rPr>
      </w:pPr>
      <w:r>
        <w:rPr>
          <w:rFonts w:ascii="宋体" w:hAnsi="宋体"/>
          <w:sz w:val="28"/>
          <w:szCs w:val="28"/>
        </w:rPr>
        <w:drawing>
          <wp:anchor distT="0" distB="0" distL="0" distR="0" simplePos="0" relativeHeight="1024" behindDoc="1" locked="0" layoutInCell="1" allowOverlap="1">
            <wp:simplePos x="0" y="0"/>
            <wp:positionH relativeFrom="column">
              <wp:posOffset>3993515</wp:posOffset>
            </wp:positionH>
            <wp:positionV relativeFrom="paragraph">
              <wp:posOffset>168910</wp:posOffset>
            </wp:positionV>
            <wp:extent cx="1828800" cy="1766570"/>
            <wp:effectExtent l="19050" t="0" r="0" b="0"/>
            <wp:wrapNone/>
            <wp:docPr id="1027" name="图片 5"/>
            <wp:cNvGraphicFramePr/>
            <a:graphic xmlns:a="http://schemas.openxmlformats.org/drawingml/2006/main">
              <a:graphicData uri="http://schemas.openxmlformats.org/drawingml/2006/picture">
                <pic:pic xmlns:pic="http://schemas.openxmlformats.org/drawingml/2006/picture">
                  <pic:nvPicPr>
                    <pic:cNvPr id="1027" name="图片 5"/>
                    <pic:cNvPicPr/>
                  </pic:nvPicPr>
                  <pic:blipFill>
                    <a:blip r:embed="rId5" cstate="print"/>
                    <a:srcRect/>
                    <a:stretch>
                      <a:fillRect/>
                    </a:stretch>
                  </pic:blipFill>
                  <pic:spPr>
                    <a:xfrm>
                      <a:off x="0" y="0"/>
                      <a:ext cx="1828800" cy="1766570"/>
                    </a:xfrm>
                    <a:prstGeom prst="rect">
                      <a:avLst/>
                    </a:prstGeom>
                  </pic:spPr>
                </pic:pic>
              </a:graphicData>
            </a:graphic>
          </wp:anchor>
        </w:drawing>
      </w:r>
      <w:r>
        <w:rPr>
          <w:rStyle w:val="7"/>
          <w:rFonts w:hint="eastAsia" w:ascii="宋体" w:hAnsi="宋体" w:cs="宋体"/>
          <w:color w:val="000000"/>
          <w:sz w:val="28"/>
          <w:szCs w:val="28"/>
        </w:rPr>
        <w:t>附件: 1.培训须知</w:t>
      </w:r>
    </w:p>
    <w:p>
      <w:pPr>
        <w:widowControl/>
        <w:spacing w:line="400" w:lineRule="exact"/>
        <w:ind w:firstLine="1265" w:firstLineChars="450"/>
        <w:rPr>
          <w:rStyle w:val="7"/>
          <w:rFonts w:ascii="宋体" w:hAnsi="宋体" w:cs="宋体"/>
          <w:color w:val="000000"/>
          <w:sz w:val="28"/>
          <w:szCs w:val="28"/>
        </w:rPr>
      </w:pPr>
      <w:r>
        <w:rPr>
          <w:rStyle w:val="7"/>
          <w:rFonts w:hint="eastAsia" w:ascii="宋体" w:hAnsi="宋体" w:cs="宋体"/>
          <w:color w:val="000000"/>
          <w:sz w:val="28"/>
          <w:szCs w:val="28"/>
        </w:rPr>
        <w:t>2.报名表</w:t>
      </w:r>
    </w:p>
    <w:p>
      <w:pPr>
        <w:pStyle w:val="16"/>
        <w:snapToGrid w:val="0"/>
        <w:spacing w:line="360" w:lineRule="exact"/>
        <w:ind w:firstLine="0" w:firstLineChars="0"/>
        <w:rPr>
          <w:rFonts w:ascii="宋体" w:hAnsi="宋体"/>
          <w:b/>
          <w:sz w:val="28"/>
          <w:szCs w:val="28"/>
        </w:rPr>
      </w:pPr>
    </w:p>
    <w:p>
      <w:pPr>
        <w:spacing w:line="360" w:lineRule="exact"/>
        <w:ind w:firstLine="6465" w:firstLineChars="2300"/>
        <w:rPr>
          <w:rFonts w:ascii="宋体" w:hAnsi="宋体" w:cs="仿宋_GB2312"/>
          <w:b/>
          <w:bCs/>
          <w:kern w:val="0"/>
          <w:sz w:val="28"/>
          <w:szCs w:val="28"/>
        </w:rPr>
      </w:pPr>
    </w:p>
    <w:p>
      <w:pPr>
        <w:spacing w:line="360" w:lineRule="exact"/>
        <w:ind w:firstLine="6465" w:firstLineChars="2300"/>
        <w:rPr>
          <w:rFonts w:ascii="宋体" w:hAnsi="宋体" w:cs="仿宋_GB2312"/>
          <w:b/>
          <w:bCs/>
          <w:kern w:val="0"/>
          <w:sz w:val="28"/>
          <w:szCs w:val="28"/>
        </w:rPr>
      </w:pPr>
      <w:r>
        <w:rPr>
          <w:rFonts w:hint="eastAsia" w:ascii="宋体" w:hAnsi="宋体" w:cs="仿宋_GB2312"/>
          <w:b/>
          <w:bCs/>
          <w:kern w:val="0"/>
          <w:sz w:val="28"/>
          <w:szCs w:val="28"/>
        </w:rPr>
        <w:t>二零一八年</w:t>
      </w:r>
      <w:r>
        <w:rPr>
          <w:rFonts w:hint="eastAsia" w:ascii="宋体" w:hAnsi="宋体" w:cs="仿宋_GB2312"/>
          <w:b/>
          <w:bCs/>
          <w:kern w:val="0"/>
          <w:sz w:val="28"/>
          <w:szCs w:val="28"/>
          <w:lang w:val="en-US" w:eastAsia="zh-CN"/>
        </w:rPr>
        <w:t>八</w:t>
      </w:r>
      <w:r>
        <w:rPr>
          <w:rFonts w:hint="eastAsia" w:ascii="宋体" w:hAnsi="宋体" w:cs="仿宋_GB2312"/>
          <w:b/>
          <w:bCs/>
          <w:kern w:val="0"/>
          <w:sz w:val="28"/>
          <w:szCs w:val="28"/>
        </w:rPr>
        <w:t>月八日</w:t>
      </w:r>
    </w:p>
    <w:p>
      <w:pPr>
        <w:spacing w:line="360" w:lineRule="exact"/>
        <w:jc w:val="left"/>
        <w:rPr>
          <w:rFonts w:ascii="宋体" w:hAnsi="宋体" w:cs="宋体"/>
          <w:b/>
          <w:kern w:val="0"/>
          <w:sz w:val="24"/>
          <w:szCs w:val="24"/>
        </w:rPr>
      </w:pPr>
    </w:p>
    <w:p>
      <w:pPr>
        <w:spacing w:line="360" w:lineRule="exact"/>
        <w:jc w:val="left"/>
        <w:rPr>
          <w:rFonts w:ascii="宋体" w:hAnsi="宋体" w:cs="宋体"/>
          <w:b/>
          <w:kern w:val="0"/>
          <w:sz w:val="24"/>
          <w:szCs w:val="24"/>
        </w:rPr>
      </w:pPr>
    </w:p>
    <w:p>
      <w:pPr>
        <w:spacing w:line="360" w:lineRule="exact"/>
        <w:jc w:val="left"/>
        <w:rPr>
          <w:rFonts w:ascii="宋体" w:hAnsi="宋体" w:cs="宋体"/>
          <w:b/>
          <w:kern w:val="0"/>
          <w:sz w:val="24"/>
          <w:szCs w:val="24"/>
        </w:rPr>
      </w:pPr>
    </w:p>
    <w:p>
      <w:pPr>
        <w:spacing w:line="360" w:lineRule="exact"/>
        <w:jc w:val="left"/>
        <w:rPr>
          <w:rFonts w:ascii="宋体" w:hAnsi="宋体" w:cs="宋体"/>
          <w:b/>
          <w:kern w:val="0"/>
          <w:sz w:val="24"/>
          <w:szCs w:val="24"/>
        </w:rPr>
      </w:pPr>
    </w:p>
    <w:p>
      <w:pPr>
        <w:spacing w:line="360" w:lineRule="exact"/>
        <w:jc w:val="left"/>
        <w:rPr>
          <w:rFonts w:ascii="宋体" w:hAnsi="宋体" w:cs="宋体"/>
          <w:b/>
          <w:kern w:val="0"/>
          <w:sz w:val="24"/>
          <w:szCs w:val="24"/>
        </w:rPr>
      </w:pPr>
    </w:p>
    <w:p>
      <w:pPr>
        <w:spacing w:line="360" w:lineRule="exact"/>
        <w:jc w:val="left"/>
        <w:rPr>
          <w:rFonts w:ascii="宋体" w:hAnsi="宋体" w:cs="宋体"/>
          <w:b/>
          <w:kern w:val="0"/>
          <w:sz w:val="24"/>
          <w:szCs w:val="24"/>
        </w:rPr>
      </w:pPr>
    </w:p>
    <w:p>
      <w:pPr>
        <w:rPr>
          <w:rFonts w:ascii="宋体" w:hAnsi="宋体"/>
          <w:b/>
          <w:bCs/>
          <w:sz w:val="24"/>
          <w:szCs w:val="24"/>
        </w:rPr>
      </w:pPr>
    </w:p>
    <w:p>
      <w:pPr>
        <w:rPr>
          <w:rFonts w:ascii="宋体" w:hAnsi="宋体"/>
          <w:sz w:val="24"/>
          <w:szCs w:val="24"/>
        </w:rPr>
      </w:pPr>
      <w:r>
        <w:rPr>
          <w:rFonts w:hint="eastAsia" w:ascii="宋体" w:hAnsi="宋体"/>
          <w:sz w:val="24"/>
          <w:szCs w:val="24"/>
        </w:rPr>
        <w:t>附件1.培训须知</w:t>
      </w:r>
    </w:p>
    <w:p>
      <w:pPr>
        <w:rPr>
          <w:rFonts w:ascii="宋体" w:hAnsi="宋体"/>
          <w:sz w:val="24"/>
          <w:szCs w:val="24"/>
        </w:rPr>
      </w:pPr>
      <w:r>
        <w:rPr>
          <w:rFonts w:hint="eastAsia" w:ascii="宋体" w:hAnsi="宋体"/>
          <w:sz w:val="24"/>
          <w:szCs w:val="24"/>
        </w:rPr>
        <w:t>一、培训内容</w:t>
      </w:r>
    </w:p>
    <w:p>
      <w:pPr>
        <w:rPr>
          <w:rFonts w:ascii="宋体" w:hAnsi="宋体"/>
          <w:b/>
          <w:bCs/>
          <w:sz w:val="24"/>
          <w:szCs w:val="24"/>
        </w:rPr>
      </w:pPr>
      <w:r>
        <w:rPr>
          <w:rFonts w:hint="eastAsia" w:ascii="宋体" w:hAnsi="宋体"/>
          <w:b/>
          <w:bCs/>
          <w:sz w:val="24"/>
          <w:szCs w:val="24"/>
        </w:rPr>
        <w:t>（一）《必须招标的工程项目规定》（国家发改委令第16号）解读</w:t>
      </w:r>
    </w:p>
    <w:p>
      <w:pPr>
        <w:rPr>
          <w:rFonts w:ascii="宋体" w:hAnsi="宋体"/>
          <w:sz w:val="24"/>
          <w:szCs w:val="24"/>
        </w:rPr>
      </w:pPr>
      <w:r>
        <w:rPr>
          <w:rFonts w:hint="eastAsia" w:ascii="宋体" w:hAnsi="宋体"/>
          <w:sz w:val="24"/>
          <w:szCs w:val="24"/>
        </w:rPr>
        <w:t>1.必须招标的工程项目的范围；</w:t>
      </w:r>
    </w:p>
    <w:p>
      <w:pPr>
        <w:rPr>
          <w:rFonts w:ascii="宋体" w:hAnsi="宋体"/>
          <w:sz w:val="24"/>
          <w:szCs w:val="24"/>
        </w:rPr>
      </w:pPr>
      <w:r>
        <w:rPr>
          <w:rFonts w:hint="eastAsia" w:ascii="宋体" w:hAnsi="宋体"/>
          <w:sz w:val="24"/>
          <w:szCs w:val="24"/>
        </w:rPr>
        <w:t>2.必须招标的工程项目的规模标准；</w:t>
      </w:r>
    </w:p>
    <w:p>
      <w:pPr>
        <w:rPr>
          <w:rFonts w:ascii="宋体" w:hAnsi="宋体"/>
          <w:sz w:val="24"/>
          <w:szCs w:val="24"/>
        </w:rPr>
      </w:pPr>
      <w:r>
        <w:rPr>
          <w:rFonts w:hint="eastAsia" w:ascii="宋体" w:hAnsi="宋体"/>
          <w:sz w:val="24"/>
          <w:szCs w:val="24"/>
        </w:rPr>
        <w:t>3.有待下回分解的依法必须招标的基础设施和公用事业项目；</w:t>
      </w:r>
    </w:p>
    <w:p>
      <w:pPr>
        <w:rPr>
          <w:rFonts w:ascii="宋体" w:hAnsi="宋体"/>
          <w:sz w:val="24"/>
          <w:szCs w:val="24"/>
        </w:rPr>
      </w:pPr>
      <w:r>
        <w:rPr>
          <w:rFonts w:hint="eastAsia" w:ascii="宋体" w:hAnsi="宋体"/>
          <w:sz w:val="24"/>
          <w:szCs w:val="24"/>
        </w:rPr>
        <w:t>4.如何正确理解第5条第2款的“可以合并”；</w:t>
      </w:r>
    </w:p>
    <w:p>
      <w:pPr>
        <w:rPr>
          <w:rFonts w:ascii="宋体" w:hAnsi="宋体"/>
          <w:sz w:val="24"/>
          <w:szCs w:val="24"/>
        </w:rPr>
      </w:pPr>
      <w:r>
        <w:rPr>
          <w:rFonts w:hint="eastAsia" w:ascii="宋体" w:hAnsi="宋体"/>
          <w:sz w:val="24"/>
          <w:szCs w:val="24"/>
        </w:rPr>
        <w:t>5.16号令传递了《招标投标法》大修的哪些方向。</w:t>
      </w:r>
    </w:p>
    <w:p>
      <w:pPr>
        <w:rPr>
          <w:rFonts w:ascii="宋体" w:hAnsi="宋体"/>
          <w:sz w:val="24"/>
          <w:szCs w:val="24"/>
        </w:rPr>
      </w:pPr>
      <w:r>
        <w:rPr>
          <w:rFonts w:hint="eastAsia" w:ascii="宋体" w:hAnsi="宋体"/>
          <w:b/>
          <w:bCs/>
          <w:sz w:val="24"/>
          <w:szCs w:val="24"/>
        </w:rPr>
        <w:t>（二）《招标公告与公示信息发布管理办法》（国家发改委令第10号）解读</w:t>
      </w:r>
    </w:p>
    <w:p>
      <w:pPr>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.招标公告和公示信息的具体含义；</w:t>
      </w:r>
    </w:p>
    <w:p>
      <w:pPr>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.招标公告发布的主要内容；</w:t>
      </w:r>
    </w:p>
    <w:p>
      <w:pPr>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.中标候选人公示与中标结果公示信息的主要内容；</w:t>
      </w:r>
    </w:p>
    <w:p>
      <w:pP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.招标公告与公示信息发布的具体操作；</w:t>
      </w:r>
    </w:p>
    <w:p>
      <w:pPr>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.互联网+行动方案的进展和中国电子招标公共服务平台以及信用中国的介绍。</w:t>
      </w:r>
    </w:p>
    <w:p>
      <w:pPr>
        <w:rPr>
          <w:rFonts w:ascii="宋体" w:hAnsi="宋体"/>
          <w:b/>
          <w:bCs/>
          <w:sz w:val="24"/>
          <w:szCs w:val="24"/>
        </w:rPr>
      </w:pPr>
      <w:r>
        <w:rPr>
          <w:rFonts w:hint="eastAsia" w:ascii="宋体" w:hAnsi="宋体"/>
          <w:b/>
          <w:bCs/>
          <w:sz w:val="24"/>
          <w:szCs w:val="24"/>
        </w:rPr>
        <w:t>（三）国家九部委局2017年版《标准招标文件》深度解读及招标文件编制技巧</w:t>
      </w:r>
    </w:p>
    <w:p>
      <w:pPr>
        <w:rPr>
          <w:rFonts w:ascii="宋体" w:hAnsi="宋体"/>
          <w:sz w:val="24"/>
          <w:szCs w:val="24"/>
        </w:rPr>
      </w:pPr>
      <w:r>
        <w:rPr>
          <w:rFonts w:hint="eastAsia" w:ascii="宋体" w:hAnsi="宋体"/>
          <w:sz w:val="24"/>
          <w:szCs w:val="24"/>
        </w:rPr>
        <w:t>1.《标准招标文件》体系、编制原则、适用范围和使用说明；</w:t>
      </w:r>
    </w:p>
    <w:p>
      <w:pPr>
        <w:rPr>
          <w:rFonts w:ascii="宋体" w:hAnsi="宋体"/>
          <w:sz w:val="24"/>
          <w:szCs w:val="24"/>
        </w:rPr>
      </w:pPr>
      <w:r>
        <w:rPr>
          <w:rFonts w:hint="eastAsia" w:ascii="宋体" w:hAnsi="宋体"/>
          <w:sz w:val="24"/>
          <w:szCs w:val="24"/>
        </w:rPr>
        <w:t>2.《标准招标文件》中招标人可以补充、细化和修改的内容；</w:t>
      </w:r>
    </w:p>
    <w:p>
      <w:pPr>
        <w:rPr>
          <w:rFonts w:ascii="宋体" w:hAnsi="宋体"/>
          <w:sz w:val="24"/>
          <w:szCs w:val="24"/>
        </w:rPr>
      </w:pPr>
      <w:r>
        <w:rPr>
          <w:rFonts w:hint="eastAsia" w:ascii="宋体" w:hAnsi="宋体"/>
          <w:sz w:val="24"/>
          <w:szCs w:val="24"/>
        </w:rPr>
        <w:t>3.《标准招标文件》对投标报价的要求，以及发包人要求、委托人要求或是设备/材料采购需求一览表等采购需求和技术标书的编制方法；</w:t>
      </w:r>
    </w:p>
    <w:p>
      <w:pPr>
        <w:rPr>
          <w:rFonts w:ascii="宋体" w:hAnsi="宋体"/>
          <w:sz w:val="24"/>
          <w:szCs w:val="24"/>
        </w:rPr>
      </w:pPr>
      <w:r>
        <w:rPr>
          <w:rFonts w:hint="eastAsia" w:ascii="宋体" w:hAnsi="宋体"/>
          <w:sz w:val="24"/>
          <w:szCs w:val="24"/>
        </w:rPr>
        <w:t>4.《标准招标文件》投标人须知中的响应与偏差条款，其与招标采购中的实质性要求和条件，及评标办法的关系，以及实质性要求和资格条件的设定；</w:t>
      </w:r>
    </w:p>
    <w:p>
      <w:pPr>
        <w:rPr>
          <w:rFonts w:ascii="宋体" w:hAnsi="宋体"/>
          <w:sz w:val="24"/>
          <w:szCs w:val="24"/>
        </w:rPr>
      </w:pPr>
      <w:r>
        <w:rPr>
          <w:rFonts w:hint="eastAsia" w:ascii="宋体" w:hAnsi="宋体"/>
          <w:sz w:val="24"/>
          <w:szCs w:val="24"/>
        </w:rPr>
        <w:t>5.《标准招标文件》对电子招标投标的规定；</w:t>
      </w:r>
    </w:p>
    <w:p>
      <w:pPr>
        <w:rPr>
          <w:rFonts w:ascii="宋体" w:hAnsi="宋体"/>
          <w:sz w:val="24"/>
          <w:szCs w:val="24"/>
        </w:rPr>
      </w:pPr>
      <w:r>
        <w:rPr>
          <w:rFonts w:hint="eastAsia" w:ascii="宋体" w:hAnsi="宋体"/>
          <w:sz w:val="24"/>
          <w:szCs w:val="24"/>
        </w:rPr>
        <w:t>6.《标准招标文件》对投标文件的格式要求；</w:t>
      </w:r>
    </w:p>
    <w:p>
      <w:pPr>
        <w:rPr>
          <w:rFonts w:ascii="宋体" w:hAnsi="宋体"/>
          <w:sz w:val="24"/>
          <w:szCs w:val="24"/>
        </w:rPr>
      </w:pPr>
      <w:r>
        <w:rPr>
          <w:rFonts w:hint="eastAsia" w:ascii="宋体" w:hAnsi="宋体"/>
          <w:sz w:val="24"/>
          <w:szCs w:val="24"/>
        </w:rPr>
        <w:t>7.《标准招标文件》评标办法条款拟订及其对评标委员会的约束，以及对二大评标基本原则和六大类评标方法的介绍；</w:t>
      </w:r>
    </w:p>
    <w:p>
      <w:pPr>
        <w:rPr>
          <w:rFonts w:ascii="宋体" w:hAnsi="宋体"/>
          <w:sz w:val="24"/>
          <w:szCs w:val="24"/>
        </w:rPr>
      </w:pPr>
      <w:r>
        <w:rPr>
          <w:rFonts w:hint="eastAsia" w:ascii="宋体" w:hAnsi="宋体"/>
          <w:sz w:val="24"/>
          <w:szCs w:val="24"/>
        </w:rPr>
        <w:t>8.《标准招标文件》合同违约、索赔与争议的界定；</w:t>
      </w:r>
    </w:p>
    <w:p>
      <w:pPr>
        <w:rPr>
          <w:rFonts w:ascii="宋体" w:hAnsi="宋体"/>
          <w:sz w:val="24"/>
          <w:szCs w:val="24"/>
        </w:rPr>
      </w:pPr>
      <w:r>
        <w:rPr>
          <w:rFonts w:hint="eastAsia" w:ascii="宋体" w:hAnsi="宋体"/>
          <w:sz w:val="24"/>
          <w:szCs w:val="24"/>
        </w:rPr>
        <w:t>9.招标文件补充、澄清、发售中应注意的技术和法律问题。</w:t>
      </w:r>
    </w:p>
    <w:p>
      <w:pPr>
        <w:rPr>
          <w:rFonts w:ascii="宋体" w:hAnsi="宋体"/>
          <w:b/>
          <w:bCs/>
          <w:sz w:val="24"/>
          <w:szCs w:val="24"/>
        </w:rPr>
      </w:pPr>
      <w:r>
        <w:rPr>
          <w:rFonts w:hint="eastAsia" w:ascii="宋体" w:hAnsi="宋体"/>
          <w:b/>
          <w:bCs/>
          <w:sz w:val="24"/>
          <w:szCs w:val="24"/>
        </w:rPr>
        <w:t>（四）招标采购法律风险防范及其监督管理和相关案例分析</w:t>
      </w:r>
    </w:p>
    <w:p>
      <w:pPr>
        <w:rPr>
          <w:rFonts w:ascii="宋体" w:hAnsi="宋体"/>
          <w:sz w:val="24"/>
          <w:szCs w:val="24"/>
        </w:rPr>
      </w:pPr>
      <w:r>
        <w:rPr>
          <w:rFonts w:hint="eastAsia" w:ascii="宋体" w:hAnsi="宋体"/>
          <w:sz w:val="24"/>
          <w:szCs w:val="24"/>
        </w:rPr>
        <w:t>1.开标评标环节注意事项及法定废标条件；</w:t>
      </w:r>
    </w:p>
    <w:p>
      <w:pPr>
        <w:rPr>
          <w:rFonts w:ascii="宋体" w:hAnsi="宋体"/>
          <w:sz w:val="24"/>
          <w:szCs w:val="24"/>
        </w:rPr>
      </w:pPr>
      <w:r>
        <w:rPr>
          <w:rFonts w:hint="eastAsia" w:ascii="宋体" w:hAnsi="宋体"/>
          <w:sz w:val="24"/>
          <w:szCs w:val="24"/>
        </w:rPr>
        <w:t>2.定标与合同的签订及营改增后合同条款拟订注意事项；</w:t>
      </w:r>
    </w:p>
    <w:p>
      <w:pPr>
        <w:rPr>
          <w:rFonts w:ascii="宋体" w:hAnsi="宋体"/>
          <w:sz w:val="24"/>
          <w:szCs w:val="24"/>
        </w:rPr>
      </w:pPr>
      <w:r>
        <w:rPr>
          <w:rFonts w:hint="eastAsia" w:ascii="宋体" w:hAnsi="宋体"/>
          <w:sz w:val="24"/>
          <w:szCs w:val="24"/>
        </w:rPr>
        <w:t>3.纪检监察审计财务等部门全过程跟踪监督管理及有关程序与注意事项；</w:t>
      </w:r>
    </w:p>
    <w:p>
      <w:pPr>
        <w:rPr>
          <w:rFonts w:ascii="宋体" w:hAnsi="宋体"/>
          <w:sz w:val="24"/>
          <w:szCs w:val="24"/>
        </w:rPr>
      </w:pPr>
      <w:r>
        <w:rPr>
          <w:rFonts w:hint="eastAsia" w:ascii="宋体" w:hAnsi="宋体"/>
          <w:sz w:val="24"/>
          <w:szCs w:val="24"/>
        </w:rPr>
        <w:t>4.招标无效、投标无效、评标无效、中标无效行为的认定；</w:t>
      </w:r>
    </w:p>
    <w:p>
      <w:pPr>
        <w:rPr>
          <w:rFonts w:ascii="宋体" w:hAnsi="宋体"/>
          <w:sz w:val="24"/>
          <w:szCs w:val="24"/>
        </w:rPr>
      </w:pPr>
      <w:r>
        <w:rPr>
          <w:rFonts w:hint="eastAsia" w:ascii="宋体" w:hAnsi="宋体"/>
          <w:sz w:val="24"/>
          <w:szCs w:val="24"/>
        </w:rPr>
        <w:t>5.如何鉴别、处理与预防高价围标、低价抢标、挂靠作假和内外勾结等违法乱纪行为；</w:t>
      </w:r>
    </w:p>
    <w:p>
      <w:pPr>
        <w:rPr>
          <w:rFonts w:hint="eastAsia" w:ascii="宋体" w:hAnsi="宋体"/>
          <w:sz w:val="24"/>
          <w:szCs w:val="24"/>
        </w:rPr>
      </w:pPr>
      <w:r>
        <w:rPr>
          <w:rFonts w:hint="eastAsia" w:ascii="宋体" w:hAnsi="宋体"/>
          <w:sz w:val="24"/>
          <w:szCs w:val="24"/>
        </w:rPr>
        <w:t>6.系列招标投标违法违纪案例处理研究分析。</w:t>
      </w:r>
    </w:p>
    <w:p>
      <w:pPr>
        <w:widowControl/>
        <w:spacing w:line="330" w:lineRule="exact"/>
        <w:jc w:val="left"/>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五）</w:t>
      </w:r>
      <w:r>
        <w:rPr>
          <w:rFonts w:hint="eastAsia" w:ascii="宋体" w:hAnsi="宋体"/>
          <w:b/>
          <w:bCs/>
          <w:sz w:val="24"/>
          <w:szCs w:val="24"/>
        </w:rPr>
        <w:t>招标文件和资格预审文件编制中的实操问题和争议解决</w:t>
      </w:r>
    </w:p>
    <w:p>
      <w:pPr>
        <w:pStyle w:val="15"/>
        <w:numPr>
          <w:ilvl w:val="0"/>
          <w:numId w:val="1"/>
        </w:numPr>
        <w:spacing w:line="360" w:lineRule="exact"/>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不按规定在指定媒介发布资格预审公告或者招标公告的法律后果；</w:t>
      </w:r>
    </w:p>
    <w:p>
      <w:pPr>
        <w:pStyle w:val="15"/>
        <w:numPr>
          <w:ilvl w:val="0"/>
          <w:numId w:val="1"/>
        </w:numPr>
        <w:spacing w:line="360" w:lineRule="exact"/>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在不同媒介发布的同一招标项目的资格预审公告或者招标公告内容不一致；</w:t>
      </w:r>
    </w:p>
    <w:p>
      <w:pPr>
        <w:pStyle w:val="15"/>
        <w:numPr>
          <w:ilvl w:val="0"/>
          <w:numId w:val="1"/>
        </w:numPr>
        <w:spacing w:line="360" w:lineRule="exact"/>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招标文件、资格预审文件的发售、澄清、修改和提交的时限不足；</w:t>
      </w:r>
    </w:p>
    <w:p>
      <w:pPr>
        <w:pStyle w:val="15"/>
        <w:numPr>
          <w:ilvl w:val="0"/>
          <w:numId w:val="1"/>
        </w:numPr>
        <w:spacing w:line="360" w:lineRule="exact"/>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如何认定设定的资格、技术、商务条件与招标项目的具体特点和实际需要不相适应或者与合同履行无关；</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5.以特定行政区域或者特定行业的业绩、奖项作为加分条件或者中标条件种种变化与应用；</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6.如何不违背法律规定去指定品牌或品牌档次去采购；</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7.强制要求投标人组成联合体共同投标等限制投标人之间竞争的后果；</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8.招标文件对投标文件格式、包装与密封没有明确要求会有什么后果；</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9.联合体投标人的资格条件应该比独立投标人的资格条件高吗？及联合体资格认定问题；</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10.设置各种授权书的注意事项和授权范围的确定；</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11.保证金收取形式以及违法乱纪能否没收投标保证金；</w:t>
      </w:r>
    </w:p>
    <w:p>
      <w:pPr>
        <w:pStyle w:val="15"/>
        <w:numPr>
          <w:ilvl w:val="0"/>
          <w:numId w:val="0"/>
        </w:numPr>
        <w:spacing w:line="360" w:lineRule="exact"/>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12.下属单位能否参与自己母公司项目的投标等。</w:t>
      </w:r>
    </w:p>
    <w:p>
      <w:pPr>
        <w:rPr>
          <w:rFonts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六</w:t>
      </w:r>
      <w:r>
        <w:rPr>
          <w:rFonts w:hint="eastAsia" w:ascii="宋体" w:hAnsi="宋体"/>
          <w:b/>
          <w:bCs/>
          <w:sz w:val="24"/>
          <w:szCs w:val="24"/>
        </w:rPr>
        <w:t>)《政府采购货物和服务招标投标管理办法》（财政部令第87号）解读</w:t>
      </w:r>
    </w:p>
    <w:p>
      <w:pPr>
        <w:rPr>
          <w:rFonts w:ascii="宋体" w:hAnsi="宋体"/>
          <w:sz w:val="24"/>
          <w:szCs w:val="24"/>
        </w:rPr>
      </w:pPr>
      <w:r>
        <w:rPr>
          <w:rFonts w:hint="eastAsia" w:ascii="宋体" w:hAnsi="宋体"/>
          <w:sz w:val="24"/>
          <w:szCs w:val="24"/>
        </w:rPr>
        <w:t>1.政府采购工程招标与政府采购货物服务招标适用不同的法律；</w:t>
      </w:r>
    </w:p>
    <w:p>
      <w:pPr>
        <w:rPr>
          <w:rFonts w:ascii="宋体" w:hAnsi="宋体"/>
          <w:sz w:val="24"/>
          <w:szCs w:val="24"/>
        </w:rPr>
      </w:pPr>
      <w:r>
        <w:rPr>
          <w:rFonts w:hint="eastAsia" w:ascii="宋体" w:hAnsi="宋体"/>
          <w:sz w:val="24"/>
          <w:szCs w:val="24"/>
        </w:rPr>
        <w:t>2.政府采购的集中采购、集中采购目录与分散采购；</w:t>
      </w:r>
    </w:p>
    <w:p>
      <w:pPr>
        <w:rPr>
          <w:rFonts w:ascii="宋体" w:hAnsi="宋体"/>
          <w:sz w:val="24"/>
          <w:szCs w:val="24"/>
        </w:rPr>
      </w:pPr>
      <w:r>
        <w:rPr>
          <w:rFonts w:hint="eastAsia" w:ascii="宋体" w:hAnsi="宋体"/>
          <w:sz w:val="24"/>
          <w:szCs w:val="24"/>
        </w:rPr>
        <w:t>3.邀请招标和重新招标的适用情形与符合资格条件供应商产生办法；</w:t>
      </w:r>
    </w:p>
    <w:p>
      <w:pPr>
        <w:rPr>
          <w:rFonts w:ascii="宋体" w:hAnsi="宋体"/>
          <w:sz w:val="24"/>
          <w:szCs w:val="24"/>
        </w:rPr>
      </w:pPr>
      <w:r>
        <w:rPr>
          <w:rFonts w:hint="eastAsia" w:ascii="宋体" w:hAnsi="宋体"/>
          <w:sz w:val="24"/>
          <w:szCs w:val="24"/>
        </w:rPr>
        <w:t>4. 不得作为供应商资格条件的相关规定；</w:t>
      </w:r>
    </w:p>
    <w:p>
      <w:pPr>
        <w:rPr>
          <w:rFonts w:ascii="宋体" w:hAnsi="宋体"/>
          <w:sz w:val="24"/>
          <w:szCs w:val="24"/>
        </w:rPr>
      </w:pPr>
      <w:r>
        <w:rPr>
          <w:rFonts w:hint="eastAsia" w:ascii="宋体" w:hAnsi="宋体"/>
          <w:sz w:val="24"/>
          <w:szCs w:val="24"/>
        </w:rPr>
        <w:t>5. 关于投标人提供样品的特殊规定；</w:t>
      </w:r>
    </w:p>
    <w:p>
      <w:pPr>
        <w:rPr>
          <w:rFonts w:ascii="宋体" w:hAnsi="宋体"/>
          <w:sz w:val="24"/>
          <w:szCs w:val="24"/>
        </w:rPr>
      </w:pPr>
      <w:r>
        <w:rPr>
          <w:rFonts w:hint="eastAsia" w:ascii="宋体" w:hAnsi="宋体"/>
          <w:sz w:val="24"/>
          <w:szCs w:val="24"/>
        </w:rPr>
        <w:t>6.如何按照财政部的《政府采购品目分类目录》确定采购项目属性；</w:t>
      </w:r>
    </w:p>
    <w:p>
      <w:pPr>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.最高投标限价与采购预算、成本价到底什么关系；</w:t>
      </w:r>
    </w:p>
    <w:p>
      <w:pPr>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.两家投标人投同一品牌产品的新规定有什么亮点；</w:t>
      </w:r>
    </w:p>
    <w:p>
      <w:pP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.资格预审文件、招标文件、投标邀请书的澄清和修改；</w:t>
      </w:r>
    </w:p>
    <w:p>
      <w:pP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.投标保证金的收取、退还、不予退还相关规定；</w:t>
      </w:r>
    </w:p>
    <w:p>
      <w:pP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.投标文件的撤回与撤销（投标文件的修改、补充与澄清、说明和补正）；</w:t>
      </w:r>
    </w:p>
    <w:p>
      <w:pP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.评标委员会组成的特别规定，以及是否可以组织重新评审和成员法定更换情形和方式；</w:t>
      </w:r>
    </w:p>
    <w:p>
      <w:pP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.投标无效的法定情形和可以修改评标结果的情形；</w:t>
      </w:r>
    </w:p>
    <w:p>
      <w:pPr>
        <w:rPr>
          <w:rFonts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七</w:t>
      </w:r>
      <w:r>
        <w:rPr>
          <w:rFonts w:hint="eastAsia" w:ascii="宋体" w:hAnsi="宋体"/>
          <w:b/>
          <w:bCs/>
          <w:sz w:val="24"/>
          <w:szCs w:val="24"/>
        </w:rPr>
        <w:t>)《政府采购质疑和投诉办法》（财政部令第94号）解读和政府采购争议的解决及案例分析</w:t>
      </w:r>
    </w:p>
    <w:p>
      <w:pPr>
        <w:rPr>
          <w:rFonts w:ascii="宋体" w:hAnsi="宋体"/>
          <w:sz w:val="24"/>
          <w:szCs w:val="24"/>
        </w:rPr>
      </w:pPr>
      <w:r>
        <w:rPr>
          <w:rFonts w:hint="eastAsia" w:ascii="宋体" w:hAnsi="宋体"/>
          <w:sz w:val="24"/>
          <w:szCs w:val="24"/>
        </w:rPr>
        <w:t>1.政府采购的质疑和投诉提出的主体、形式要件与证据收集的法律规定；</w:t>
      </w:r>
    </w:p>
    <w:p>
      <w:pPr>
        <w:rPr>
          <w:rFonts w:ascii="宋体" w:hAnsi="宋体"/>
          <w:sz w:val="24"/>
          <w:szCs w:val="24"/>
        </w:rPr>
      </w:pPr>
      <w:r>
        <w:rPr>
          <w:rFonts w:hint="eastAsia" w:ascii="宋体" w:hAnsi="宋体"/>
          <w:sz w:val="24"/>
          <w:szCs w:val="24"/>
        </w:rPr>
        <w:t>2.政府采购的质疑和投诉受理的主体、处理程序与结果的法律规定；</w:t>
      </w:r>
    </w:p>
    <w:p>
      <w:pPr>
        <w:rPr>
          <w:rFonts w:ascii="宋体" w:hAnsi="宋体"/>
          <w:sz w:val="24"/>
          <w:szCs w:val="24"/>
        </w:rPr>
      </w:pPr>
      <w:r>
        <w:rPr>
          <w:rFonts w:hint="eastAsia" w:ascii="宋体" w:hAnsi="宋体"/>
          <w:sz w:val="24"/>
          <w:szCs w:val="24"/>
        </w:rPr>
        <w:t>3.政府采购哪些事项可以质疑，质疑函及质疑答复函内容与格式的要求；</w:t>
      </w:r>
    </w:p>
    <w:p>
      <w:pPr>
        <w:rPr>
          <w:rFonts w:ascii="宋体" w:hAnsi="宋体"/>
          <w:sz w:val="24"/>
          <w:szCs w:val="24"/>
        </w:rPr>
      </w:pPr>
      <w:r>
        <w:rPr>
          <w:rFonts w:hint="eastAsia" w:ascii="宋体" w:hAnsi="宋体"/>
          <w:sz w:val="24"/>
          <w:szCs w:val="24"/>
        </w:rPr>
        <w:t>4供应商提起投诉应满足哪些条件，怎样编写投诉书并依法提起投诉；</w:t>
      </w:r>
    </w:p>
    <w:p>
      <w:pPr>
        <w:rPr>
          <w:rFonts w:ascii="宋体" w:hAnsi="宋体"/>
          <w:sz w:val="24"/>
          <w:szCs w:val="24"/>
        </w:rPr>
      </w:pPr>
      <w:r>
        <w:rPr>
          <w:rFonts w:hint="eastAsia" w:ascii="宋体" w:hAnsi="宋体"/>
          <w:sz w:val="24"/>
          <w:szCs w:val="24"/>
        </w:rPr>
        <w:t>5.投诉不予受理的情形和恶意投诉的法律责任；</w:t>
      </w:r>
    </w:p>
    <w:p>
      <w:pPr>
        <w:rPr>
          <w:rFonts w:ascii="宋体" w:hAnsi="宋体"/>
          <w:sz w:val="24"/>
          <w:szCs w:val="24"/>
        </w:rPr>
      </w:pPr>
      <w:r>
        <w:rPr>
          <w:rFonts w:hint="eastAsia" w:ascii="宋体" w:hAnsi="宋体"/>
          <w:sz w:val="24"/>
          <w:szCs w:val="24"/>
        </w:rPr>
        <w:t>6.投诉处理过程及处理结果及及投诉处理决定书的内容；</w:t>
      </w:r>
    </w:p>
    <w:p>
      <w:pPr>
        <w:rPr>
          <w:rFonts w:ascii="宋体" w:hAnsi="宋体"/>
          <w:sz w:val="24"/>
          <w:szCs w:val="24"/>
        </w:rPr>
      </w:pPr>
      <w:r>
        <w:rPr>
          <w:rFonts w:hint="eastAsia" w:ascii="宋体" w:hAnsi="宋体"/>
          <w:sz w:val="24"/>
          <w:szCs w:val="24"/>
        </w:rPr>
        <w:t>7.对投诉处理不满该如何救济；</w:t>
      </w:r>
    </w:p>
    <w:p>
      <w:pPr>
        <w:rPr>
          <w:rFonts w:ascii="宋体" w:hAnsi="宋体"/>
          <w:sz w:val="24"/>
          <w:szCs w:val="24"/>
        </w:rPr>
      </w:pPr>
      <w:r>
        <w:rPr>
          <w:rFonts w:hint="eastAsia" w:ascii="宋体" w:hAnsi="宋体"/>
          <w:sz w:val="24"/>
          <w:szCs w:val="24"/>
        </w:rPr>
        <w:t>8.常见招标投标各环节容易引起异议（质疑）、投诉的事项都有哪些；</w:t>
      </w:r>
    </w:p>
    <w:p>
      <w:pPr>
        <w:rPr>
          <w:rFonts w:ascii="宋体" w:hAnsi="宋体"/>
          <w:sz w:val="24"/>
          <w:szCs w:val="24"/>
        </w:rPr>
      </w:pPr>
      <w:r>
        <w:rPr>
          <w:rFonts w:hint="eastAsia" w:ascii="宋体" w:hAnsi="宋体"/>
          <w:sz w:val="24"/>
          <w:szCs w:val="24"/>
        </w:rPr>
        <w:t>9.政府采购质疑、投诉相关案例分析。</w:t>
      </w:r>
    </w:p>
    <w:p>
      <w:pPr>
        <w:rPr>
          <w:rFonts w:ascii="宋体" w:hAnsi="宋体"/>
          <w:b/>
          <w:bCs/>
          <w:sz w:val="24"/>
          <w:szCs w:val="24"/>
        </w:rPr>
      </w:pPr>
      <w:r>
        <w:rPr>
          <w:rFonts w:hint="eastAsia" w:ascii="宋体" w:hAnsi="宋体"/>
          <w:b/>
          <w:bCs/>
          <w:sz w:val="24"/>
          <w:szCs w:val="24"/>
        </w:rPr>
        <w:t>二、培训对象</w:t>
      </w:r>
    </w:p>
    <w:p>
      <w:pPr>
        <w:spacing w:line="380" w:lineRule="exact"/>
        <w:ind w:firstLine="480" w:firstLineChars="200"/>
        <w:rPr>
          <w:rFonts w:ascii="宋体" w:hAnsi="宋体"/>
          <w:sz w:val="24"/>
          <w:szCs w:val="24"/>
        </w:rPr>
      </w:pPr>
      <w:r>
        <w:rPr>
          <w:rFonts w:hint="eastAsia" w:ascii="宋体" w:hAnsi="宋体"/>
          <w:sz w:val="24"/>
          <w:szCs w:val="24"/>
        </w:rPr>
        <w:t>各地建设局（住建委）、招标投标行政监督主管部门、各级公管办、公共资源交易中心、行政服务中心、工程交易中心、政府采购中心的相关人员；国有企事业单位、中、高等院校、医院等从事招标采购、合同管理、基建工程、纪检监察、财务、审计、法务等部门相关人员；招标代理、项目管理机构相关人员；</w:t>
      </w:r>
    </w:p>
    <w:p>
      <w:pPr>
        <w:rPr>
          <w:rFonts w:ascii="宋体" w:hAnsi="宋体"/>
          <w:b/>
          <w:bCs/>
          <w:sz w:val="24"/>
          <w:szCs w:val="24"/>
        </w:rPr>
      </w:pPr>
      <w:r>
        <w:rPr>
          <w:rFonts w:hint="eastAsia" w:ascii="宋体" w:hAnsi="宋体"/>
          <w:b/>
          <w:bCs/>
          <w:sz w:val="24"/>
          <w:szCs w:val="24"/>
        </w:rPr>
        <w:t>三、时间及地点</w:t>
      </w:r>
    </w:p>
    <w:p>
      <w:pPr>
        <w:spacing w:line="380" w:lineRule="exact"/>
        <w:ind w:firstLine="1080" w:firstLineChars="450"/>
        <w:rPr>
          <w:rFonts w:ascii="宋体" w:hAnsi="宋体"/>
          <w:sz w:val="24"/>
          <w:szCs w:val="24"/>
        </w:rPr>
      </w:pPr>
      <w:bookmarkStart w:id="0" w:name="_Hlk512600553"/>
      <w:r>
        <w:rPr>
          <w:rFonts w:hint="eastAsia" w:ascii="宋体" w:hAnsi="宋体"/>
          <w:sz w:val="24"/>
          <w:szCs w:val="24"/>
        </w:rPr>
        <w:t>时间：2018年</w:t>
      </w:r>
      <w:r>
        <w:rPr>
          <w:rFonts w:ascii="宋体" w:hAnsi="宋体"/>
          <w:sz w:val="24"/>
          <w:szCs w:val="24"/>
        </w:rPr>
        <w:t>8</w:t>
      </w:r>
      <w:r>
        <w:rPr>
          <w:rFonts w:hint="eastAsia" w:ascii="宋体" w:hAnsi="宋体"/>
          <w:sz w:val="24"/>
          <w:szCs w:val="24"/>
        </w:rPr>
        <w:t>月</w:t>
      </w:r>
      <w:r>
        <w:rPr>
          <w:rFonts w:ascii="宋体" w:hAnsi="宋体"/>
          <w:sz w:val="24"/>
          <w:szCs w:val="24"/>
        </w:rPr>
        <w:t>23</w:t>
      </w:r>
      <w:r>
        <w:rPr>
          <w:rFonts w:hint="eastAsia" w:ascii="宋体" w:hAnsi="宋体"/>
          <w:sz w:val="24"/>
          <w:szCs w:val="24"/>
        </w:rPr>
        <w:t>日—</w:t>
      </w:r>
      <w:r>
        <w:rPr>
          <w:rFonts w:ascii="宋体" w:hAnsi="宋体"/>
          <w:sz w:val="24"/>
          <w:szCs w:val="24"/>
        </w:rPr>
        <w:t>28</w:t>
      </w:r>
      <w:r>
        <w:rPr>
          <w:rFonts w:hint="eastAsia" w:ascii="宋体" w:hAnsi="宋体"/>
          <w:sz w:val="24"/>
          <w:szCs w:val="24"/>
        </w:rPr>
        <w:t>日（</w:t>
      </w:r>
      <w:r>
        <w:rPr>
          <w:rFonts w:ascii="宋体" w:hAnsi="宋体"/>
          <w:sz w:val="24"/>
          <w:szCs w:val="24"/>
        </w:rPr>
        <w:t>23</w:t>
      </w:r>
      <w:r>
        <w:rPr>
          <w:rFonts w:hint="eastAsia" w:ascii="宋体" w:hAnsi="宋体"/>
          <w:sz w:val="24"/>
          <w:szCs w:val="24"/>
        </w:rPr>
        <w:t>日报到）       地点：呼伦贝尔</w:t>
      </w:r>
    </w:p>
    <w:bookmarkEnd w:id="0"/>
    <w:p>
      <w:pPr>
        <w:spacing w:line="380" w:lineRule="exact"/>
        <w:ind w:firstLine="1080" w:firstLineChars="450"/>
        <w:rPr>
          <w:rFonts w:hint="eastAsia" w:ascii="宋体" w:hAnsi="宋体"/>
          <w:sz w:val="24"/>
          <w:szCs w:val="24"/>
        </w:rPr>
      </w:pPr>
      <w:r>
        <w:rPr>
          <w:rFonts w:hint="eastAsia" w:ascii="宋体" w:hAnsi="宋体"/>
          <w:sz w:val="24"/>
          <w:szCs w:val="24"/>
        </w:rPr>
        <w:t>时间：2018年</w:t>
      </w:r>
      <w:r>
        <w:rPr>
          <w:rFonts w:ascii="宋体" w:hAnsi="宋体"/>
          <w:sz w:val="24"/>
          <w:szCs w:val="24"/>
        </w:rPr>
        <w:t>9</w:t>
      </w:r>
      <w:r>
        <w:rPr>
          <w:rFonts w:hint="eastAsia" w:ascii="宋体" w:hAnsi="宋体"/>
          <w:sz w:val="24"/>
          <w:szCs w:val="24"/>
        </w:rPr>
        <w:t>月</w:t>
      </w:r>
      <w:r>
        <w:rPr>
          <w:rFonts w:ascii="宋体" w:hAnsi="宋体"/>
          <w:sz w:val="24"/>
          <w:szCs w:val="24"/>
        </w:rPr>
        <w:t>13</w:t>
      </w:r>
      <w:r>
        <w:rPr>
          <w:rFonts w:hint="eastAsia" w:ascii="宋体" w:hAnsi="宋体"/>
          <w:sz w:val="24"/>
          <w:szCs w:val="24"/>
        </w:rPr>
        <w:t>日—</w:t>
      </w:r>
      <w:r>
        <w:rPr>
          <w:rFonts w:ascii="宋体" w:hAnsi="宋体"/>
          <w:sz w:val="24"/>
          <w:szCs w:val="24"/>
        </w:rPr>
        <w:t>18</w:t>
      </w:r>
      <w:r>
        <w:rPr>
          <w:rFonts w:hint="eastAsia" w:ascii="宋体" w:hAnsi="宋体"/>
          <w:sz w:val="24"/>
          <w:szCs w:val="24"/>
        </w:rPr>
        <w:t>日（</w:t>
      </w:r>
      <w:r>
        <w:rPr>
          <w:rFonts w:ascii="宋体" w:hAnsi="宋体"/>
          <w:sz w:val="24"/>
          <w:szCs w:val="24"/>
        </w:rPr>
        <w:t>13</w:t>
      </w:r>
      <w:r>
        <w:rPr>
          <w:rFonts w:hint="eastAsia" w:ascii="宋体" w:hAnsi="宋体"/>
          <w:sz w:val="24"/>
          <w:szCs w:val="24"/>
        </w:rPr>
        <w:t>日报到）       地点：贵阳</w:t>
      </w:r>
    </w:p>
    <w:p>
      <w:pPr>
        <w:spacing w:line="380" w:lineRule="exact"/>
        <w:ind w:firstLine="1080" w:firstLineChars="450"/>
        <w:rPr>
          <w:rFonts w:hint="eastAsia" w:ascii="宋体" w:hAnsi="宋体"/>
          <w:sz w:val="24"/>
          <w:szCs w:val="24"/>
          <w:lang w:eastAsia="zh-CN"/>
        </w:rPr>
      </w:pPr>
      <w:r>
        <w:rPr>
          <w:rFonts w:hint="eastAsia" w:ascii="宋体" w:hAnsi="宋体"/>
          <w:sz w:val="24"/>
          <w:szCs w:val="24"/>
        </w:rPr>
        <w:t>时间：2018年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rFonts w:hint="eastAsia" w:ascii="宋体" w:hAnsi="宋体"/>
          <w:sz w:val="24"/>
          <w:szCs w:val="24"/>
          <w:lang w:val="en-US" w:eastAsia="zh-CN"/>
        </w:rPr>
        <w:t>31</w:t>
      </w:r>
      <w:r>
        <w:rPr>
          <w:rFonts w:hint="eastAsia" w:ascii="宋体" w:hAnsi="宋体"/>
          <w:sz w:val="24"/>
          <w:szCs w:val="24"/>
        </w:rPr>
        <w:t>日（</w:t>
      </w:r>
      <w:r>
        <w:rPr>
          <w:rFonts w:hint="eastAsia" w:ascii="宋体" w:hAnsi="宋体"/>
          <w:sz w:val="24"/>
          <w:szCs w:val="24"/>
          <w:lang w:val="en-US" w:eastAsia="zh-CN"/>
        </w:rPr>
        <w:t>26</w:t>
      </w:r>
      <w:r>
        <w:rPr>
          <w:rFonts w:hint="eastAsia" w:ascii="宋体" w:hAnsi="宋体"/>
          <w:sz w:val="24"/>
          <w:szCs w:val="24"/>
        </w:rPr>
        <w:t>日报到）      地点：</w:t>
      </w:r>
      <w:r>
        <w:rPr>
          <w:rFonts w:hint="eastAsia" w:ascii="宋体" w:hAnsi="宋体"/>
          <w:sz w:val="24"/>
          <w:szCs w:val="24"/>
          <w:lang w:val="en-US" w:eastAsia="zh-CN"/>
        </w:rPr>
        <w:t>杭州</w:t>
      </w:r>
    </w:p>
    <w:p>
      <w:pPr>
        <w:spacing w:line="380" w:lineRule="exact"/>
        <w:ind w:firstLine="1080" w:firstLineChars="450"/>
        <w:rPr>
          <w:rFonts w:hint="eastAsia" w:ascii="宋体" w:hAnsi="宋体"/>
          <w:sz w:val="24"/>
          <w:szCs w:val="24"/>
          <w:lang w:val="en-US" w:eastAsia="zh-CN"/>
        </w:rPr>
      </w:pPr>
      <w:r>
        <w:rPr>
          <w:rFonts w:hint="eastAsia" w:ascii="宋体" w:hAnsi="宋体"/>
          <w:sz w:val="24"/>
          <w:szCs w:val="24"/>
        </w:rPr>
        <w:t>时间：2018年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rFonts w:hint="eastAsia" w:ascii="宋体" w:hAnsi="宋体"/>
          <w:sz w:val="24"/>
          <w:szCs w:val="24"/>
          <w:lang w:val="en-US" w:eastAsia="zh-CN"/>
        </w:rPr>
        <w:t>28</w:t>
      </w:r>
      <w:r>
        <w:rPr>
          <w:rFonts w:hint="eastAsia" w:ascii="宋体" w:hAnsi="宋体"/>
          <w:sz w:val="24"/>
          <w:szCs w:val="24"/>
        </w:rPr>
        <w:t>日（</w:t>
      </w:r>
      <w:r>
        <w:rPr>
          <w:rFonts w:hint="eastAsia" w:ascii="宋体" w:hAnsi="宋体"/>
          <w:sz w:val="24"/>
          <w:szCs w:val="24"/>
          <w:lang w:val="en-US" w:eastAsia="zh-CN"/>
        </w:rPr>
        <w:t>23</w:t>
      </w:r>
      <w:r>
        <w:rPr>
          <w:rFonts w:hint="eastAsia" w:ascii="宋体" w:hAnsi="宋体"/>
          <w:sz w:val="24"/>
          <w:szCs w:val="24"/>
        </w:rPr>
        <w:t>日报到）      地点：</w:t>
      </w:r>
      <w:r>
        <w:rPr>
          <w:rFonts w:hint="eastAsia" w:ascii="宋体" w:hAnsi="宋体"/>
          <w:sz w:val="24"/>
          <w:szCs w:val="24"/>
          <w:lang w:val="en-US" w:eastAsia="zh-CN"/>
        </w:rPr>
        <w:t>南宁</w:t>
      </w:r>
    </w:p>
    <w:p>
      <w:pPr>
        <w:spacing w:line="380" w:lineRule="exact"/>
        <w:ind w:firstLine="1080" w:firstLineChars="450"/>
        <w:rPr>
          <w:rFonts w:hint="eastAsia" w:ascii="宋体" w:hAnsi="宋体" w:eastAsia="宋体"/>
          <w:sz w:val="24"/>
          <w:szCs w:val="24"/>
          <w:lang w:val="en-US" w:eastAsia="zh-CN"/>
        </w:rPr>
      </w:pPr>
      <w:r>
        <w:rPr>
          <w:rFonts w:hint="eastAsia" w:ascii="宋体" w:hAnsi="宋体"/>
          <w:sz w:val="24"/>
          <w:szCs w:val="24"/>
        </w:rPr>
        <w:t>时间：2018年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w:t>
      </w:r>
      <w:r>
        <w:rPr>
          <w:rFonts w:hint="eastAsia" w:ascii="宋体" w:hAnsi="宋体"/>
          <w:sz w:val="24"/>
          <w:szCs w:val="24"/>
          <w:lang w:val="en-US" w:eastAsia="zh-CN"/>
        </w:rPr>
        <w:t>19</w:t>
      </w:r>
      <w:r>
        <w:rPr>
          <w:rFonts w:hint="eastAsia" w:ascii="宋体" w:hAnsi="宋体"/>
          <w:sz w:val="24"/>
          <w:szCs w:val="24"/>
        </w:rPr>
        <w:t>日（</w:t>
      </w:r>
      <w:r>
        <w:rPr>
          <w:rFonts w:ascii="宋体" w:hAnsi="宋体"/>
          <w:sz w:val="24"/>
          <w:szCs w:val="24"/>
        </w:rPr>
        <w:t>1</w:t>
      </w:r>
      <w:r>
        <w:rPr>
          <w:rFonts w:hint="eastAsia" w:ascii="宋体" w:hAnsi="宋体"/>
          <w:sz w:val="24"/>
          <w:szCs w:val="24"/>
          <w:lang w:val="en-US" w:eastAsia="zh-CN"/>
        </w:rPr>
        <w:t>4</w:t>
      </w:r>
      <w:r>
        <w:rPr>
          <w:rFonts w:hint="eastAsia" w:ascii="宋体" w:hAnsi="宋体"/>
          <w:sz w:val="24"/>
          <w:szCs w:val="24"/>
        </w:rPr>
        <w:t>日报到）      地点：</w:t>
      </w:r>
      <w:r>
        <w:rPr>
          <w:rFonts w:hint="eastAsia" w:ascii="宋体" w:hAnsi="宋体"/>
          <w:sz w:val="24"/>
          <w:szCs w:val="24"/>
          <w:lang w:val="en-US" w:eastAsia="zh-CN"/>
        </w:rPr>
        <w:t>厦门</w:t>
      </w:r>
    </w:p>
    <w:p>
      <w:pPr>
        <w:spacing w:line="380" w:lineRule="exact"/>
        <w:rPr>
          <w:rFonts w:ascii="宋体" w:hAnsi="宋体"/>
          <w:b/>
          <w:sz w:val="24"/>
          <w:szCs w:val="24"/>
        </w:rPr>
      </w:pPr>
      <w:r>
        <w:rPr>
          <w:rFonts w:hint="eastAsia" w:ascii="宋体" w:hAnsi="宋体"/>
          <w:b/>
          <w:sz w:val="24"/>
          <w:szCs w:val="24"/>
        </w:rPr>
        <w:t>四、培训会务费</w:t>
      </w:r>
    </w:p>
    <w:p>
      <w:pPr>
        <w:spacing w:line="380" w:lineRule="exact"/>
        <w:ind w:firstLine="1200" w:firstLineChars="500"/>
        <w:rPr>
          <w:rFonts w:ascii="宋体" w:hAnsi="宋体"/>
          <w:sz w:val="24"/>
          <w:szCs w:val="24"/>
        </w:rPr>
      </w:pPr>
      <w:r>
        <w:rPr>
          <w:rFonts w:hint="eastAsia" w:ascii="宋体" w:hAnsi="宋体"/>
          <w:sz w:val="24"/>
          <w:szCs w:val="24"/>
        </w:rPr>
        <w:t>A:2800元/人（含培训、资料、场地、专家费等）；统一开具发票。</w:t>
      </w:r>
    </w:p>
    <w:p>
      <w:pPr>
        <w:spacing w:line="380" w:lineRule="exact"/>
        <w:ind w:firstLine="1200" w:firstLineChars="500"/>
        <w:rPr>
          <w:rFonts w:ascii="宋体" w:hAnsi="宋体"/>
          <w:sz w:val="24"/>
          <w:szCs w:val="24"/>
        </w:rPr>
      </w:pPr>
      <w:r>
        <w:rPr>
          <w:rFonts w:hint="eastAsia" w:ascii="宋体" w:hAnsi="宋体"/>
          <w:sz w:val="24"/>
          <w:szCs w:val="24"/>
        </w:rPr>
        <w:t>B:4980元/人（含培训、资料、场地、专家、食宿费等）；统一开具发票。</w:t>
      </w:r>
    </w:p>
    <w:p>
      <w:pPr>
        <w:spacing w:line="430" w:lineRule="exact"/>
        <w:rPr>
          <w:rFonts w:hint="eastAsia" w:ascii="宋体" w:hAnsi="宋体" w:cs="宋体"/>
          <w:b/>
          <w:color w:val="000000"/>
          <w:kern w:val="0"/>
          <w:sz w:val="30"/>
          <w:szCs w:val="30"/>
        </w:rPr>
      </w:pPr>
      <w:r>
        <w:rPr>
          <w:rFonts w:ascii="宋体" w:hAnsi="宋体" w:cs="宋体"/>
          <w:b/>
          <w:kern w:val="0"/>
          <w:sz w:val="24"/>
          <w:szCs w:val="24"/>
        </w:rPr>
        <w:drawing>
          <wp:anchor distT="0" distB="0" distL="0" distR="0" simplePos="0" relativeHeight="1024" behindDoc="1" locked="0" layoutInCell="1" allowOverlap="1">
            <wp:simplePos x="0" y="0"/>
            <wp:positionH relativeFrom="column">
              <wp:posOffset>4697095</wp:posOffset>
            </wp:positionH>
            <wp:positionV relativeFrom="paragraph">
              <wp:posOffset>8675370</wp:posOffset>
            </wp:positionV>
            <wp:extent cx="1828800" cy="1766570"/>
            <wp:effectExtent l="19050" t="0" r="0" b="0"/>
            <wp:wrapNone/>
            <wp:docPr id="1028" name="Picture 4"/>
            <wp:cNvGraphicFramePr/>
            <a:graphic xmlns:a="http://schemas.openxmlformats.org/drawingml/2006/main">
              <a:graphicData uri="http://schemas.openxmlformats.org/drawingml/2006/picture">
                <pic:pic xmlns:pic="http://schemas.openxmlformats.org/drawingml/2006/picture">
                  <pic:nvPicPr>
                    <pic:cNvPr id="1028" name="Picture 4"/>
                    <pic:cNvPicPr/>
                  </pic:nvPicPr>
                  <pic:blipFill>
                    <a:blip r:embed="rId5" cstate="print"/>
                    <a:srcRect/>
                    <a:stretch>
                      <a:fillRect/>
                    </a:stretch>
                  </pic:blipFill>
                  <pic:spPr>
                    <a:xfrm>
                      <a:off x="0" y="0"/>
                      <a:ext cx="1828799" cy="1766570"/>
                    </a:xfrm>
                    <a:prstGeom prst="rect">
                      <a:avLst/>
                    </a:prstGeom>
                    <a:ln>
                      <a:noFill/>
                    </a:ln>
                  </pic:spPr>
                </pic:pic>
              </a:graphicData>
            </a:graphic>
          </wp:anchor>
        </w:drawing>
      </w:r>
      <w:r>
        <w:rPr>
          <w:rFonts w:hint="eastAsia" w:ascii="宋体" w:hAnsi="宋体" w:cs="宋体"/>
          <w:b/>
          <w:kern w:val="0"/>
          <w:sz w:val="24"/>
          <w:szCs w:val="24"/>
          <w:lang w:val="zh-CN"/>
        </w:rPr>
        <w:t>五</w:t>
      </w:r>
      <w:r>
        <w:rPr>
          <w:rFonts w:hint="eastAsia" w:ascii="宋体" w:hAnsi="宋体" w:cs="宋体"/>
          <w:b/>
          <w:kern w:val="0"/>
          <w:sz w:val="24"/>
          <w:szCs w:val="24"/>
        </w:rPr>
        <w:t>、</w:t>
      </w:r>
      <w:r>
        <w:rPr>
          <w:rStyle w:val="7"/>
          <w:rFonts w:hint="eastAsia" w:ascii="宋体" w:hAnsi="宋体" w:cs="宋体"/>
          <w:color w:val="000000"/>
          <w:sz w:val="28"/>
          <w:szCs w:val="28"/>
        </w:rPr>
        <w:t>联系人：</w:t>
      </w:r>
      <w:r>
        <w:rPr>
          <w:rFonts w:hint="eastAsia" w:ascii="宋体" w:hAnsi="宋体" w:cs="宋体"/>
          <w:b/>
          <w:sz w:val="28"/>
          <w:szCs w:val="28"/>
        </w:rPr>
        <w:t>聂红军</w:t>
      </w:r>
      <w:r>
        <w:rPr>
          <w:rFonts w:hint="eastAsia" w:ascii="宋体" w:hAnsi="宋体" w:cs="宋体"/>
          <w:b/>
          <w:bCs/>
          <w:sz w:val="28"/>
          <w:szCs w:val="28"/>
        </w:rPr>
        <w:t>：18211071700（微信）</w:t>
      </w:r>
      <w:r>
        <w:rPr>
          <w:rFonts w:hint="eastAsia" w:ascii="宋体" w:hAnsi="宋体" w:cs="宋体"/>
          <w:b/>
          <w:color w:val="000000"/>
          <w:sz w:val="28"/>
          <w:szCs w:val="28"/>
        </w:rPr>
        <w:t xml:space="preserve">  邮  箱：zqgphwz@126.com</w:t>
      </w:r>
    </w:p>
    <w:p>
      <w:pPr>
        <w:spacing w:line="380" w:lineRule="exact"/>
        <w:ind w:right="-586" w:rightChars="-279"/>
        <w:jc w:val="both"/>
        <w:rPr>
          <w:rStyle w:val="7"/>
          <w:rFonts w:ascii="宋体" w:hAnsi="宋体" w:cs="宋体"/>
          <w:color w:val="000000"/>
          <w:sz w:val="32"/>
          <w:szCs w:val="32"/>
          <w:lang w:val="zh-CN"/>
        </w:rPr>
      </w:pPr>
      <w:r>
        <w:rPr>
          <w:rFonts w:hint="eastAsia" w:ascii="宋体" w:hAnsi="宋体" w:cs="宋体"/>
          <w:b/>
          <w:sz w:val="28"/>
          <w:szCs w:val="28"/>
          <w:lang w:val="en-US" w:eastAsia="zh-CN"/>
        </w:rPr>
        <w:t xml:space="preserve">    电</w:t>
      </w:r>
      <w:r>
        <w:rPr>
          <w:rFonts w:hint="eastAsia" w:ascii="宋体" w:hAnsi="宋体" w:cs="宋体"/>
          <w:b/>
          <w:sz w:val="28"/>
          <w:szCs w:val="28"/>
        </w:rPr>
        <w:t xml:space="preserve">  话（传真）：</w:t>
      </w:r>
      <w:r>
        <w:rPr>
          <w:rFonts w:hint="eastAsia" w:ascii="宋体" w:hAnsi="宋体" w:cs="宋体"/>
          <w:b/>
          <w:bCs/>
          <w:sz w:val="28"/>
          <w:szCs w:val="28"/>
        </w:rPr>
        <w:t>010-87697580</w:t>
      </w:r>
      <w:r>
        <w:rPr>
          <w:rFonts w:hint="eastAsia" w:ascii="宋体" w:hAnsi="宋体" w:cs="宋体"/>
          <w:b/>
          <w:sz w:val="28"/>
          <w:szCs w:val="28"/>
        </w:rPr>
        <w:t xml:space="preserve">         QQ咨询：</w:t>
      </w:r>
      <w:r>
        <w:rPr>
          <w:rFonts w:hint="eastAsia" w:ascii="宋体" w:hAnsi="宋体" w:cs="宋体"/>
          <w:b/>
          <w:sz w:val="32"/>
          <w:szCs w:val="32"/>
        </w:rPr>
        <w:t>3177524020</w:t>
      </w:r>
    </w:p>
    <w:p>
      <w:pPr>
        <w:tabs>
          <w:tab w:val="left" w:pos="142"/>
        </w:tabs>
        <w:spacing w:line="400" w:lineRule="exact"/>
        <w:ind w:right="-141" w:rightChars="-67"/>
        <w:jc w:val="left"/>
        <w:rPr>
          <w:b/>
          <w:bCs/>
        </w:rPr>
      </w:pPr>
      <w:r>
        <w:rPr>
          <w:b/>
          <w:bCs/>
        </w:rPr>
        <w:t xml:space="preserve"> </w:t>
      </w:r>
    </w:p>
    <w:p>
      <w:pPr>
        <w:spacing w:line="360" w:lineRule="exact"/>
        <w:rPr>
          <w:rFonts w:ascii="宋体" w:hAnsi="宋体" w:cs="宋体"/>
          <w:kern w:val="0"/>
          <w:sz w:val="28"/>
          <w:szCs w:val="28"/>
        </w:rPr>
      </w:pPr>
      <w:r>
        <w:rPr>
          <w:rFonts w:hint="eastAsia" w:ascii="宋体" w:hAnsi="宋体" w:cs="仿宋_GB2312"/>
          <w:kern w:val="0"/>
          <w:sz w:val="30"/>
          <w:szCs w:val="30"/>
        </w:rPr>
        <w:t>附件2：</w:t>
      </w:r>
      <w:r>
        <w:rPr>
          <w:rFonts w:hint="eastAsia" w:ascii="宋体" w:hAnsi="宋体" w:cs="宋体"/>
          <w:kern w:val="0"/>
          <w:sz w:val="28"/>
          <w:szCs w:val="28"/>
        </w:rPr>
        <w:t>“发改委16号令和10号令、财政部87号令和94号令、国家九部委局《标准招标文件》深度解读</w:t>
      </w:r>
      <w:r>
        <w:rPr>
          <w:rFonts w:hint="eastAsia" w:ascii="宋体" w:hAnsi="宋体" w:cs="宋体"/>
          <w:kern w:val="0"/>
          <w:sz w:val="28"/>
          <w:szCs w:val="28"/>
          <w:lang w:val="en-US" w:eastAsia="zh-CN"/>
        </w:rPr>
        <w:t>应用</w:t>
      </w:r>
      <w:r>
        <w:rPr>
          <w:rFonts w:hint="eastAsia" w:ascii="宋体" w:hAnsi="宋体" w:cs="宋体"/>
          <w:kern w:val="0"/>
          <w:sz w:val="28"/>
          <w:szCs w:val="28"/>
        </w:rPr>
        <w:t>、招投标实务操作全过程指导及</w:t>
      </w:r>
      <w:r>
        <w:rPr>
          <w:rFonts w:hint="eastAsia" w:ascii="宋体" w:hAnsi="宋体" w:cs="宋体"/>
          <w:kern w:val="0"/>
          <w:sz w:val="28"/>
          <w:szCs w:val="28"/>
          <w:lang w:val="en-US" w:eastAsia="zh-CN"/>
        </w:rPr>
        <w:t>经典</w:t>
      </w:r>
      <w:r>
        <w:rPr>
          <w:rFonts w:hint="eastAsia" w:ascii="宋体" w:hAnsi="宋体" w:cs="宋体"/>
          <w:kern w:val="0"/>
          <w:sz w:val="28"/>
          <w:szCs w:val="28"/>
        </w:rPr>
        <w:t>案例分析”</w:t>
      </w:r>
    </w:p>
    <w:p>
      <w:pPr>
        <w:spacing w:line="360" w:lineRule="exact"/>
        <w:ind w:firstLine="3360" w:firstLineChars="1200"/>
        <w:rPr>
          <w:rFonts w:ascii="宋体" w:hAnsi="宋体" w:cs="宋体"/>
          <w:kern w:val="0"/>
          <w:sz w:val="28"/>
          <w:szCs w:val="28"/>
        </w:rPr>
      </w:pPr>
      <w:r>
        <w:rPr>
          <w:rFonts w:hint="eastAsia" w:ascii="宋体" w:hAnsi="宋体" w:cs="宋体"/>
          <w:kern w:val="0"/>
          <w:sz w:val="28"/>
          <w:szCs w:val="28"/>
          <w:lang w:val="en-US" w:eastAsia="zh-CN"/>
        </w:rPr>
        <w:t>专题精品</w:t>
      </w:r>
      <w:r>
        <w:rPr>
          <w:rFonts w:hint="eastAsia" w:ascii="宋体" w:hAnsi="宋体" w:cs="宋体"/>
          <w:kern w:val="0"/>
          <w:sz w:val="28"/>
          <w:szCs w:val="28"/>
        </w:rPr>
        <w:t>高级培训班报名表</w:t>
      </w:r>
    </w:p>
    <w:tbl>
      <w:tblPr>
        <w:tblStyle w:val="9"/>
        <w:tblW w:w="93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81"/>
        <w:gridCol w:w="993"/>
        <w:gridCol w:w="900"/>
        <w:gridCol w:w="1578"/>
        <w:gridCol w:w="1418"/>
        <w:gridCol w:w="142"/>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单位名称</w:t>
            </w:r>
          </w:p>
        </w:tc>
        <w:tc>
          <w:tcPr>
            <w:tcW w:w="4252" w:type="dxa"/>
            <w:gridSpan w:val="4"/>
            <w:vAlign w:val="center"/>
          </w:tcPr>
          <w:p>
            <w:pPr>
              <w:spacing w:line="380" w:lineRule="exact"/>
              <w:ind w:firstLine="420" w:firstLineChars="150"/>
              <w:rPr>
                <w:rFonts w:ascii="宋体" w:hAnsi="宋体"/>
                <w:sz w:val="28"/>
                <w:szCs w:val="28"/>
              </w:rPr>
            </w:pPr>
          </w:p>
        </w:tc>
        <w:tc>
          <w:tcPr>
            <w:tcW w:w="1418" w:type="dxa"/>
            <w:vAlign w:val="center"/>
          </w:tcPr>
          <w:p>
            <w:pPr>
              <w:spacing w:line="380" w:lineRule="exact"/>
              <w:rPr>
                <w:rFonts w:ascii="宋体" w:hAnsi="宋体"/>
                <w:sz w:val="28"/>
                <w:szCs w:val="28"/>
              </w:rPr>
            </w:pPr>
            <w:r>
              <w:rPr>
                <w:rFonts w:hint="eastAsia" w:ascii="宋体" w:hAnsi="宋体"/>
                <w:sz w:val="28"/>
                <w:szCs w:val="28"/>
              </w:rPr>
              <w:t>行业类别</w:t>
            </w:r>
          </w:p>
        </w:tc>
        <w:tc>
          <w:tcPr>
            <w:tcW w:w="1731" w:type="dxa"/>
            <w:gridSpan w:val="2"/>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详细地址</w:t>
            </w:r>
          </w:p>
        </w:tc>
        <w:tc>
          <w:tcPr>
            <w:tcW w:w="4252" w:type="dxa"/>
            <w:gridSpan w:val="4"/>
            <w:vAlign w:val="center"/>
          </w:tcPr>
          <w:p>
            <w:pPr>
              <w:spacing w:line="380" w:lineRule="exact"/>
              <w:ind w:firstLine="420" w:firstLineChars="150"/>
              <w:rPr>
                <w:rFonts w:ascii="宋体" w:hAnsi="宋体"/>
                <w:sz w:val="28"/>
                <w:szCs w:val="28"/>
              </w:rPr>
            </w:pPr>
          </w:p>
        </w:tc>
        <w:tc>
          <w:tcPr>
            <w:tcW w:w="1418" w:type="dxa"/>
            <w:vAlign w:val="center"/>
          </w:tcPr>
          <w:p>
            <w:pPr>
              <w:spacing w:line="380" w:lineRule="exact"/>
              <w:ind w:firstLine="420" w:firstLineChars="150"/>
              <w:rPr>
                <w:rFonts w:ascii="宋体" w:hAnsi="宋体"/>
                <w:sz w:val="28"/>
                <w:szCs w:val="28"/>
              </w:rPr>
            </w:pPr>
            <w:r>
              <w:rPr>
                <w:rFonts w:hint="eastAsia" w:ascii="宋体" w:hAnsi="宋体"/>
                <w:sz w:val="28"/>
                <w:szCs w:val="28"/>
              </w:rPr>
              <w:t>邮编</w:t>
            </w:r>
          </w:p>
        </w:tc>
        <w:tc>
          <w:tcPr>
            <w:tcW w:w="1731" w:type="dxa"/>
            <w:gridSpan w:val="2"/>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联系人</w:t>
            </w:r>
          </w:p>
        </w:tc>
        <w:tc>
          <w:tcPr>
            <w:tcW w:w="2674" w:type="dxa"/>
            <w:gridSpan w:val="3"/>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r>
              <w:rPr>
                <w:rFonts w:hint="eastAsia" w:ascii="宋体" w:hAnsi="宋体"/>
                <w:sz w:val="28"/>
                <w:szCs w:val="28"/>
              </w:rPr>
              <w:t>E-mail</w:t>
            </w:r>
          </w:p>
        </w:tc>
        <w:tc>
          <w:tcPr>
            <w:tcW w:w="3149" w:type="dxa"/>
            <w:gridSpan w:val="3"/>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电话（区号）</w:t>
            </w:r>
          </w:p>
        </w:tc>
        <w:tc>
          <w:tcPr>
            <w:tcW w:w="2674" w:type="dxa"/>
            <w:gridSpan w:val="3"/>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r>
              <w:rPr>
                <w:rFonts w:hint="eastAsia" w:ascii="宋体" w:hAnsi="宋体"/>
                <w:sz w:val="28"/>
                <w:szCs w:val="28"/>
              </w:rPr>
              <w:t>传真</w:t>
            </w:r>
          </w:p>
        </w:tc>
        <w:tc>
          <w:tcPr>
            <w:tcW w:w="3149" w:type="dxa"/>
            <w:gridSpan w:val="3"/>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32" w:type="dxa"/>
            <w:vAlign w:val="center"/>
          </w:tcPr>
          <w:p>
            <w:pPr>
              <w:spacing w:line="380" w:lineRule="exact"/>
              <w:rPr>
                <w:rFonts w:ascii="宋体" w:hAnsi="宋体"/>
                <w:sz w:val="28"/>
                <w:szCs w:val="28"/>
              </w:rPr>
            </w:pPr>
            <w:r>
              <w:rPr>
                <w:rFonts w:hint="eastAsia" w:ascii="宋体" w:hAnsi="宋体"/>
                <w:sz w:val="28"/>
                <w:szCs w:val="28"/>
              </w:rPr>
              <w:t>参班代表姓名</w:t>
            </w:r>
          </w:p>
        </w:tc>
        <w:tc>
          <w:tcPr>
            <w:tcW w:w="781" w:type="dxa"/>
            <w:vAlign w:val="center"/>
          </w:tcPr>
          <w:p>
            <w:pPr>
              <w:spacing w:line="380" w:lineRule="exact"/>
              <w:rPr>
                <w:rFonts w:ascii="宋体" w:hAnsi="宋体"/>
                <w:sz w:val="28"/>
                <w:szCs w:val="28"/>
              </w:rPr>
            </w:pPr>
            <w:r>
              <w:rPr>
                <w:rFonts w:hint="eastAsia" w:ascii="宋体" w:hAnsi="宋体"/>
                <w:sz w:val="28"/>
                <w:szCs w:val="28"/>
              </w:rPr>
              <w:t>性别</w:t>
            </w:r>
          </w:p>
        </w:tc>
        <w:tc>
          <w:tcPr>
            <w:tcW w:w="993" w:type="dxa"/>
            <w:vAlign w:val="center"/>
          </w:tcPr>
          <w:p>
            <w:pPr>
              <w:spacing w:line="380" w:lineRule="exact"/>
              <w:rPr>
                <w:rFonts w:ascii="宋体" w:hAnsi="宋体"/>
                <w:sz w:val="28"/>
                <w:szCs w:val="28"/>
              </w:rPr>
            </w:pPr>
            <w:r>
              <w:rPr>
                <w:rFonts w:hint="eastAsia" w:ascii="宋体" w:hAnsi="宋体"/>
                <w:sz w:val="28"/>
                <w:szCs w:val="28"/>
              </w:rPr>
              <w:t>部门</w:t>
            </w:r>
          </w:p>
        </w:tc>
        <w:tc>
          <w:tcPr>
            <w:tcW w:w="900" w:type="dxa"/>
            <w:vAlign w:val="center"/>
          </w:tcPr>
          <w:p>
            <w:pPr>
              <w:spacing w:line="380" w:lineRule="exact"/>
              <w:rPr>
                <w:rFonts w:ascii="宋体" w:hAnsi="宋体"/>
                <w:sz w:val="28"/>
                <w:szCs w:val="28"/>
              </w:rPr>
            </w:pPr>
            <w:r>
              <w:rPr>
                <w:rFonts w:hint="eastAsia" w:ascii="宋体" w:hAnsi="宋体"/>
                <w:sz w:val="28"/>
                <w:szCs w:val="28"/>
              </w:rPr>
              <w:t>职务</w:t>
            </w:r>
          </w:p>
        </w:tc>
        <w:tc>
          <w:tcPr>
            <w:tcW w:w="1578" w:type="dxa"/>
            <w:vAlign w:val="center"/>
          </w:tcPr>
          <w:p>
            <w:pPr>
              <w:spacing w:line="380" w:lineRule="exact"/>
              <w:rPr>
                <w:rFonts w:ascii="宋体" w:hAnsi="宋体"/>
                <w:sz w:val="28"/>
                <w:szCs w:val="28"/>
              </w:rPr>
            </w:pPr>
            <w:r>
              <w:rPr>
                <w:rFonts w:hint="eastAsia" w:ascii="宋体" w:hAnsi="宋体"/>
                <w:sz w:val="28"/>
                <w:szCs w:val="28"/>
              </w:rPr>
              <w:t>办公电话</w:t>
            </w:r>
          </w:p>
        </w:tc>
        <w:tc>
          <w:tcPr>
            <w:tcW w:w="1560" w:type="dxa"/>
            <w:gridSpan w:val="2"/>
            <w:vAlign w:val="center"/>
          </w:tcPr>
          <w:p>
            <w:pPr>
              <w:spacing w:line="380" w:lineRule="exact"/>
              <w:ind w:firstLine="420" w:firstLineChars="150"/>
              <w:rPr>
                <w:rFonts w:ascii="宋体" w:hAnsi="宋体"/>
                <w:sz w:val="28"/>
                <w:szCs w:val="28"/>
              </w:rPr>
            </w:pPr>
            <w:r>
              <w:rPr>
                <w:rFonts w:hint="eastAsia" w:ascii="宋体" w:hAnsi="宋体"/>
                <w:sz w:val="28"/>
                <w:szCs w:val="28"/>
              </w:rPr>
              <w:t>手机</w:t>
            </w:r>
          </w:p>
        </w:tc>
        <w:tc>
          <w:tcPr>
            <w:tcW w:w="1589" w:type="dxa"/>
            <w:vAlign w:val="center"/>
          </w:tcPr>
          <w:p>
            <w:pPr>
              <w:spacing w:line="380" w:lineRule="exact"/>
              <w:ind w:firstLine="420" w:firstLineChars="150"/>
              <w:rPr>
                <w:rFonts w:ascii="宋体" w:hAnsi="宋体"/>
                <w:sz w:val="28"/>
                <w:szCs w:val="28"/>
              </w:rPr>
            </w:pPr>
            <w:r>
              <w:rPr>
                <w:rFonts w:hint="eastAsia" w:ascii="宋体" w:hAnsi="宋体"/>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32" w:type="dxa"/>
            <w:vAlign w:val="center"/>
          </w:tcPr>
          <w:p>
            <w:pPr>
              <w:spacing w:line="380" w:lineRule="exact"/>
              <w:ind w:firstLine="420" w:firstLineChars="150"/>
              <w:rPr>
                <w:rFonts w:ascii="宋体" w:hAnsi="宋体"/>
                <w:sz w:val="28"/>
                <w:szCs w:val="28"/>
              </w:rPr>
            </w:pPr>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32" w:type="dxa"/>
            <w:vAlign w:val="center"/>
          </w:tcPr>
          <w:p>
            <w:pPr>
              <w:spacing w:line="380" w:lineRule="exact"/>
              <w:ind w:firstLine="420" w:firstLineChars="150"/>
              <w:rPr>
                <w:rFonts w:ascii="宋体" w:hAnsi="宋体"/>
                <w:sz w:val="28"/>
                <w:szCs w:val="28"/>
              </w:rPr>
            </w:pPr>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32" w:type="dxa"/>
            <w:vAlign w:val="center"/>
          </w:tcPr>
          <w:p>
            <w:pPr>
              <w:spacing w:line="380" w:lineRule="exact"/>
              <w:ind w:firstLine="420" w:firstLineChars="150"/>
              <w:rPr>
                <w:rFonts w:ascii="宋体" w:hAnsi="宋体"/>
                <w:sz w:val="28"/>
                <w:szCs w:val="28"/>
              </w:rPr>
            </w:pPr>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32" w:type="dxa"/>
            <w:vAlign w:val="center"/>
          </w:tcPr>
          <w:p>
            <w:pPr>
              <w:spacing w:line="380" w:lineRule="exact"/>
              <w:ind w:firstLine="420" w:firstLineChars="150"/>
              <w:rPr>
                <w:rFonts w:ascii="宋体" w:hAnsi="宋体"/>
                <w:sz w:val="28"/>
                <w:szCs w:val="28"/>
              </w:rPr>
            </w:pPr>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32" w:type="dxa"/>
            <w:vAlign w:val="center"/>
          </w:tcPr>
          <w:p>
            <w:pPr>
              <w:spacing w:line="380" w:lineRule="exact"/>
              <w:ind w:firstLine="420" w:firstLineChars="150"/>
              <w:rPr>
                <w:rFonts w:ascii="宋体" w:hAnsi="宋体"/>
                <w:sz w:val="28"/>
                <w:szCs w:val="28"/>
              </w:rPr>
            </w:pPr>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32" w:type="dxa"/>
            <w:vAlign w:val="center"/>
          </w:tcPr>
          <w:p>
            <w:pPr>
              <w:spacing w:line="380" w:lineRule="exact"/>
              <w:ind w:firstLine="420" w:firstLineChars="150"/>
              <w:rPr>
                <w:rFonts w:ascii="宋体" w:hAnsi="宋体"/>
                <w:sz w:val="28"/>
                <w:szCs w:val="28"/>
              </w:rPr>
            </w:pPr>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32" w:type="dxa"/>
            <w:vAlign w:val="center"/>
          </w:tcPr>
          <w:p>
            <w:pPr>
              <w:spacing w:line="380" w:lineRule="exact"/>
              <w:ind w:firstLine="420" w:firstLineChars="150"/>
              <w:rPr>
                <w:rFonts w:ascii="宋体" w:hAnsi="宋体"/>
                <w:sz w:val="28"/>
                <w:szCs w:val="28"/>
              </w:rPr>
            </w:pPr>
            <w:bookmarkStart w:id="1" w:name="_GoBack"/>
            <w:bookmarkEnd w:id="1"/>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32" w:type="dxa"/>
            <w:vAlign w:val="center"/>
          </w:tcPr>
          <w:p>
            <w:pPr>
              <w:spacing w:line="380" w:lineRule="exact"/>
              <w:ind w:firstLine="420" w:firstLineChars="150"/>
              <w:rPr>
                <w:rFonts w:ascii="宋体" w:hAnsi="宋体"/>
                <w:sz w:val="28"/>
                <w:szCs w:val="28"/>
              </w:rPr>
            </w:pPr>
          </w:p>
        </w:tc>
        <w:tc>
          <w:tcPr>
            <w:tcW w:w="781" w:type="dxa"/>
            <w:vAlign w:val="center"/>
          </w:tcPr>
          <w:p>
            <w:pPr>
              <w:spacing w:line="380" w:lineRule="exact"/>
              <w:ind w:firstLine="420" w:firstLineChars="150"/>
              <w:rPr>
                <w:rFonts w:ascii="宋体" w:hAnsi="宋体"/>
                <w:sz w:val="28"/>
                <w:szCs w:val="28"/>
              </w:rPr>
            </w:pPr>
          </w:p>
        </w:tc>
        <w:tc>
          <w:tcPr>
            <w:tcW w:w="993" w:type="dxa"/>
            <w:vAlign w:val="center"/>
          </w:tcPr>
          <w:p>
            <w:pPr>
              <w:spacing w:line="380" w:lineRule="exact"/>
              <w:ind w:firstLine="420" w:firstLineChars="150"/>
              <w:rPr>
                <w:rFonts w:ascii="宋体" w:hAnsi="宋体"/>
                <w:sz w:val="28"/>
                <w:szCs w:val="28"/>
              </w:rPr>
            </w:pPr>
          </w:p>
        </w:tc>
        <w:tc>
          <w:tcPr>
            <w:tcW w:w="900" w:type="dxa"/>
            <w:vAlign w:val="center"/>
          </w:tcPr>
          <w:p>
            <w:pPr>
              <w:spacing w:line="380" w:lineRule="exact"/>
              <w:ind w:firstLine="420" w:firstLineChars="150"/>
              <w:rPr>
                <w:rFonts w:ascii="宋体" w:hAnsi="宋体"/>
                <w:sz w:val="28"/>
                <w:szCs w:val="28"/>
              </w:rPr>
            </w:pPr>
          </w:p>
        </w:tc>
        <w:tc>
          <w:tcPr>
            <w:tcW w:w="1578" w:type="dxa"/>
            <w:vAlign w:val="center"/>
          </w:tcPr>
          <w:p>
            <w:pPr>
              <w:spacing w:line="380" w:lineRule="exact"/>
              <w:ind w:firstLine="420" w:firstLineChars="150"/>
              <w:rPr>
                <w:rFonts w:ascii="宋体" w:hAnsi="宋体"/>
                <w:sz w:val="28"/>
                <w:szCs w:val="28"/>
              </w:rPr>
            </w:pPr>
          </w:p>
        </w:tc>
        <w:tc>
          <w:tcPr>
            <w:tcW w:w="1560" w:type="dxa"/>
            <w:gridSpan w:val="2"/>
            <w:vAlign w:val="center"/>
          </w:tcPr>
          <w:p>
            <w:pPr>
              <w:spacing w:line="380" w:lineRule="exact"/>
              <w:ind w:firstLine="420" w:firstLineChars="150"/>
              <w:rPr>
                <w:rFonts w:ascii="宋体" w:hAnsi="宋体"/>
                <w:sz w:val="28"/>
                <w:szCs w:val="28"/>
              </w:rPr>
            </w:pPr>
          </w:p>
        </w:tc>
        <w:tc>
          <w:tcPr>
            <w:tcW w:w="1589" w:type="dxa"/>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住宿安排</w:t>
            </w:r>
          </w:p>
        </w:tc>
        <w:tc>
          <w:tcPr>
            <w:tcW w:w="7401" w:type="dxa"/>
            <w:gridSpan w:val="7"/>
          </w:tcPr>
          <w:p>
            <w:pPr>
              <w:spacing w:line="380" w:lineRule="exact"/>
              <w:ind w:firstLine="420" w:firstLineChars="150"/>
              <w:rPr>
                <w:rFonts w:ascii="宋体" w:hAnsi="宋体"/>
                <w:sz w:val="28"/>
                <w:szCs w:val="28"/>
              </w:rPr>
            </w:pPr>
            <w:r>
              <w:rPr>
                <w:rFonts w:hint="eastAsia" w:ascii="宋体" w:hAnsi="宋体"/>
                <w:sz w:val="28"/>
                <w:szCs w:val="28"/>
              </w:rPr>
              <w:t>□单间  □标间  □合住  订房数量  间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付款方式</w:t>
            </w:r>
          </w:p>
        </w:tc>
        <w:tc>
          <w:tcPr>
            <w:tcW w:w="7401" w:type="dxa"/>
            <w:gridSpan w:val="7"/>
            <w:vAlign w:val="center"/>
          </w:tcPr>
          <w:p>
            <w:pPr>
              <w:spacing w:line="380" w:lineRule="exact"/>
              <w:ind w:firstLine="1260" w:firstLineChars="450"/>
              <w:rPr>
                <w:rFonts w:ascii="宋体" w:hAnsi="宋体"/>
                <w:sz w:val="28"/>
                <w:szCs w:val="28"/>
              </w:rPr>
            </w:pPr>
            <w:r>
              <w:rPr>
                <w:rFonts w:hint="eastAsia" w:ascii="宋体" w:hAnsi="宋体"/>
                <w:sz w:val="28"/>
                <w:szCs w:val="28"/>
              </w:rPr>
              <w:t>□通过银行  □刷卡   □现金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指定收款账户</w:t>
            </w:r>
          </w:p>
        </w:tc>
        <w:tc>
          <w:tcPr>
            <w:tcW w:w="7401" w:type="dxa"/>
            <w:gridSpan w:val="7"/>
            <w:vAlign w:val="center"/>
          </w:tcPr>
          <w:p>
            <w:pPr>
              <w:spacing w:line="380" w:lineRule="exact"/>
              <w:rPr>
                <w:rFonts w:ascii="宋体" w:hAnsi="宋体"/>
                <w:b/>
                <w:bCs/>
                <w:sz w:val="28"/>
                <w:szCs w:val="28"/>
              </w:rPr>
            </w:pPr>
            <w:r>
              <w:rPr>
                <w:rFonts w:hint="eastAsia" w:ascii="宋体" w:hAnsi="宋体"/>
                <w:b/>
                <w:bCs/>
                <w:sz w:val="28"/>
                <w:szCs w:val="28"/>
              </w:rPr>
              <w:t>户  名：中建领航企培（北京）信息咨询中心</w:t>
            </w:r>
          </w:p>
          <w:p>
            <w:pPr>
              <w:spacing w:line="380" w:lineRule="exact"/>
              <w:rPr>
                <w:rFonts w:ascii="宋体" w:hAnsi="宋体"/>
                <w:b/>
                <w:bCs/>
                <w:sz w:val="28"/>
                <w:szCs w:val="28"/>
              </w:rPr>
            </w:pPr>
            <w:r>
              <w:rPr>
                <w:rFonts w:hint="eastAsia" w:ascii="宋体" w:hAnsi="宋体"/>
                <w:b/>
                <w:bCs/>
                <w:sz w:val="28"/>
                <w:szCs w:val="28"/>
              </w:rPr>
              <w:t>账  号：0200 0049 0920 0337 920</w:t>
            </w:r>
          </w:p>
          <w:p>
            <w:pPr>
              <w:spacing w:line="380" w:lineRule="exact"/>
              <w:rPr>
                <w:rFonts w:ascii="宋体" w:hAnsi="宋体"/>
                <w:sz w:val="28"/>
                <w:szCs w:val="28"/>
              </w:rPr>
            </w:pPr>
            <w:r>
              <w:rPr>
                <w:rFonts w:hint="eastAsia" w:ascii="宋体" w:hAnsi="宋体"/>
                <w:b/>
                <w:bCs/>
                <w:sz w:val="28"/>
                <w:szCs w:val="28"/>
              </w:rPr>
              <w:t>开户行：</w:t>
            </w:r>
            <w:r>
              <w:rPr>
                <w:rFonts w:hint="eastAsia" w:ascii="宋体" w:hAnsi="宋体"/>
                <w:b/>
                <w:bCs/>
                <w:sz w:val="28"/>
                <w:szCs w:val="28"/>
                <w:lang w:val="zh-CN"/>
              </w:rPr>
              <w:t>中国工商银行永定路支行（行号1021 0000 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932" w:type="dxa"/>
            <w:vAlign w:val="center"/>
          </w:tcPr>
          <w:p>
            <w:pPr>
              <w:spacing w:line="380" w:lineRule="exact"/>
              <w:rPr>
                <w:rFonts w:ascii="宋体" w:hAnsi="宋体"/>
                <w:sz w:val="28"/>
                <w:szCs w:val="28"/>
              </w:rPr>
            </w:pPr>
            <w:r>
              <w:rPr>
                <w:rFonts w:hint="eastAsia" w:ascii="宋体" w:hAnsi="宋体"/>
                <w:sz w:val="28"/>
                <w:szCs w:val="28"/>
              </w:rPr>
              <w:t>开票单位名称</w:t>
            </w:r>
          </w:p>
        </w:tc>
        <w:tc>
          <w:tcPr>
            <w:tcW w:w="7401" w:type="dxa"/>
            <w:gridSpan w:val="7"/>
            <w:vAlign w:val="center"/>
          </w:tcPr>
          <w:p>
            <w:pPr>
              <w:spacing w:line="380" w:lineRule="exact"/>
              <w:ind w:firstLine="420" w:firstLineChars="15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发票要求：</w:t>
            </w:r>
          </w:p>
        </w:tc>
        <w:tc>
          <w:tcPr>
            <w:tcW w:w="7401" w:type="dxa"/>
            <w:gridSpan w:val="7"/>
            <w:vAlign w:val="center"/>
          </w:tcPr>
          <w:p>
            <w:pPr>
              <w:spacing w:line="380" w:lineRule="exact"/>
              <w:ind w:firstLine="420" w:firstLineChars="150"/>
              <w:rPr>
                <w:rFonts w:ascii="宋体" w:hAnsi="宋体"/>
                <w:sz w:val="28"/>
                <w:szCs w:val="28"/>
              </w:rPr>
            </w:pPr>
            <w:r>
              <w:rPr>
                <w:rFonts w:hint="eastAsia" w:ascii="宋体" w:hAnsi="宋体"/>
                <w:sz w:val="28"/>
                <w:szCs w:val="28"/>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932" w:type="dxa"/>
            <w:vAlign w:val="center"/>
          </w:tcPr>
          <w:p>
            <w:pPr>
              <w:spacing w:line="380" w:lineRule="exact"/>
              <w:ind w:firstLine="420" w:firstLineChars="150"/>
              <w:rPr>
                <w:rFonts w:ascii="宋体" w:hAnsi="宋体"/>
                <w:sz w:val="28"/>
                <w:szCs w:val="28"/>
              </w:rPr>
            </w:pPr>
            <w:r>
              <w:rPr>
                <w:rFonts w:hint="eastAsia" w:ascii="宋体" w:hAnsi="宋体"/>
                <w:sz w:val="28"/>
                <w:szCs w:val="28"/>
              </w:rPr>
              <w:t>参会方式</w:t>
            </w:r>
          </w:p>
        </w:tc>
        <w:tc>
          <w:tcPr>
            <w:tcW w:w="7401" w:type="dxa"/>
            <w:gridSpan w:val="7"/>
            <w:vAlign w:val="center"/>
          </w:tcPr>
          <w:p>
            <w:pPr>
              <w:spacing w:line="380" w:lineRule="exact"/>
              <w:ind w:firstLine="420" w:firstLineChars="150"/>
              <w:rPr>
                <w:rFonts w:ascii="宋体" w:hAnsi="宋体"/>
                <w:sz w:val="28"/>
                <w:szCs w:val="28"/>
              </w:rPr>
            </w:pPr>
            <w:r>
              <w:rPr>
                <w:rFonts w:hint="eastAsia" w:ascii="宋体" w:hAnsi="宋体"/>
                <w:sz w:val="28"/>
                <w:szCs w:val="28"/>
              </w:rPr>
              <w:t>请参会单位把参会回执回传至会务组，会务组确认后即发《参会凭证》，其中将详细注明报到时间、报到地点、食宿等具体安排事项。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9333" w:type="dxa"/>
            <w:gridSpan w:val="8"/>
          </w:tcPr>
          <w:p>
            <w:pPr>
              <w:spacing w:line="430" w:lineRule="exact"/>
              <w:rPr>
                <w:rFonts w:hint="eastAsia" w:ascii="宋体" w:hAnsi="宋体" w:cs="宋体"/>
                <w:b/>
                <w:color w:val="000000"/>
                <w:kern w:val="0"/>
                <w:sz w:val="30"/>
                <w:szCs w:val="30"/>
              </w:rPr>
            </w:pPr>
            <w:r>
              <w:rPr>
                <w:rStyle w:val="7"/>
                <w:rFonts w:hint="eastAsia" w:ascii="宋体" w:hAnsi="宋体" w:cs="宋体"/>
                <w:color w:val="000000"/>
                <w:sz w:val="28"/>
                <w:szCs w:val="28"/>
              </w:rPr>
              <w:t>联系人：</w:t>
            </w:r>
            <w:r>
              <w:rPr>
                <w:rFonts w:hint="eastAsia" w:ascii="宋体" w:hAnsi="宋体" w:cs="宋体"/>
                <w:b/>
                <w:sz w:val="28"/>
                <w:szCs w:val="28"/>
              </w:rPr>
              <w:t>聂红军</w:t>
            </w:r>
            <w:r>
              <w:rPr>
                <w:rFonts w:hint="eastAsia" w:ascii="宋体" w:hAnsi="宋体" w:cs="宋体"/>
                <w:b/>
                <w:bCs/>
                <w:sz w:val="28"/>
                <w:szCs w:val="28"/>
              </w:rPr>
              <w:t>：18211071700（微信）</w:t>
            </w:r>
            <w:r>
              <w:rPr>
                <w:rFonts w:hint="eastAsia" w:ascii="宋体" w:hAnsi="宋体" w:cs="宋体"/>
                <w:b/>
                <w:color w:val="000000"/>
                <w:sz w:val="28"/>
                <w:szCs w:val="28"/>
              </w:rPr>
              <w:t xml:space="preserve">  邮  箱：zqgphwz@126.com</w:t>
            </w:r>
          </w:p>
          <w:p>
            <w:pPr>
              <w:spacing w:line="380" w:lineRule="exact"/>
              <w:ind w:right="-586" w:rightChars="-279"/>
              <w:jc w:val="both"/>
              <w:rPr>
                <w:rStyle w:val="7"/>
                <w:rFonts w:ascii="宋体" w:hAnsi="宋体" w:cs="宋体"/>
                <w:color w:val="000000"/>
                <w:sz w:val="32"/>
                <w:szCs w:val="32"/>
                <w:lang w:val="zh-CN"/>
              </w:rPr>
            </w:pPr>
            <w:r>
              <w:rPr>
                <w:rFonts w:hint="eastAsia" w:ascii="宋体" w:hAnsi="宋体" w:cs="宋体"/>
                <w:b/>
                <w:sz w:val="28"/>
                <w:szCs w:val="28"/>
                <w:lang w:val="en-US" w:eastAsia="zh-CN"/>
              </w:rPr>
              <w:t>电</w:t>
            </w: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话（传真）：</w:t>
            </w:r>
            <w:r>
              <w:rPr>
                <w:rFonts w:hint="eastAsia" w:ascii="宋体" w:hAnsi="宋体" w:cs="宋体"/>
                <w:b/>
                <w:bCs/>
                <w:sz w:val="28"/>
                <w:szCs w:val="28"/>
              </w:rPr>
              <w:t>010-87697580</w:t>
            </w:r>
            <w:r>
              <w:rPr>
                <w:rFonts w:hint="eastAsia" w:ascii="宋体" w:hAnsi="宋体" w:cs="宋体"/>
                <w:b/>
                <w:sz w:val="28"/>
                <w:szCs w:val="28"/>
              </w:rPr>
              <w:t xml:space="preserve">         QQ咨询：</w:t>
            </w:r>
            <w:r>
              <w:rPr>
                <w:rFonts w:hint="eastAsia" w:ascii="宋体" w:hAnsi="宋体" w:cs="宋体"/>
                <w:b/>
                <w:sz w:val="32"/>
                <w:szCs w:val="32"/>
              </w:rPr>
              <w:t>3177524020</w:t>
            </w:r>
          </w:p>
          <w:p>
            <w:pPr>
              <w:spacing w:line="380" w:lineRule="exact"/>
              <w:rPr>
                <w:rFonts w:hint="eastAsia" w:ascii="宋体" w:hAnsi="宋体"/>
                <w:sz w:val="28"/>
                <w:szCs w:val="28"/>
              </w:rPr>
            </w:pPr>
          </w:p>
        </w:tc>
      </w:tr>
    </w:tbl>
    <w:p>
      <w:pPr>
        <w:spacing w:line="380" w:lineRule="exact"/>
        <w:rPr>
          <w:rFonts w:ascii="宋体" w:hAnsi="宋体"/>
          <w:sz w:val="28"/>
          <w:szCs w:val="28"/>
        </w:rPr>
      </w:pPr>
      <w:r>
        <w:rPr>
          <w:rFonts w:hint="eastAsia" w:ascii="宋体" w:hAnsi="宋体"/>
          <w:sz w:val="28"/>
          <w:szCs w:val="28"/>
        </w:rPr>
        <w:t>注：凡参加本次培训班的人员请按认真填写报名表，并以传真或邮件形式报名。</w:t>
      </w:r>
    </w:p>
    <w:p>
      <w:pPr>
        <w:spacing w:line="380" w:lineRule="exact"/>
        <w:ind w:firstLine="420" w:firstLineChars="150"/>
        <w:rPr>
          <w:rFonts w:ascii="宋体" w:hAnsi="宋体"/>
          <w:sz w:val="28"/>
          <w:szCs w:val="28"/>
        </w:rPr>
      </w:pPr>
      <w:r>
        <w:rPr>
          <w:rFonts w:hint="eastAsia" w:ascii="宋体" w:hAnsi="宋体"/>
          <w:sz w:val="28"/>
          <w:szCs w:val="28"/>
        </w:rPr>
        <w:t>1.为保证培训质量,培训班名额有限,额满为止,请确定人员后及早报名；</w:t>
      </w:r>
    </w:p>
    <w:p>
      <w:pPr>
        <w:spacing w:line="380" w:lineRule="exact"/>
        <w:ind w:firstLine="420" w:firstLineChars="150"/>
        <w:rPr>
          <w:rFonts w:ascii="宋体" w:hAnsi="宋体"/>
          <w:sz w:val="28"/>
          <w:szCs w:val="28"/>
          <w:lang w:val="zh-CN"/>
        </w:rPr>
      </w:pPr>
      <w:r>
        <w:rPr>
          <w:rFonts w:hint="eastAsia" w:ascii="宋体" w:hAnsi="宋体"/>
          <w:sz w:val="28"/>
          <w:szCs w:val="28"/>
          <w:lang w:val="zh-CN"/>
        </w:rPr>
        <w:t>2.欢迎参会代表携带相关资料、案例赴会与专家交流学习；</w:t>
      </w:r>
    </w:p>
    <w:p>
      <w:pPr>
        <w:spacing w:line="380" w:lineRule="exact"/>
        <w:ind w:firstLine="420" w:firstLineChars="150"/>
        <w:rPr>
          <w:rFonts w:ascii="宋体" w:hAnsi="宋体"/>
          <w:sz w:val="28"/>
          <w:szCs w:val="28"/>
          <w:lang w:val="zh-CN"/>
        </w:rPr>
      </w:pPr>
      <w:r>
        <w:rPr>
          <w:rFonts w:hint="eastAsia" w:ascii="宋体" w:hAnsi="宋体"/>
          <w:sz w:val="28"/>
          <w:szCs w:val="28"/>
          <w:lang w:val="zh-CN"/>
        </w:rPr>
        <w:t>3.本次培训内容及建筑领域相关管理培训均可赴企业提供内训（</w:t>
      </w:r>
      <w:r>
        <w:rPr>
          <w:rFonts w:hint="eastAsia" w:ascii="宋体" w:hAnsi="宋体"/>
          <w:sz w:val="28"/>
          <w:szCs w:val="28"/>
        </w:rPr>
        <w:t>40人以上</w:t>
      </w:r>
      <w:r>
        <w:rPr>
          <w:rFonts w:hint="eastAsia" w:ascii="宋体" w:hAnsi="宋体"/>
          <w:sz w:val="28"/>
          <w:szCs w:val="28"/>
          <w:lang w:val="zh-CN"/>
        </w:rPr>
        <w:t>）；</w:t>
      </w:r>
    </w:p>
    <w:p>
      <w:pPr>
        <w:spacing w:line="380" w:lineRule="exact"/>
        <w:rPr>
          <w:b/>
          <w:bCs/>
        </w:rPr>
      </w:pPr>
      <w:r>
        <w:rPr>
          <w:rFonts w:hint="eastAsia" w:ascii="宋体" w:hAnsi="宋体"/>
          <w:sz w:val="24"/>
          <w:szCs w:val="24"/>
        </w:rPr>
        <w:t xml:space="preserve"> </w:t>
      </w:r>
    </w:p>
    <w:sectPr>
      <w:footerReference r:id="rId3" w:type="default"/>
      <w:pgSz w:w="11906" w:h="16838"/>
      <w:pgMar w:top="709" w:right="849"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45A81"/>
    <w:multiLevelType w:val="multilevel"/>
    <w:tmpl w:val="7A845A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92"/>
    <w:rsid w:val="0018662C"/>
    <w:rsid w:val="001E59EB"/>
    <w:rsid w:val="00246192"/>
    <w:rsid w:val="00256089"/>
    <w:rsid w:val="006B2898"/>
    <w:rsid w:val="007259A9"/>
    <w:rsid w:val="007D12D7"/>
    <w:rsid w:val="007D2C6D"/>
    <w:rsid w:val="00855380"/>
    <w:rsid w:val="00B44805"/>
    <w:rsid w:val="00BD1F46"/>
    <w:rsid w:val="00C479F7"/>
    <w:rsid w:val="00C6502C"/>
    <w:rsid w:val="00C858FB"/>
    <w:rsid w:val="00D04032"/>
    <w:rsid w:val="00D34A7A"/>
    <w:rsid w:val="00D34E58"/>
    <w:rsid w:val="00DE4A68"/>
    <w:rsid w:val="00F76CD4"/>
    <w:rsid w:val="00F90A79"/>
    <w:rsid w:val="0DB16BA8"/>
    <w:rsid w:val="0F7231F8"/>
    <w:rsid w:val="10A8157C"/>
    <w:rsid w:val="1D220D7F"/>
    <w:rsid w:val="24BC2816"/>
    <w:rsid w:val="25AB1833"/>
    <w:rsid w:val="27E94450"/>
    <w:rsid w:val="330277A3"/>
    <w:rsid w:val="35BF4867"/>
    <w:rsid w:val="3EB17847"/>
    <w:rsid w:val="482307A7"/>
    <w:rsid w:val="4829026B"/>
    <w:rsid w:val="4A59235D"/>
    <w:rsid w:val="5B9E40D9"/>
    <w:rsid w:val="6B7D7B2C"/>
    <w:rsid w:val="7A6A47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link w:val="6"/>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
    <w:name w:val="Char Char Char Char Char Char Char"/>
    <w:basedOn w:val="1"/>
    <w:link w:val="5"/>
    <w:qFormat/>
    <w:uiPriority w:val="99"/>
    <w:pPr>
      <w:widowControl/>
      <w:spacing w:line="240" w:lineRule="exact"/>
      <w:jc w:val="left"/>
    </w:pPr>
  </w:style>
  <w:style w:type="character" w:styleId="7">
    <w:name w:val="Strong"/>
    <w:basedOn w:val="5"/>
    <w:qFormat/>
    <w:uiPriority w:val="99"/>
    <w:rPr>
      <w:rFonts w:cs="Times New Roman"/>
      <w:b/>
      <w:bCs/>
    </w:rPr>
  </w:style>
  <w:style w:type="character" w:styleId="8">
    <w:name w:val="Hyperlink"/>
    <w:basedOn w:val="5"/>
    <w:qFormat/>
    <w:uiPriority w:val="99"/>
    <w:rPr>
      <w:rFonts w:cs="Times New Roman"/>
      <w:color w:val="0000FF"/>
      <w:u w:val="single"/>
    </w:rPr>
  </w:style>
  <w:style w:type="character" w:customStyle="1" w:styleId="10">
    <w:name w:val="页脚 字符"/>
    <w:basedOn w:val="5"/>
    <w:link w:val="2"/>
    <w:qFormat/>
    <w:uiPriority w:val="99"/>
    <w:rPr>
      <w:sz w:val="18"/>
      <w:szCs w:val="18"/>
    </w:rPr>
  </w:style>
  <w:style w:type="character" w:customStyle="1" w:styleId="11">
    <w:name w:val="页眉 字符"/>
    <w:basedOn w:val="5"/>
    <w:link w:val="3"/>
    <w:qFormat/>
    <w:uiPriority w:val="99"/>
    <w:rPr>
      <w:sz w:val="18"/>
      <w:szCs w:val="18"/>
    </w:rPr>
  </w:style>
  <w:style w:type="character" w:customStyle="1" w:styleId="12">
    <w:name w:val="html-tag"/>
    <w:basedOn w:val="5"/>
    <w:qFormat/>
    <w:uiPriority w:val="99"/>
    <w:rPr>
      <w:rFonts w:cs="Times New Roman"/>
    </w:rPr>
  </w:style>
  <w:style w:type="character" w:customStyle="1" w:styleId="13">
    <w:name w:val="html-attribute-name"/>
    <w:basedOn w:val="5"/>
    <w:qFormat/>
    <w:uiPriority w:val="99"/>
    <w:rPr>
      <w:rFonts w:cs="Times New Roman"/>
    </w:rPr>
  </w:style>
  <w:style w:type="character" w:customStyle="1" w:styleId="14">
    <w:name w:val="html-attribute-value"/>
    <w:basedOn w:val="5"/>
    <w:qFormat/>
    <w:uiPriority w:val="99"/>
    <w:rPr>
      <w:rFonts w:cs="Times New Roman"/>
    </w:rPr>
  </w:style>
  <w:style w:type="paragraph" w:customStyle="1" w:styleId="15">
    <w:name w:val="列出段落1"/>
    <w:basedOn w:val="1"/>
    <w:qFormat/>
    <w:uiPriority w:val="99"/>
    <w:pPr>
      <w:ind w:firstLine="420" w:firstLineChars="200"/>
    </w:pPr>
  </w:style>
  <w:style w:type="paragraph" w:customStyle="1" w:styleId="16">
    <w:name w:val="List Paragraph1"/>
    <w:basedOn w:val="1"/>
    <w:qFormat/>
    <w:uiPriority w:val="99"/>
    <w:pPr>
      <w:ind w:firstLine="420" w:firstLineChars="200"/>
    </w:pPr>
  </w:style>
  <w:style w:type="paragraph" w:styleId="17">
    <w:name w:val="List Paragraph"/>
    <w:basedOn w:val="1"/>
    <w:qFormat/>
    <w:uiPriority w:val="99"/>
    <w:pPr>
      <w:ind w:firstLine="420" w:firstLineChars="200"/>
    </w:pPr>
  </w:style>
  <w:style w:type="character" w:customStyle="1" w:styleId="18">
    <w:name w:val="Unresolved Mention"/>
    <w:basedOn w:val="5"/>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551</Words>
  <Characters>3141</Characters>
  <Lines>26</Lines>
  <Paragraphs>7</Paragraphs>
  <TotalTime>1</TotalTime>
  <ScaleCrop>false</ScaleCrop>
  <LinksUpToDate>false</LinksUpToDate>
  <CharactersWithSpaces>3685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2018-04-27T08:53:00Z</dcterms:created>
  <dc:creator>Windows 用户</dc:creator>
  <cp:lastModifiedBy>Administrator</cp:lastModifiedBy>
  <cp:lastPrinted>2017-11-24T02:19:00Z</cp:lastPrinted>
  <dcterms:modified xsi:type="dcterms:W3CDTF">2018-08-13T06:08:26Z</dcterms:modified>
  <dc:title>全国城建培训中心文件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