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20" w:lineRule="exact"/>
        <w:jc w:val="distribute"/>
        <w:rPr>
          <w:rFonts w:hint="default" w:ascii="方正大标宋简体" w:hAnsi="方正大标宋简体" w:eastAsia="方正大标宋简体" w:cs="方正大标宋简体"/>
          <w:color w:val="FF0000"/>
          <w:spacing w:val="13"/>
          <w:sz w:val="60"/>
          <w:szCs w:val="60"/>
        </w:rPr>
      </w:pPr>
      <w:r>
        <w:rPr>
          <w:rFonts w:ascii="方正大标宋简体" w:hAnsi="方正大标宋简体" w:eastAsia="方正大标宋简体" w:cs="方正大标宋简体"/>
          <w:color w:val="FF0000"/>
          <w:spacing w:val="-30"/>
          <w:sz w:val="60"/>
          <w:szCs w:val="6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295275</wp:posOffset>
                </wp:positionV>
                <wp:extent cx="45085" cy="247650"/>
                <wp:effectExtent l="0" t="0" r="254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5085" cy="247650"/>
                        </a:xfrm>
                        <a:prstGeom prst="rect">
                          <a:avLst/>
                        </a:prstGeom>
                        <a:solidFill>
                          <a:srgbClr val="FFFFFF"/>
                        </a:solidFill>
                        <a:ln>
                          <a:noFill/>
                        </a:ln>
                      </wps:spPr>
                      <wps:txbx>
                        <w:txbxContent>
                          <w:p>
                            <w:pPr>
                              <w:spacing w:line="360" w:lineRule="exact"/>
                              <w:jc w:val="distribute"/>
                              <w:rPr>
                                <w:rFonts w:hint="default" w:ascii="方正大标宋简体" w:hAnsi="方正大标宋简体" w:eastAsia="方正大标宋简体" w:cs="方正大标宋简体"/>
                                <w:color w:val="FF0000"/>
                                <w:spacing w:val="-28"/>
                                <w:sz w:val="36"/>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25pt;height:19.5pt;width:3.55pt;z-index:251661312;mso-width-relative:page;mso-height-relative:page;" fillcolor="#FFFFFF" filled="t" stroked="f" coordsize="21600,21600" o:gfxdata="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WhaIh2AAAAAkBAAAPAAAAAAAAAAEA&#10;IAAAACIAAABkcnMvZG93bnJldi54bWxQSwECFAAUAAAACACHTuJAzeVNgA8CAADuAwAADgAAAAAA&#10;AAABACAAAAAnAQAAZHJzL2Uyb0RvYy54bWxQSwUGAAAAAAYABgBZAQAAqAUAAAAA&#10;">
                <v:fill on="t" focussize="0,0"/>
                <v:stroke on="f"/>
                <v:imagedata o:title=""/>
                <o:lock v:ext="edit" aspectratio="f"/>
                <v:textbox>
                  <w:txbxContent>
                    <w:p>
                      <w:pPr>
                        <w:spacing w:line="360" w:lineRule="exact"/>
                        <w:jc w:val="distribute"/>
                        <w:rPr>
                          <w:rFonts w:hint="default" w:ascii="方正大标宋简体" w:hAnsi="方正大标宋简体" w:eastAsia="方正大标宋简体" w:cs="方正大标宋简体"/>
                          <w:color w:val="FF0000"/>
                          <w:spacing w:val="-28"/>
                          <w:sz w:val="36"/>
                          <w:szCs w:val="28"/>
                        </w:rPr>
                      </w:pPr>
                    </w:p>
                  </w:txbxContent>
                </v:textbox>
              </v:shape>
            </w:pict>
          </mc:Fallback>
        </mc:AlternateContent>
      </w:r>
      <w:r>
        <w:rPr>
          <w:rFonts w:ascii="方正大标宋简体" w:hAnsi="方正大标宋简体" w:eastAsia="方正大标宋简体" w:cs="方正大标宋简体"/>
          <w:color w:val="FF0000"/>
          <w:spacing w:val="13"/>
          <w:sz w:val="60"/>
          <w:szCs w:val="60"/>
        </w:rPr>
        <w:t>中国经济体制改革研究会</w:t>
      </w:r>
    </w:p>
    <w:p>
      <w:pPr>
        <w:spacing w:line="820" w:lineRule="exact"/>
        <w:jc w:val="distribute"/>
        <w:rPr>
          <w:rFonts w:hint="default" w:ascii="方正大标宋简体" w:hAnsi="方正大标宋简体" w:eastAsia="方正大标宋简体" w:cs="方正大标宋简体"/>
          <w:color w:val="FF0000"/>
          <w:sz w:val="60"/>
          <w:szCs w:val="60"/>
        </w:rPr>
      </w:pPr>
      <w:r>
        <w:rPr>
          <w:rFonts w:ascii="方正大标宋简体" w:hAnsi="方正大标宋简体" w:eastAsia="方正大标宋简体" w:cs="方正大标宋简体"/>
          <w:color w:val="FF0000"/>
          <w:spacing w:val="-19"/>
          <w:sz w:val="60"/>
          <w:szCs w:val="60"/>
        </w:rPr>
        <w:t>产业改革与企业发展委员会</w:t>
      </w:r>
    </w:p>
    <w:p>
      <w:pPr>
        <w:spacing w:line="280" w:lineRule="exact"/>
        <w:rPr>
          <w:rFonts w:hint="default"/>
          <w:b/>
          <w:bCs/>
        </w:rPr>
      </w:pPr>
      <w:r>
        <w:rPr>
          <w:b/>
          <w:bCs/>
        </w:rPr>
        <mc:AlternateContent>
          <mc:Choice Requires="wps">
            <w:drawing>
              <wp:anchor distT="0" distB="0" distL="114300" distR="114300" simplePos="0" relativeHeight="251660288" behindDoc="0" locked="0" layoutInCell="1" allowOverlap="1">
                <wp:simplePos x="0" y="0"/>
                <wp:positionH relativeFrom="column">
                  <wp:posOffset>-106680</wp:posOffset>
                </wp:positionH>
                <wp:positionV relativeFrom="paragraph">
                  <wp:posOffset>116840</wp:posOffset>
                </wp:positionV>
                <wp:extent cx="6309360" cy="0"/>
                <wp:effectExtent l="0" t="19050" r="1524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38100" cmpd="sng">
                          <a:solidFill>
                            <a:srgbClr val="FF0000"/>
                          </a:solidFill>
                          <a:round/>
                        </a:ln>
                      </wps:spPr>
                      <wps:bodyPr/>
                    </wps:wsp>
                  </a:graphicData>
                </a:graphic>
              </wp:anchor>
            </w:drawing>
          </mc:Choice>
          <mc:Fallback>
            <w:pict>
              <v:line id="_x0000_s1026" o:spid="_x0000_s1026" o:spt="20" style="position:absolute;left:0pt;margin-left:-8.4pt;margin-top:9.2pt;height:0pt;width:496.8pt;z-index:251660288;mso-width-relative:page;mso-height-relative:page;" filled="f" stroked="t" coordsize="21600,21600" o:gfxdata="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oFEQ7ZAAAACQEAAA8AAAAAAAAAAQAgAAAA&#10;IgAAAGRycy9kb3ducmV2LnhtbFBLAQIUABQAAAAIAIdO4kDolnhU0QEAAGgDAAAOAAAAAAAAAAEA&#10;IAAAACgBAABkcnMvZTJvRG9jLnhtbFBLBQYAAAAABgAGAFkBAABrBQAAAAA=&#10;">
                <v:fill on="f" focussize="0,0"/>
                <v:stroke weight="3pt" color="#FF0000" joinstyle="round"/>
                <v:imagedata o:title=""/>
                <o:lock v:ext="edit" aspectratio="f"/>
              </v:line>
            </w:pict>
          </mc:Fallback>
        </mc:AlternateContent>
      </w:r>
    </w:p>
    <w:p>
      <w:pPr>
        <w:spacing w:line="280" w:lineRule="exact"/>
        <w:ind w:firstLine="6960" w:firstLineChars="2900"/>
        <w:rPr>
          <w:rFonts w:hint="default" w:cs="宋体"/>
          <w:kern w:val="2"/>
          <w:szCs w:val="24"/>
        </w:rPr>
      </w:pPr>
      <w:r>
        <w:rPr>
          <w:rFonts w:cs="宋体"/>
          <w:kern w:val="2"/>
          <w:szCs w:val="24"/>
        </w:rPr>
        <w:t>中产委函字[201</w:t>
      </w:r>
      <w:r>
        <w:rPr>
          <w:rFonts w:hint="eastAsia" w:cs="宋体"/>
          <w:kern w:val="2"/>
          <w:szCs w:val="24"/>
          <w:lang w:val="en-US" w:eastAsia="zh-CN"/>
        </w:rPr>
        <w:t>9</w:t>
      </w:r>
      <w:r>
        <w:rPr>
          <w:rFonts w:cs="宋体"/>
          <w:kern w:val="2"/>
          <w:szCs w:val="24"/>
        </w:rPr>
        <w:t>]第</w:t>
      </w:r>
      <w:r>
        <w:rPr>
          <w:rFonts w:hint="eastAsia" w:cs="宋体"/>
          <w:kern w:val="2"/>
          <w:szCs w:val="24"/>
          <w:lang w:val="en-US" w:eastAsia="zh-CN"/>
        </w:rPr>
        <w:t>05</w:t>
      </w:r>
      <w:r>
        <w:rPr>
          <w:rFonts w:cs="宋体"/>
          <w:kern w:val="2"/>
          <w:szCs w:val="24"/>
        </w:rPr>
        <w:t>号</w:t>
      </w:r>
    </w:p>
    <w:p>
      <w:pPr>
        <w:spacing w:line="400" w:lineRule="exact"/>
        <w:jc w:val="center"/>
        <w:rPr>
          <w:rFonts w:hint="default" w:ascii="黑体" w:hAnsi="黑体" w:eastAsia="黑体" w:cs="黑体"/>
          <w:color w:val="000000"/>
          <w:sz w:val="34"/>
          <w:szCs w:val="34"/>
        </w:rPr>
      </w:pPr>
      <w:r>
        <w:rPr>
          <w:rFonts w:ascii="黑体" w:hAnsi="黑体" w:eastAsia="黑体" w:cs="黑体"/>
          <w:color w:val="000000"/>
          <w:sz w:val="34"/>
          <w:szCs w:val="34"/>
        </w:rPr>
        <w:t>关于举办国有企业混合所有制改革、债转股与《关于改革国有企业工资决定机制的意见》解析及国企薪酬绩效改革要点专题培训班的通知</w:t>
      </w:r>
    </w:p>
    <w:p>
      <w:pPr>
        <w:spacing w:line="400" w:lineRule="exact"/>
        <w:jc w:val="center"/>
        <w:rPr>
          <w:rFonts w:hint="default" w:ascii="方正小标宋简体" w:eastAsia="方正小标宋简体"/>
          <w:color w:val="000000"/>
          <w:sz w:val="32"/>
          <w:szCs w:val="32"/>
        </w:rPr>
      </w:pPr>
    </w:p>
    <w:p>
      <w:pPr>
        <w:autoSpaceDE/>
        <w:autoSpaceDN/>
        <w:adjustRightInd/>
        <w:spacing w:line="32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各有关单位:</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宋体"/>
          <w:color w:val="000000"/>
          <w:sz w:val="28"/>
          <w:szCs w:val="28"/>
        </w:rPr>
        <w:t>随着国企改革顶层设计“1+N”文件体系基本形成，国务院、国务院国资委多次明确要求“全面推进国企改革‘1+N’文件落地见效”，十九大报告也再次重申“发展混合所有制经济”。国资国企改革作为各级人民政府及主管部门的工作重点，将会点面结合、逐步铺开向纵深推进。自从混合所有制改革被列为国企改革的重要突破口以来，央企和地方国企混改呈现“多点开花”的态势。中央企业、众多地方省市部署推动混改和员工持股试点，不少试点企业已经完成方案审批和实施，并取得初步成效。不久前，国务院国资委印发《国企改革“双百行动”工作方案》，近400家企业入围，要在3年内打造一批“改革尖兵”；“双百行动”将使得国企改革由点向面梯次铺开，预计后续试点将进一步扩围并向纵深发展，更多中央和地方国企加入试点行列。</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中央全面深化改革委员会第一次会议通过关于《改革国有企业工资决定机制的意见》国发〔</w:t>
      </w:r>
      <w:r>
        <w:rPr>
          <w:rFonts w:hint="default" w:ascii="仿宋" w:hAnsi="仿宋" w:eastAsia="仿宋" w:cs="仿宋"/>
          <w:bCs/>
          <w:kern w:val="2"/>
          <w:sz w:val="28"/>
          <w:szCs w:val="28"/>
        </w:rPr>
        <w:t>2018〕16号文，（以下简称《意见》），《意见》是国有企业工资决定机制改革完善、国有企业现代企业制度的重要内容，</w:t>
      </w:r>
      <w:r>
        <w:rPr>
          <w:rFonts w:ascii="仿宋" w:hAnsi="仿宋" w:eastAsia="仿宋" w:cs="仿宋"/>
          <w:bCs/>
          <w:kern w:val="2"/>
          <w:sz w:val="28"/>
          <w:szCs w:val="28"/>
        </w:rPr>
        <w:t>也是建立健全与劳动力市场基本适应、突出工资分配的市场化，兼顾效率与公平、体现社会公平正义，坚持分类分级管理。以改革工资总额管理方式，完善企业内部工资分配管理，健全工资分配监管机制。加快建成全方位、全过程、全覆盖的预算绩效管理体系，实现预算和绩效一体化管理。国企工资改革</w:t>
      </w:r>
      <w:r>
        <w:rPr>
          <w:rFonts w:hint="default" w:ascii="仿宋" w:hAnsi="仿宋" w:eastAsia="仿宋" w:cs="仿宋"/>
          <w:bCs/>
          <w:kern w:val="2"/>
          <w:sz w:val="28"/>
          <w:szCs w:val="28"/>
        </w:rPr>
        <w:t>2019年将全面实施</w:t>
      </w:r>
      <w:r>
        <w:rPr>
          <w:rFonts w:ascii="仿宋" w:hAnsi="仿宋" w:eastAsia="仿宋" w:cs="仿宋"/>
          <w:bCs/>
          <w:kern w:val="2"/>
          <w:sz w:val="28"/>
          <w:szCs w:val="28"/>
        </w:rPr>
        <w:t>，</w:t>
      </w:r>
      <w:r>
        <w:rPr>
          <w:rFonts w:hint="default" w:ascii="仿宋" w:hAnsi="仿宋" w:eastAsia="仿宋" w:cs="仿宋"/>
          <w:bCs/>
          <w:kern w:val="2"/>
          <w:sz w:val="28"/>
          <w:szCs w:val="28"/>
        </w:rPr>
        <w:t>央企工资总额管理办法等配套政策</w:t>
      </w:r>
      <w:r>
        <w:rPr>
          <w:rFonts w:ascii="仿宋" w:hAnsi="仿宋" w:eastAsia="仿宋" w:cs="仿宋"/>
          <w:bCs/>
          <w:kern w:val="2"/>
          <w:sz w:val="28"/>
          <w:szCs w:val="28"/>
        </w:rPr>
        <w:t>也</w:t>
      </w:r>
      <w:r>
        <w:rPr>
          <w:rFonts w:hint="default" w:ascii="仿宋" w:hAnsi="仿宋" w:eastAsia="仿宋" w:cs="仿宋"/>
          <w:bCs/>
          <w:kern w:val="2"/>
          <w:sz w:val="28"/>
          <w:szCs w:val="28"/>
        </w:rPr>
        <w:t>有望年内落地</w:t>
      </w:r>
      <w:r>
        <w:rPr>
          <w:rFonts w:ascii="仿宋" w:hAnsi="仿宋" w:eastAsia="仿宋" w:cs="仿宋"/>
          <w:bCs/>
          <w:kern w:val="2"/>
          <w:sz w:val="28"/>
          <w:szCs w:val="28"/>
        </w:rPr>
        <w:t>。</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Arial"/>
          <w:sz w:val="28"/>
          <w:szCs w:val="28"/>
        </w:rPr>
        <w:t>2018年1月26日，发改委、央行、财政部、银监会、国资委、证监会、保监会等七部委联合发布《关于市场化银行债权转股权实施中有关具体政策问题的通知》，重点解决债转股实施过程中的一些难点问题，要求</w:t>
      </w:r>
      <w:r>
        <w:rPr>
          <w:rFonts w:ascii="仿宋" w:hAnsi="仿宋" w:eastAsia="仿宋" w:cstheme="minorBidi"/>
          <w:color w:val="000000" w:themeColor="text1"/>
          <w:kern w:val="24"/>
          <w:sz w:val="28"/>
          <w:szCs w:val="28"/>
          <w14:textFill>
            <w14:solidFill>
              <w14:schemeClr w14:val="tx1"/>
            </w14:solidFill>
          </w14:textFill>
        </w:rPr>
        <w:t>开展市场化</w:t>
      </w:r>
      <w:r>
        <w:rPr>
          <w:rFonts w:ascii="仿宋" w:hAnsi="仿宋" w:eastAsia="仿宋" w:cstheme="minorBidi"/>
          <w:bCs/>
          <w:color w:val="000000" w:themeColor="text1"/>
          <w:kern w:val="24"/>
          <w:sz w:val="28"/>
          <w:szCs w:val="28"/>
          <w14:textFill>
            <w14:solidFill>
              <w14:schemeClr w14:val="tx1"/>
            </w14:solidFill>
          </w14:textFill>
        </w:rPr>
        <w:t>债转股要与深化企业改革、降低实体经济企业成本、化解过剩产能和企业兼并重组等工作有机结合、协同推进</w:t>
      </w:r>
      <w:r>
        <w:rPr>
          <w:rFonts w:ascii="仿宋" w:hAnsi="仿宋" w:eastAsia="仿宋" w:cstheme="minorBidi"/>
          <w:color w:val="000000" w:themeColor="text1"/>
          <w:kern w:val="24"/>
          <w:sz w:val="28"/>
          <w:szCs w:val="28"/>
          <w14:textFill>
            <w14:solidFill>
              <w14:schemeClr w14:val="tx1"/>
            </w14:solidFill>
          </w14:textFill>
        </w:rPr>
        <w:t>。</w:t>
      </w:r>
      <w:r>
        <w:rPr>
          <w:rFonts w:ascii="仿宋" w:hAnsi="仿宋" w:eastAsia="仿宋" w:cstheme="minorBidi"/>
          <w:bCs/>
          <w:color w:val="000000" w:themeColor="text1"/>
          <w:kern w:val="24"/>
          <w:sz w:val="28"/>
          <w:szCs w:val="28"/>
          <w14:textFill>
            <w14:solidFill>
              <w14:schemeClr w14:val="tx1"/>
            </w14:solidFill>
          </w14:textFill>
        </w:rPr>
        <w:t>2018年11月13日五部委下发《关于鼓励相关机构参与市场化债转股的通知》发改办财金〔2018〕1442号文，要求在前两年实施债转股的经验基础上扩量提质。</w:t>
      </w:r>
      <w:r>
        <w:rPr>
          <w:rFonts w:ascii="仿宋" w:hAnsi="仿宋" w:eastAsia="仿宋" w:cs="仿宋"/>
          <w:bCs/>
          <w:kern w:val="2"/>
          <w:sz w:val="28"/>
          <w:szCs w:val="28"/>
        </w:rPr>
        <w:t xml:space="preserve"> </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olor w:val="000000"/>
          <w:sz w:val="28"/>
          <w:szCs w:val="28"/>
        </w:rPr>
        <w:t>国企实施混改、员工持股及薪酬绩效管理是一项政策性和专业性强、涉及面广、利益关系复杂、操作难度大的系统工程。</w:t>
      </w:r>
      <w:r>
        <w:rPr>
          <w:rFonts w:ascii="仿宋" w:hAnsi="仿宋" w:eastAsia="仿宋" w:cs="仿宋"/>
          <w:bCs/>
          <w:kern w:val="2"/>
          <w:sz w:val="28"/>
          <w:szCs w:val="28"/>
        </w:rPr>
        <w:t>为了帮助各单位</w:t>
      </w:r>
      <w:r>
        <w:rPr>
          <w:rFonts w:ascii="仿宋" w:hAnsi="仿宋" w:eastAsia="仿宋"/>
          <w:color w:val="000000"/>
          <w:sz w:val="28"/>
          <w:szCs w:val="28"/>
        </w:rPr>
        <w:t>掌握混改涉及的路径选择、人员资产处置等问题的处理方法，熟悉员工持股的政策与操作上疑难问题的解决方案。</w:t>
      </w:r>
      <w:r>
        <w:rPr>
          <w:rFonts w:ascii="仿宋" w:hAnsi="仿宋" w:eastAsia="仿宋" w:cs="仿宋"/>
          <w:bCs/>
          <w:kern w:val="2"/>
          <w:sz w:val="28"/>
          <w:szCs w:val="28"/>
        </w:rPr>
        <w:t>深入掌握《意见》关键要点,调动国有企业职工的积极性、主动性、创造性,不断推进人事、劳动和薪酬三项改革深化与创新，推进国企改革全面实施。</w:t>
      </w:r>
      <w:r>
        <w:rPr>
          <w:rFonts w:ascii="仿宋" w:hAnsi="仿宋" w:eastAsia="仿宋"/>
          <w:sz w:val="28"/>
          <w:szCs w:val="28"/>
        </w:rPr>
        <w:t>熟悉债转股政策及操作层面的运作及风险防范，创新债转股投融资模式，提高国企可持续发展能力。</w:t>
      </w:r>
      <w:r>
        <w:rPr>
          <w:rFonts w:ascii="仿宋" w:hAnsi="仿宋" w:eastAsia="仿宋" w:cs="仿宋"/>
          <w:bCs/>
          <w:kern w:val="2"/>
          <w:sz w:val="28"/>
          <w:szCs w:val="28"/>
        </w:rPr>
        <w:t>中国经济体制改革研究会产业改革与企业发展委员会（简称中产委）在昆明、长沙、厦门、贵阳国有企业混合所有制改革、债转股与《关于改革国有企业工资决定机制的意见》解析及国企薪酬绩效改革要点专题培训班， 现将有关培训事项通知如下；</w:t>
      </w:r>
    </w:p>
    <w:p>
      <w:pPr>
        <w:autoSpaceDE/>
        <w:autoSpaceDN/>
        <w:adjustRightInd/>
        <w:spacing w:line="320" w:lineRule="exact"/>
        <w:jc w:val="both"/>
        <w:rPr>
          <w:rFonts w:hint="default" w:ascii="仿宋" w:hAnsi="仿宋" w:eastAsia="仿宋" w:cs="仿宋"/>
          <w:bCs/>
          <w:kern w:val="2"/>
          <w:sz w:val="28"/>
          <w:szCs w:val="28"/>
        </w:rPr>
      </w:pPr>
      <w:r>
        <w:rPr>
          <w:rFonts w:ascii="华文中宋" w:hAnsi="华文中宋" w:eastAsia="华文中宋" w:cs="仿宋"/>
          <w:b/>
          <w:bCs/>
          <w:kern w:val="2"/>
          <w:sz w:val="32"/>
          <w:szCs w:val="32"/>
        </w:rPr>
        <w:t xml:space="preserve">一、培训内容 </w:t>
      </w:r>
    </w:p>
    <w:p>
      <w:pPr>
        <w:autoSpaceDE/>
        <w:autoSpaceDN/>
        <w:adjustRightInd/>
        <w:spacing w:line="32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（一）</w:t>
      </w:r>
      <w:r>
        <w:rPr>
          <w:rFonts w:hint="default" w:ascii="仿宋" w:hAnsi="仿宋" w:eastAsia="仿宋" w:cs="仿宋"/>
          <w:b/>
          <w:bCs/>
          <w:kern w:val="2"/>
          <w:sz w:val="28"/>
          <w:szCs w:val="28"/>
        </w:rPr>
        <w:t>国有企业混合所有制及薪酬绩效管理体系改革政策解读</w:t>
      </w:r>
    </w:p>
    <w:p>
      <w:pPr>
        <w:widowControl/>
        <w:autoSpaceDE/>
        <w:autoSpaceDN/>
        <w:adjustRightInd/>
        <w:spacing w:line="32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1．国资国企改革“1+N”系列政策文件的重点内容解读；</w:t>
      </w:r>
      <w:r>
        <w:rPr>
          <w:rFonts w:cs="宋体"/>
          <w:color w:val="000000"/>
          <w:sz w:val="28"/>
          <w:szCs w:val="28"/>
        </w:rPr>
        <w:t> </w:t>
      </w:r>
      <w:r>
        <w:rPr>
          <w:rFonts w:ascii="仿宋" w:hAnsi="仿宋" w:eastAsia="仿宋" w:cs="宋体"/>
          <w:color w:val="000000"/>
          <w:sz w:val="28"/>
          <w:szCs w:val="28"/>
        </w:rPr>
        <w:t xml:space="preserve"> </w:t>
      </w:r>
    </w:p>
    <w:p>
      <w:pPr>
        <w:widowControl/>
        <w:autoSpaceDE/>
        <w:autoSpaceDN/>
        <w:adjustRightInd/>
        <w:spacing w:line="320" w:lineRule="exact"/>
        <w:ind w:firstLine="140" w:firstLineChars="50"/>
        <w:rPr>
          <w:rFonts w:hint="default" w:ascii="仿宋" w:hAnsi="仿宋" w:eastAsia="仿宋" w:cs="宋体"/>
          <w:color w:val="000000"/>
          <w:sz w:val="28"/>
          <w:szCs w:val="28"/>
        </w:rPr>
      </w:pPr>
      <w:r>
        <w:rPr>
          <w:rFonts w:ascii="仿宋" w:hAnsi="仿宋" w:eastAsia="仿宋" w:cs="宋体"/>
          <w:color w:val="000000"/>
          <w:sz w:val="28"/>
          <w:szCs w:val="28"/>
        </w:rPr>
        <w:t xml:space="preserve">   2．习近平总书记有关国资国企改革的历次重要讲话和指示批示解读；</w:t>
      </w:r>
      <w:r>
        <w:rPr>
          <w:rFonts w:cs="宋体"/>
          <w:color w:val="000000"/>
          <w:sz w:val="28"/>
          <w:szCs w:val="28"/>
        </w:rPr>
        <w:t> </w:t>
      </w:r>
      <w:r>
        <w:rPr>
          <w:rFonts w:ascii="仿宋" w:hAnsi="仿宋" w:eastAsia="仿宋" w:cs="宋体"/>
          <w:color w:val="000000"/>
          <w:sz w:val="28"/>
          <w:szCs w:val="28"/>
        </w:rPr>
        <w:t xml:space="preserve"> </w:t>
      </w:r>
    </w:p>
    <w:p>
      <w:pPr>
        <w:widowControl/>
        <w:autoSpaceDE/>
        <w:autoSpaceDN/>
        <w:adjustRightInd/>
        <w:spacing w:line="320" w:lineRule="exact"/>
        <w:rPr>
          <w:rFonts w:hint="default" w:ascii="仿宋" w:hAnsi="仿宋" w:eastAsia="仿宋" w:cs="宋体"/>
          <w:color w:val="000000"/>
          <w:sz w:val="28"/>
          <w:szCs w:val="28"/>
        </w:rPr>
      </w:pPr>
      <w:r>
        <w:rPr>
          <w:rFonts w:cs="宋体"/>
          <w:color w:val="000000"/>
          <w:sz w:val="28"/>
          <w:szCs w:val="28"/>
        </w:rPr>
        <w:t xml:space="preserve">   </w:t>
      </w:r>
      <w:r>
        <w:rPr>
          <w:rFonts w:ascii="仿宋" w:hAnsi="仿宋" w:eastAsia="仿宋" w:cs="宋体"/>
          <w:bCs/>
          <w:color w:val="000000" w:themeColor="text1"/>
          <w:sz w:val="28"/>
          <w:szCs w:val="28"/>
          <w14:textFill>
            <w14:solidFill>
              <w14:schemeClr w14:val="tx1"/>
            </w14:solidFill>
          </w14:textFill>
        </w:rPr>
        <w:t>3．《国企改革“双百行动”工作方案》及相关政策精神全面解析；</w:t>
      </w:r>
      <w:r>
        <w:rPr>
          <w:rFonts w:ascii="仿宋" w:hAnsi="仿宋" w:eastAsia="仿宋" w:cs="宋体"/>
          <w:color w:val="000000"/>
          <w:sz w:val="28"/>
          <w:szCs w:val="28"/>
        </w:rPr>
        <w:t xml:space="preserve"> </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w:t>
      </w:r>
      <w:r>
        <w:rPr>
          <w:rFonts w:hint="default" w:ascii="仿宋" w:hAnsi="仿宋" w:eastAsia="仿宋" w:cs="仿宋"/>
          <w:bCs/>
          <w:kern w:val="2"/>
          <w:sz w:val="28"/>
          <w:szCs w:val="28"/>
        </w:rPr>
        <w:t>.混合所有制改革的主要思路、操纵模式</w:t>
      </w:r>
      <w:r>
        <w:rPr>
          <w:rFonts w:ascii="仿宋" w:hAnsi="仿宋" w:eastAsia="仿宋" w:cs="仿宋"/>
          <w:bCs/>
          <w:kern w:val="2"/>
          <w:sz w:val="28"/>
          <w:szCs w:val="28"/>
        </w:rPr>
        <w:t>及公司治理的难点</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w:t>
      </w:r>
      <w:r>
        <w:rPr>
          <w:rFonts w:hint="default" w:ascii="仿宋" w:hAnsi="仿宋" w:eastAsia="仿宋" w:cs="仿宋"/>
          <w:bCs/>
          <w:kern w:val="2"/>
          <w:sz w:val="28"/>
          <w:szCs w:val="28"/>
        </w:rPr>
        <w:t>.国有企业薪酬体系改革的政策解读</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宋体"/>
          <w:color w:val="000000"/>
          <w:sz w:val="28"/>
          <w:szCs w:val="28"/>
        </w:rPr>
        <w:t xml:space="preserve">6．国务院国资委、国家发改委分别牵头的改革试点以及先进省市国企混改和员工持股试点的实际进展情况 </w:t>
      </w:r>
    </w:p>
    <w:p>
      <w:pPr>
        <w:widowControl/>
        <w:autoSpaceDE/>
        <w:autoSpaceDN/>
        <w:adjustRightInd/>
        <w:spacing w:line="320" w:lineRule="exact"/>
        <w:rPr>
          <w:rFonts w:hint="default" w:ascii="仿宋" w:hAnsi="仿宋" w:eastAsia="仿宋" w:cs="宋体"/>
          <w:color w:val="000000"/>
          <w:sz w:val="28"/>
          <w:szCs w:val="28"/>
        </w:rPr>
      </w:pPr>
      <w:r>
        <w:rPr>
          <w:rFonts w:ascii="仿宋" w:hAnsi="仿宋" w:eastAsia="仿宋" w:cs="宋体"/>
          <w:b/>
          <w:bCs/>
          <w:color w:val="000000"/>
          <w:sz w:val="28"/>
          <w:szCs w:val="28"/>
        </w:rPr>
        <w:t xml:space="preserve">（二）国企混合所有制改革的难点解析、操作模式及实战技术 </w:t>
      </w:r>
    </w:p>
    <w:p>
      <w:pPr>
        <w:widowControl/>
        <w:autoSpaceDE/>
        <w:autoSpaceDN/>
        <w:adjustRightInd/>
        <w:spacing w:line="32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 xml:space="preserve">1．国企混改的经验教训总结 </w:t>
      </w:r>
    </w:p>
    <w:p>
      <w:pPr>
        <w:widowControl/>
        <w:autoSpaceDE/>
        <w:autoSpaceDN/>
        <w:adjustRightInd/>
        <w:spacing w:line="320" w:lineRule="exact"/>
        <w:rPr>
          <w:rFonts w:hint="default" w:ascii="仿宋" w:hAnsi="仿宋" w:eastAsia="仿宋" w:cs="宋体"/>
          <w:color w:val="000000"/>
          <w:sz w:val="28"/>
          <w:szCs w:val="28"/>
        </w:rPr>
      </w:pPr>
      <w:r>
        <w:rPr>
          <w:rFonts w:cs="宋体"/>
          <w:color w:val="000000"/>
          <w:sz w:val="28"/>
          <w:szCs w:val="28"/>
        </w:rPr>
        <w:t>  </w:t>
      </w:r>
      <w:r>
        <w:rPr>
          <w:rFonts w:ascii="仿宋" w:hAnsi="仿宋" w:eastAsia="仿宋" w:cs="宋体"/>
          <w:color w:val="000000"/>
          <w:sz w:val="28"/>
          <w:szCs w:val="28"/>
        </w:rPr>
        <w:t xml:space="preserve">2．推行混合所有制改革的焦点和难点问题解析 </w:t>
      </w:r>
    </w:p>
    <w:p>
      <w:pPr>
        <w:widowControl/>
        <w:autoSpaceDE/>
        <w:autoSpaceDN/>
        <w:adjustRightInd/>
        <w:spacing w:line="320" w:lineRule="exact"/>
        <w:rPr>
          <w:rFonts w:hint="default" w:ascii="仿宋" w:hAnsi="仿宋" w:eastAsia="仿宋" w:cs="宋体"/>
          <w:color w:val="000000"/>
          <w:sz w:val="28"/>
          <w:szCs w:val="28"/>
        </w:rPr>
      </w:pPr>
      <w:r>
        <w:rPr>
          <w:rFonts w:cs="宋体"/>
          <w:color w:val="000000"/>
          <w:sz w:val="28"/>
          <w:szCs w:val="28"/>
        </w:rPr>
        <w:t xml:space="preserve">  </w:t>
      </w:r>
      <w:r>
        <w:rPr>
          <w:rFonts w:ascii="仿宋" w:hAnsi="仿宋" w:eastAsia="仿宋" w:cs="宋体"/>
          <w:color w:val="000000"/>
          <w:sz w:val="28"/>
          <w:szCs w:val="28"/>
        </w:rPr>
        <w:t xml:space="preserve"> 3．不同类型国有企业推行混改的操作模式以及可借鉴的典型案例</w:t>
      </w:r>
    </w:p>
    <w:p>
      <w:pPr>
        <w:widowControl/>
        <w:autoSpaceDE/>
        <w:autoSpaceDN/>
        <w:adjustRightInd/>
        <w:spacing w:line="320" w:lineRule="exact"/>
        <w:rPr>
          <w:rFonts w:hint="default" w:ascii="仿宋" w:hAnsi="仿宋" w:eastAsia="仿宋" w:cs="宋体"/>
          <w:color w:val="000000"/>
          <w:sz w:val="28"/>
          <w:szCs w:val="28"/>
        </w:rPr>
      </w:pPr>
      <w:r>
        <w:rPr>
          <w:rFonts w:cs="宋体"/>
          <w:color w:val="000000"/>
          <w:sz w:val="28"/>
          <w:szCs w:val="28"/>
        </w:rPr>
        <w:t>  </w:t>
      </w:r>
      <w:r>
        <w:rPr>
          <w:rFonts w:ascii="仿宋" w:hAnsi="仿宋" w:eastAsia="仿宋" w:cs="宋体"/>
          <w:color w:val="000000"/>
          <w:sz w:val="28"/>
          <w:szCs w:val="28"/>
        </w:rPr>
        <w:t xml:space="preserve">4．国企混合所有制改革操作的权威指引详解（包含国企混改的基本流程、六大主要环节的操作要点等）  </w:t>
      </w:r>
    </w:p>
    <w:p>
      <w:pPr>
        <w:widowControl/>
        <w:autoSpaceDE/>
        <w:autoSpaceDN/>
        <w:adjustRightInd/>
        <w:spacing w:line="32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5．在混改筹划、实施过程中，如何将混改工作与企业转型发展、培育新兴产业、打造一流企业等战略性议题有效结合</w:t>
      </w:r>
    </w:p>
    <w:p>
      <w:pPr>
        <w:widowControl/>
        <w:autoSpaceDE/>
        <w:autoSpaceDN/>
        <w:adjustRightInd/>
        <w:spacing w:line="320" w:lineRule="exact"/>
        <w:rPr>
          <w:rFonts w:hint="default" w:ascii="仿宋" w:hAnsi="仿宋" w:eastAsia="仿宋" w:cs="宋体"/>
          <w:color w:val="000000"/>
          <w:sz w:val="28"/>
          <w:szCs w:val="28"/>
        </w:rPr>
      </w:pPr>
      <w:r>
        <w:rPr>
          <w:rFonts w:cs="宋体"/>
          <w:color w:val="000000"/>
          <w:sz w:val="28"/>
          <w:szCs w:val="28"/>
        </w:rPr>
        <w:t>  </w:t>
      </w:r>
      <w:r>
        <w:rPr>
          <w:rFonts w:ascii="仿宋" w:hAnsi="仿宋" w:eastAsia="仿宋" w:cs="宋体"/>
          <w:color w:val="000000"/>
          <w:sz w:val="28"/>
          <w:szCs w:val="28"/>
        </w:rPr>
        <w:t>6．国企混改方案设计及组织实施疑难问题处理</w:t>
      </w:r>
    </w:p>
    <w:p>
      <w:pPr>
        <w:autoSpaceDE/>
        <w:autoSpaceDN/>
        <w:adjustRightInd/>
        <w:spacing w:line="32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(三) 关于改革国有企业工资决定机制的意见与政策解读</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1.国有企业工资决定机制主要概念界定</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2.国资系统如何整体规划打造国企与干部员工的命运共同体</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3.国资委如何推动区域国企工资总额调整机制的建立</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4.企业分类确定工资效益联动指标</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5.国企如何利用一企一策改革个性化确定工资总额形成公式</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6.基于工资总额机制的内部差异化薪酬      </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7.国有企业工资分配监管体制</w:t>
      </w:r>
    </w:p>
    <w:p>
      <w:pPr>
        <w:autoSpaceDE/>
        <w:autoSpaceDN/>
        <w:adjustRightInd/>
        <w:spacing w:line="320" w:lineRule="exact"/>
        <w:jc w:val="both"/>
        <w:rPr>
          <w:rFonts w:hint="default" w:ascii="仿宋" w:hAnsi="仿宋" w:eastAsia="仿宋" w:cs="仿宋"/>
          <w:b/>
          <w:kern w:val="2"/>
          <w:sz w:val="28"/>
          <w:szCs w:val="28"/>
        </w:rPr>
      </w:pPr>
      <w:r>
        <w:rPr>
          <w:rFonts w:ascii="仿宋" w:hAnsi="仿宋" w:eastAsia="仿宋" w:cs="仿宋"/>
          <w:b/>
          <w:kern w:val="2"/>
          <w:sz w:val="28"/>
          <w:szCs w:val="28"/>
        </w:rPr>
        <w:t>(四) 国有企业人才管理机制及薪酬绩效管理体系改革</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1.国有企业薪酬体系改革的政策解读</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2.国有企业人才流动机制的建立与完善</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3.绩效管理的操作步骤、指标设计及管理模式</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4.国有企业改革中建立以绩效为导向和市场接轨的薪酬体系</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5.国有企业绩效考核的难点及解决思路</w:t>
      </w:r>
    </w:p>
    <w:p>
      <w:pPr>
        <w:autoSpaceDE/>
        <w:autoSpaceDN/>
        <w:adjustRightInd/>
        <w:spacing w:line="320" w:lineRule="exact"/>
        <w:ind w:firstLine="560" w:firstLineChars="200"/>
        <w:jc w:val="both"/>
        <w:rPr>
          <w:rFonts w:hint="default" w:ascii="仿宋" w:hAnsi="仿宋" w:eastAsia="仿宋" w:cs="宋体"/>
          <w:color w:val="000000"/>
          <w:sz w:val="28"/>
          <w:szCs w:val="28"/>
        </w:rPr>
      </w:pPr>
      <w:r>
        <w:rPr>
          <w:rFonts w:ascii="仿宋" w:hAnsi="仿宋" w:eastAsia="仿宋" w:cs="仿宋"/>
          <w:bCs/>
          <w:kern w:val="2"/>
          <w:sz w:val="28"/>
          <w:szCs w:val="28"/>
        </w:rPr>
        <w:t>6.国企三项制度改革</w:t>
      </w:r>
      <w:r>
        <w:rPr>
          <w:rFonts w:ascii="仿宋" w:hAnsi="仿宋" w:eastAsia="仿宋" w:cs="宋体"/>
          <w:color w:val="000000"/>
          <w:sz w:val="28"/>
          <w:szCs w:val="28"/>
        </w:rPr>
        <w:t>的重点、难点问题解析</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宋体"/>
          <w:color w:val="000000"/>
          <w:sz w:val="28"/>
          <w:szCs w:val="28"/>
        </w:rPr>
        <w:t>7. 三项制度改革的推进策略、实施路径及典型成功案例解析</w:t>
      </w:r>
    </w:p>
    <w:p>
      <w:pPr>
        <w:autoSpaceDE/>
        <w:autoSpaceDN/>
        <w:adjustRightInd/>
        <w:spacing w:line="320" w:lineRule="exact"/>
        <w:jc w:val="both"/>
        <w:rPr>
          <w:rFonts w:hint="default" w:ascii="仿宋" w:hAnsi="仿宋" w:eastAsia="仿宋" w:cs="仿宋"/>
          <w:b/>
          <w:kern w:val="2"/>
          <w:sz w:val="28"/>
          <w:szCs w:val="28"/>
        </w:rPr>
      </w:pPr>
      <w:r>
        <w:rPr>
          <w:rFonts w:ascii="仿宋" w:hAnsi="仿宋" w:eastAsia="仿宋" w:cs="仿宋"/>
          <w:b/>
          <w:kern w:val="2"/>
          <w:sz w:val="28"/>
          <w:szCs w:val="28"/>
        </w:rPr>
        <w:t>(五) 国企薪酬改革、员工持股与长期激励机制设计</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1.薪酬体系构成与设计原则</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2.国企薪酬诊断分析与案例</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3.薪酬设计“6+1”</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4.国企不同级别员工的薪酬构成</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5.股权顶层设计--股权治理机制</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6.与薪酬体系匹配的激励方式</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7.股权激励机制的现状与设计模式</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8.国企长期激励实施的要点</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9.股权激励机制主要操作障碍</w:t>
      </w:r>
    </w:p>
    <w:p>
      <w:pPr>
        <w:widowControl/>
        <w:autoSpaceDE/>
        <w:autoSpaceDN/>
        <w:adjustRightInd/>
        <w:spacing w:line="320" w:lineRule="exact"/>
        <w:rPr>
          <w:rFonts w:hint="default" w:ascii="仿宋" w:hAnsi="仿宋" w:eastAsia="仿宋" w:cs="宋体"/>
          <w:color w:val="000000"/>
          <w:sz w:val="28"/>
          <w:szCs w:val="28"/>
        </w:rPr>
      </w:pPr>
      <w:r>
        <w:rPr>
          <w:rFonts w:ascii="仿宋" w:hAnsi="仿宋" w:eastAsia="仿宋" w:cs="宋体"/>
          <w:b/>
          <w:bCs/>
          <w:color w:val="000000"/>
          <w:sz w:val="28"/>
          <w:szCs w:val="28"/>
        </w:rPr>
        <w:t>（六）国企混改中职工持股、股权和分红激励的操作要点及实战技术</w:t>
      </w:r>
      <w:r>
        <w:rPr>
          <w:rFonts w:ascii="仿宋" w:hAnsi="仿宋" w:eastAsia="仿宋" w:cs="宋体"/>
          <w:color w:val="000000"/>
          <w:sz w:val="28"/>
          <w:szCs w:val="28"/>
        </w:rPr>
        <w:t xml:space="preserve"> </w:t>
      </w:r>
    </w:p>
    <w:p>
      <w:pPr>
        <w:widowControl/>
        <w:autoSpaceDE/>
        <w:autoSpaceDN/>
        <w:adjustRightInd/>
        <w:spacing w:line="320" w:lineRule="exact"/>
        <w:rPr>
          <w:rFonts w:hint="default" w:ascii="仿宋" w:hAnsi="仿宋" w:eastAsia="仿宋" w:cs="宋体"/>
          <w:color w:val="000000"/>
          <w:sz w:val="28"/>
          <w:szCs w:val="28"/>
        </w:rPr>
      </w:pPr>
      <w:r>
        <w:rPr>
          <w:rFonts w:cs="宋体"/>
          <w:color w:val="000000"/>
          <w:sz w:val="28"/>
          <w:szCs w:val="28"/>
        </w:rPr>
        <w:t>  </w:t>
      </w:r>
      <w:r>
        <w:rPr>
          <w:rFonts w:ascii="仿宋" w:hAnsi="仿宋" w:eastAsia="仿宋" w:cs="宋体"/>
          <w:color w:val="000000"/>
          <w:sz w:val="28"/>
          <w:szCs w:val="28"/>
        </w:rPr>
        <w:t>1．国企职工持股的经验教训总结</w:t>
      </w:r>
    </w:p>
    <w:p>
      <w:pPr>
        <w:widowControl/>
        <w:autoSpaceDE/>
        <w:autoSpaceDN/>
        <w:adjustRightInd/>
        <w:spacing w:line="320" w:lineRule="exact"/>
        <w:rPr>
          <w:rFonts w:hint="default" w:ascii="仿宋" w:hAnsi="仿宋" w:eastAsia="仿宋" w:cs="宋体"/>
          <w:color w:val="000000"/>
          <w:sz w:val="28"/>
          <w:szCs w:val="28"/>
        </w:rPr>
      </w:pPr>
      <w:r>
        <w:rPr>
          <w:rFonts w:cs="宋体"/>
          <w:color w:val="000000"/>
          <w:sz w:val="28"/>
          <w:szCs w:val="28"/>
        </w:rPr>
        <w:t>  </w:t>
      </w:r>
      <w:r>
        <w:rPr>
          <w:rFonts w:ascii="仿宋" w:hAnsi="仿宋" w:eastAsia="仿宋" w:cs="宋体"/>
          <w:color w:val="000000"/>
          <w:sz w:val="28"/>
          <w:szCs w:val="28"/>
        </w:rPr>
        <w:t xml:space="preserve">2．不同类型国有企业推行骨干职工持股的操作模式及可借鉴的典型案例 </w:t>
      </w:r>
    </w:p>
    <w:p>
      <w:pPr>
        <w:widowControl/>
        <w:autoSpaceDE/>
        <w:autoSpaceDN/>
        <w:adjustRightInd/>
        <w:spacing w:line="320" w:lineRule="exact"/>
        <w:rPr>
          <w:rFonts w:hint="default" w:ascii="仿宋" w:hAnsi="仿宋" w:eastAsia="仿宋" w:cs="宋体"/>
          <w:color w:val="000000"/>
          <w:sz w:val="28"/>
          <w:szCs w:val="28"/>
        </w:rPr>
      </w:pPr>
      <w:r>
        <w:rPr>
          <w:rFonts w:cs="宋体"/>
          <w:color w:val="000000"/>
          <w:sz w:val="28"/>
          <w:szCs w:val="28"/>
        </w:rPr>
        <w:t>  </w:t>
      </w:r>
      <w:r>
        <w:rPr>
          <w:rFonts w:ascii="仿宋" w:hAnsi="仿宋" w:eastAsia="仿宋" w:cs="宋体"/>
          <w:color w:val="000000"/>
          <w:sz w:val="28"/>
          <w:szCs w:val="28"/>
        </w:rPr>
        <w:t xml:space="preserve">3．职工持股的可选载体及其适用性、利弊分析 </w:t>
      </w:r>
    </w:p>
    <w:p>
      <w:pPr>
        <w:widowControl/>
        <w:autoSpaceDE/>
        <w:autoSpaceDN/>
        <w:adjustRightInd/>
        <w:spacing w:line="320" w:lineRule="exact"/>
        <w:rPr>
          <w:rFonts w:hint="default" w:ascii="仿宋" w:hAnsi="仿宋" w:eastAsia="仿宋" w:cs="宋体"/>
          <w:color w:val="000000"/>
          <w:sz w:val="28"/>
          <w:szCs w:val="28"/>
        </w:rPr>
      </w:pPr>
      <w:r>
        <w:rPr>
          <w:rFonts w:cs="宋体"/>
          <w:color w:val="000000"/>
          <w:sz w:val="28"/>
          <w:szCs w:val="28"/>
        </w:rPr>
        <w:t>  </w:t>
      </w:r>
      <w:r>
        <w:rPr>
          <w:rFonts w:ascii="仿宋" w:hAnsi="仿宋" w:eastAsia="仿宋" w:cs="宋体"/>
          <w:color w:val="000000"/>
          <w:sz w:val="28"/>
          <w:szCs w:val="28"/>
        </w:rPr>
        <w:t xml:space="preserve">4．国企混改中预留股权的操作方法与技巧（注：预留股权常用于吸引和激励优秀人才） </w:t>
      </w:r>
    </w:p>
    <w:p>
      <w:pPr>
        <w:widowControl/>
        <w:autoSpaceDE/>
        <w:autoSpaceDN/>
        <w:adjustRightInd/>
        <w:spacing w:line="320" w:lineRule="exact"/>
        <w:rPr>
          <w:rFonts w:hint="default" w:ascii="仿宋" w:hAnsi="仿宋" w:eastAsia="仿宋" w:cs="宋体"/>
          <w:color w:val="000000"/>
          <w:sz w:val="28"/>
          <w:szCs w:val="28"/>
        </w:rPr>
      </w:pPr>
      <w:r>
        <w:rPr>
          <w:rFonts w:cs="宋体"/>
          <w:color w:val="000000"/>
          <w:sz w:val="28"/>
          <w:szCs w:val="28"/>
        </w:rPr>
        <w:t xml:space="preserve">  </w:t>
      </w:r>
      <w:r>
        <w:rPr>
          <w:rFonts w:ascii="仿宋" w:hAnsi="仿宋" w:eastAsia="仿宋" w:cs="宋体"/>
          <w:color w:val="000000"/>
          <w:sz w:val="28"/>
          <w:szCs w:val="28"/>
        </w:rPr>
        <w:t xml:space="preserve"> 5．目前尚不符合职工持股试点意见所要求条件的国企，如何创新设计改革方式和操作路径，依法依规分步推进混改和职工持股工作  </w:t>
      </w:r>
    </w:p>
    <w:p>
      <w:pPr>
        <w:widowControl/>
        <w:autoSpaceDE/>
        <w:autoSpaceDN/>
        <w:adjustRightInd/>
        <w:spacing w:line="320" w:lineRule="exact"/>
        <w:rPr>
          <w:rFonts w:hint="default" w:ascii="仿宋" w:hAnsi="仿宋" w:eastAsia="仿宋" w:cs="宋体"/>
          <w:color w:val="000000"/>
          <w:sz w:val="28"/>
          <w:szCs w:val="28"/>
        </w:rPr>
      </w:pPr>
      <w:r>
        <w:rPr>
          <w:rFonts w:cs="宋体"/>
          <w:color w:val="000000"/>
          <w:sz w:val="28"/>
          <w:szCs w:val="28"/>
        </w:rPr>
        <w:t>  </w:t>
      </w:r>
      <w:r>
        <w:rPr>
          <w:rFonts w:ascii="仿宋" w:hAnsi="仿宋" w:eastAsia="仿宋" w:cs="宋体"/>
          <w:color w:val="000000"/>
          <w:sz w:val="28"/>
          <w:szCs w:val="28"/>
        </w:rPr>
        <w:t xml:space="preserve">6．国有企业股权和分红激励的适用范围、操作模式及可借鉴的典型案例 </w:t>
      </w:r>
    </w:p>
    <w:p>
      <w:pPr>
        <w:widowControl/>
        <w:autoSpaceDE/>
        <w:autoSpaceDN/>
        <w:adjustRightInd/>
        <w:spacing w:line="320" w:lineRule="exact"/>
        <w:rPr>
          <w:rFonts w:hint="default" w:ascii="仿宋" w:hAnsi="仿宋" w:eastAsia="仿宋" w:cs="宋体"/>
          <w:color w:val="000000"/>
          <w:sz w:val="28"/>
          <w:szCs w:val="28"/>
        </w:rPr>
      </w:pPr>
      <w:r>
        <w:rPr>
          <w:rFonts w:cs="宋体"/>
          <w:color w:val="000000"/>
          <w:sz w:val="28"/>
          <w:szCs w:val="28"/>
        </w:rPr>
        <w:t>  </w:t>
      </w:r>
      <w:r>
        <w:rPr>
          <w:rFonts w:ascii="仿宋" w:hAnsi="仿宋" w:eastAsia="仿宋" w:cs="宋体"/>
          <w:color w:val="000000"/>
          <w:sz w:val="28"/>
          <w:szCs w:val="28"/>
        </w:rPr>
        <w:t xml:space="preserve">7．国企混改中职工持股方案、股权和分红激励方案的设计及实施疑难问题处理 </w:t>
      </w:r>
    </w:p>
    <w:p>
      <w:pPr>
        <w:autoSpaceDE/>
        <w:autoSpaceDN/>
        <w:adjustRightInd/>
        <w:spacing w:line="320" w:lineRule="exact"/>
        <w:jc w:val="both"/>
        <w:rPr>
          <w:rFonts w:hint="default" w:ascii="仿宋" w:hAnsi="仿宋" w:eastAsia="仿宋" w:cs="仿宋"/>
          <w:b/>
          <w:kern w:val="2"/>
          <w:sz w:val="28"/>
          <w:szCs w:val="28"/>
        </w:rPr>
      </w:pPr>
      <w:r>
        <w:rPr>
          <w:rFonts w:ascii="仿宋" w:hAnsi="仿宋" w:eastAsia="仿宋" w:cs="仿宋"/>
          <w:b/>
          <w:kern w:val="2"/>
          <w:sz w:val="28"/>
          <w:szCs w:val="28"/>
        </w:rPr>
        <w:t>(七) 市场化选聘经营管理者与职业经理人</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 《关于开展市场化选聘和管理国有企业经营管理者试点工作的意见》解读</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w:t>
      </w:r>
      <w:r>
        <w:rPr>
          <w:rFonts w:ascii="仿宋" w:hAnsi="仿宋" w:eastAsia="仿宋" w:cs="仿宋"/>
          <w:bCs/>
          <w:kern w:val="2"/>
          <w:sz w:val="28"/>
          <w:szCs w:val="28"/>
        </w:rPr>
        <w:t>中国特色现代企业治理机制</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w:t>
      </w:r>
      <w:r>
        <w:rPr>
          <w:rFonts w:hint="default" w:ascii="仿宋" w:hAnsi="仿宋" w:eastAsia="仿宋" w:cs="仿宋"/>
          <w:bCs/>
          <w:kern w:val="2"/>
          <w:sz w:val="28"/>
          <w:szCs w:val="28"/>
        </w:rPr>
        <w:t>.</w:t>
      </w:r>
      <w:r>
        <w:rPr>
          <w:rFonts w:ascii="仿宋" w:hAnsi="仿宋" w:eastAsia="仿宋" w:cs="仿宋"/>
          <w:bCs/>
          <w:kern w:val="2"/>
          <w:sz w:val="28"/>
          <w:szCs w:val="28"/>
        </w:rPr>
        <w:t>董事会职权落实</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4.市场化选聘经营管理者</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5.分类改革与分类治理</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6.“管资本”模式下国有出资人的职责履行</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7.市场化选聘模式分析</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8.契约制和聘用制                                          </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9.推行职业经理人制度的总体要求</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10.职业经理人制度建设相关政策分析</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11.职业经理人制度体系建设与实施的经验借鉴</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12.职业经理人制度与国企党建的重要工作</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13.案例分析:职业经理人选聘、薪酬机制模式</w:t>
      </w:r>
    </w:p>
    <w:p>
      <w:pPr>
        <w:pStyle w:val="4"/>
        <w:spacing w:before="0" w:beforeAutospacing="0" w:after="0" w:afterAutospacing="0" w:line="320" w:lineRule="exact"/>
        <w:ind w:firstLine="140" w:firstLineChars="50"/>
        <w:textAlignment w:val="baseline"/>
        <w:rPr>
          <w:rFonts w:ascii="仿宋" w:hAnsi="仿宋" w:eastAsia="仿宋" w:cstheme="minorBidi"/>
          <w:b/>
          <w:bCs/>
          <w:kern w:val="24"/>
          <w:sz w:val="28"/>
          <w:szCs w:val="28"/>
        </w:rPr>
      </w:pPr>
      <w:r>
        <w:rPr>
          <w:rFonts w:hint="eastAsia" w:ascii="仿宋" w:hAnsi="仿宋" w:eastAsia="仿宋" w:cstheme="minorBidi"/>
          <w:b/>
          <w:bCs/>
          <w:kern w:val="24"/>
          <w:sz w:val="28"/>
          <w:szCs w:val="28"/>
        </w:rPr>
        <w:t>（八）债转股的背景与相关政策解读</w:t>
      </w:r>
    </w:p>
    <w:p>
      <w:pPr>
        <w:pStyle w:val="4"/>
        <w:spacing w:before="0" w:beforeAutospacing="0" w:after="0" w:afterAutospacing="0" w:line="320" w:lineRule="exact"/>
        <w:ind w:firstLine="560" w:firstLineChars="200"/>
        <w:textAlignment w:val="baseline"/>
        <w:rPr>
          <w:rFonts w:ascii="仿宋" w:hAnsi="仿宋" w:eastAsia="仿宋" w:cs="华文中宋"/>
          <w:bCs/>
          <w:kern w:val="24"/>
          <w:sz w:val="28"/>
          <w:szCs w:val="28"/>
        </w:rPr>
      </w:pPr>
      <w:r>
        <w:rPr>
          <w:rFonts w:hint="eastAsia" w:ascii="仿宋" w:hAnsi="仿宋" w:eastAsia="仿宋"/>
          <w:sz w:val="28"/>
          <w:szCs w:val="28"/>
        </w:rPr>
        <w:t>1．</w:t>
      </w:r>
      <w:r>
        <w:rPr>
          <w:rFonts w:hint="eastAsia" w:ascii="仿宋" w:hAnsi="仿宋" w:eastAsia="仿宋" w:cs="华文中宋"/>
          <w:bCs/>
          <w:kern w:val="24"/>
          <w:sz w:val="28"/>
          <w:szCs w:val="28"/>
        </w:rPr>
        <w:t>债转股定义及背景</w:t>
      </w:r>
    </w:p>
    <w:p>
      <w:pPr>
        <w:pStyle w:val="4"/>
        <w:spacing w:before="0" w:beforeAutospacing="0" w:after="0" w:afterAutospacing="0" w:line="320" w:lineRule="exact"/>
        <w:ind w:firstLine="560" w:firstLineChars="200"/>
        <w:textAlignment w:val="baseline"/>
        <w:rPr>
          <w:rFonts w:ascii="仿宋" w:hAnsi="仿宋" w:eastAsia="仿宋" w:cs="华文中宋"/>
          <w:bCs/>
          <w:kern w:val="24"/>
          <w:sz w:val="28"/>
          <w:szCs w:val="28"/>
        </w:rPr>
      </w:pPr>
      <w:r>
        <w:rPr>
          <w:rFonts w:hint="eastAsia" w:ascii="仿宋" w:hAnsi="仿宋" w:eastAsia="仿宋" w:cs="华文中宋"/>
          <w:bCs/>
          <w:kern w:val="24"/>
          <w:sz w:val="28"/>
          <w:szCs w:val="28"/>
        </w:rPr>
        <w:t>2．两轮债转股的差异对比</w:t>
      </w:r>
    </w:p>
    <w:p>
      <w:pPr>
        <w:pStyle w:val="4"/>
        <w:spacing w:before="0" w:beforeAutospacing="0" w:after="0" w:afterAutospacing="0" w:line="320" w:lineRule="exact"/>
        <w:ind w:firstLine="560" w:firstLineChars="200"/>
        <w:textAlignment w:val="baseline"/>
        <w:rPr>
          <w:rFonts w:ascii="仿宋" w:hAnsi="仿宋" w:eastAsia="仿宋" w:cstheme="minorBidi"/>
          <w:bCs/>
          <w:kern w:val="24"/>
          <w:sz w:val="28"/>
          <w:szCs w:val="28"/>
        </w:rPr>
      </w:pPr>
      <w:r>
        <w:rPr>
          <w:rFonts w:hint="eastAsia" w:ascii="仿宋" w:hAnsi="仿宋" w:eastAsia="仿宋" w:cs="华文中宋"/>
          <w:bCs/>
          <w:kern w:val="24"/>
          <w:sz w:val="28"/>
          <w:szCs w:val="28"/>
        </w:rPr>
        <w:t>3．</w:t>
      </w:r>
      <w:r>
        <w:rPr>
          <w:rFonts w:hint="eastAsia" w:ascii="仿宋" w:hAnsi="仿宋" w:eastAsia="仿宋" w:cstheme="minorBidi"/>
          <w:bCs/>
          <w:kern w:val="24"/>
          <w:sz w:val="28"/>
          <w:szCs w:val="28"/>
        </w:rPr>
        <w:t>市场化债转股的实施情况</w:t>
      </w:r>
    </w:p>
    <w:p>
      <w:pPr>
        <w:pStyle w:val="4"/>
        <w:spacing w:before="0" w:beforeAutospacing="0" w:after="0" w:afterAutospacing="0" w:line="320" w:lineRule="exact"/>
        <w:ind w:firstLine="560" w:firstLineChars="200"/>
        <w:textAlignment w:val="baseline"/>
        <w:rPr>
          <w:rFonts w:ascii="仿宋" w:hAnsi="仿宋" w:eastAsia="仿宋" w:cs="Arial"/>
          <w:sz w:val="28"/>
          <w:szCs w:val="28"/>
        </w:rPr>
      </w:pPr>
      <w:r>
        <w:rPr>
          <w:rFonts w:hint="eastAsia" w:ascii="仿宋" w:hAnsi="仿宋" w:eastAsia="仿宋" w:cstheme="minorBidi"/>
          <w:bCs/>
          <w:kern w:val="24"/>
          <w:sz w:val="28"/>
          <w:szCs w:val="28"/>
        </w:rPr>
        <w:t>4．</w:t>
      </w:r>
      <w:r>
        <w:rPr>
          <w:rFonts w:ascii="仿宋" w:hAnsi="仿宋" w:eastAsia="仿宋" w:cs="Arial"/>
          <w:sz w:val="28"/>
          <w:szCs w:val="28"/>
        </w:rPr>
        <w:t>国务院《关于积极稳妥降低企业杠杆率的意见》（国发［2016］54号）及其配套文件《关于市场化银行债权转股权的指导意见》</w:t>
      </w:r>
      <w:r>
        <w:rPr>
          <w:rFonts w:hint="eastAsia" w:ascii="仿宋" w:hAnsi="仿宋" w:eastAsia="仿宋" w:cs="Arial"/>
          <w:sz w:val="28"/>
          <w:szCs w:val="28"/>
        </w:rPr>
        <w:t>、《</w:t>
      </w:r>
      <w:r>
        <w:rPr>
          <w:rFonts w:hint="eastAsia" w:ascii="仿宋" w:hAnsi="仿宋" w:eastAsia="仿宋"/>
          <w:bCs/>
          <w:sz w:val="28"/>
          <w:szCs w:val="28"/>
        </w:rPr>
        <w:t>关于市场化银行债权转股权实施中有关具体政策问题的通知</w:t>
      </w:r>
      <w:r>
        <w:rPr>
          <w:rFonts w:hint="eastAsia" w:ascii="仿宋" w:hAnsi="仿宋" w:eastAsia="仿宋" w:cs="Arial"/>
          <w:sz w:val="28"/>
          <w:szCs w:val="28"/>
        </w:rPr>
        <w:t>》解读</w:t>
      </w:r>
    </w:p>
    <w:p>
      <w:pPr>
        <w:autoSpaceDE/>
        <w:autoSpaceDN/>
        <w:adjustRightInd/>
        <w:spacing w:line="320" w:lineRule="exact"/>
        <w:ind w:firstLine="560" w:firstLineChars="200"/>
        <w:jc w:val="both"/>
        <w:rPr>
          <w:rFonts w:hint="default" w:ascii="仿宋" w:hAnsi="仿宋" w:eastAsia="仿宋" w:cstheme="minorBidi"/>
          <w:bCs/>
          <w:color w:val="000000" w:themeColor="text1"/>
          <w:kern w:val="24"/>
          <w:sz w:val="28"/>
          <w:szCs w:val="28"/>
          <w14:textFill>
            <w14:solidFill>
              <w14:schemeClr w14:val="tx1"/>
            </w14:solidFill>
          </w14:textFill>
        </w:rPr>
      </w:pPr>
      <w:r>
        <w:rPr>
          <w:rFonts w:ascii="仿宋" w:hAnsi="仿宋" w:eastAsia="仿宋" w:cs="Arial"/>
          <w:sz w:val="28"/>
          <w:szCs w:val="28"/>
        </w:rPr>
        <w:t>5．2018年，七部委《关于市场化银行债权转股权实施中有关具体政策问题的通知》及</w:t>
      </w:r>
      <w:r>
        <w:rPr>
          <w:rFonts w:ascii="仿宋" w:hAnsi="仿宋" w:eastAsia="仿宋" w:cstheme="minorBidi"/>
          <w:bCs/>
          <w:color w:val="000000" w:themeColor="text1"/>
          <w:kern w:val="24"/>
          <w:sz w:val="28"/>
          <w:szCs w:val="28"/>
          <w14:textFill>
            <w14:solidFill>
              <w14:schemeClr w14:val="tx1"/>
            </w14:solidFill>
          </w14:textFill>
        </w:rPr>
        <w:t>五部委《关于鼓励相关机构参与市场化债转股的通知》等相关政策解读</w:t>
      </w:r>
    </w:p>
    <w:p>
      <w:pPr>
        <w:widowControl/>
        <w:autoSpaceDE/>
        <w:autoSpaceDN/>
        <w:adjustRightInd/>
        <w:spacing w:line="320" w:lineRule="exact"/>
        <w:ind w:firstLine="140" w:firstLineChars="50"/>
        <w:textAlignment w:val="baseline"/>
        <w:rPr>
          <w:rFonts w:hint="default" w:ascii="仿宋" w:hAnsi="仿宋" w:eastAsia="仿宋" w:cs="宋体"/>
          <w:b/>
          <w:sz w:val="28"/>
          <w:szCs w:val="28"/>
        </w:rPr>
      </w:pPr>
      <w:r>
        <w:rPr>
          <w:rFonts w:ascii="仿宋" w:hAnsi="仿宋" w:eastAsia="仿宋" w:cs="宋体"/>
          <w:b/>
          <w:sz w:val="28"/>
          <w:szCs w:val="28"/>
        </w:rPr>
        <w:t>（九）</w:t>
      </w:r>
      <w:r>
        <w:rPr>
          <w:rFonts w:ascii="仿宋" w:hAnsi="仿宋" w:eastAsia="仿宋" w:cstheme="minorBidi"/>
          <w:b/>
          <w:bCs/>
          <w:kern w:val="24"/>
          <w:sz w:val="28"/>
          <w:szCs w:val="28"/>
        </w:rPr>
        <w:t>债转股对象、条件及实施难点和破题路径</w:t>
      </w:r>
    </w:p>
    <w:p>
      <w:pPr>
        <w:widowControl/>
        <w:autoSpaceDE/>
        <w:autoSpaceDN/>
        <w:adjustRightInd/>
        <w:spacing w:line="320" w:lineRule="exact"/>
        <w:ind w:firstLine="560" w:firstLineChars="200"/>
        <w:textAlignment w:val="baseline"/>
        <w:rPr>
          <w:rFonts w:hint="default" w:ascii="仿宋" w:hAnsi="仿宋" w:eastAsia="仿宋" w:cstheme="minorBidi"/>
          <w:bCs/>
          <w:kern w:val="24"/>
          <w:sz w:val="28"/>
          <w:szCs w:val="28"/>
        </w:rPr>
      </w:pPr>
      <w:r>
        <w:rPr>
          <w:rFonts w:ascii="仿宋" w:hAnsi="仿宋" w:eastAsia="仿宋" w:cs="宋体"/>
          <w:sz w:val="28"/>
          <w:szCs w:val="28"/>
        </w:rPr>
        <w:t>1．</w:t>
      </w:r>
      <w:r>
        <w:rPr>
          <w:rFonts w:ascii="仿宋" w:hAnsi="仿宋" w:eastAsia="仿宋" w:cstheme="minorBidi"/>
          <w:bCs/>
          <w:kern w:val="24"/>
          <w:sz w:val="28"/>
          <w:szCs w:val="28"/>
        </w:rPr>
        <w:t>企业选择标准</w:t>
      </w:r>
    </w:p>
    <w:p>
      <w:pPr>
        <w:widowControl/>
        <w:autoSpaceDE/>
        <w:autoSpaceDN/>
        <w:adjustRightInd/>
        <w:spacing w:line="320" w:lineRule="exact"/>
        <w:ind w:firstLine="560" w:firstLineChars="200"/>
        <w:textAlignment w:val="baseline"/>
        <w:rPr>
          <w:rFonts w:hint="default" w:ascii="仿宋" w:hAnsi="仿宋" w:eastAsia="仿宋" w:cs="宋体"/>
          <w:sz w:val="28"/>
          <w:szCs w:val="28"/>
        </w:rPr>
      </w:pPr>
      <w:r>
        <w:rPr>
          <w:rFonts w:ascii="仿宋" w:hAnsi="仿宋" w:eastAsia="仿宋" w:cstheme="minorBidi"/>
          <w:bCs/>
          <w:kern w:val="24"/>
          <w:sz w:val="28"/>
          <w:szCs w:val="28"/>
        </w:rPr>
        <w:t>2．债权选择标准</w:t>
      </w:r>
    </w:p>
    <w:p>
      <w:pPr>
        <w:pStyle w:val="4"/>
        <w:spacing w:before="0" w:beforeAutospacing="0" w:after="0" w:afterAutospacing="0" w:line="320" w:lineRule="exact"/>
        <w:ind w:firstLine="560" w:firstLineChars="200"/>
        <w:textAlignment w:val="baseline"/>
        <w:rPr>
          <w:rFonts w:ascii="仿宋" w:hAnsi="仿宋" w:eastAsia="仿宋" w:cstheme="minorBidi"/>
          <w:bCs/>
          <w:kern w:val="24"/>
          <w:sz w:val="28"/>
          <w:szCs w:val="28"/>
        </w:rPr>
      </w:pPr>
      <w:r>
        <w:rPr>
          <w:rFonts w:hint="eastAsia" w:ascii="仿宋" w:hAnsi="仿宋" w:eastAsia="仿宋" w:cstheme="minorBidi"/>
          <w:bCs/>
          <w:kern w:val="24"/>
          <w:sz w:val="28"/>
          <w:szCs w:val="28"/>
        </w:rPr>
        <w:t>3．资金寻找问题</w:t>
      </w:r>
    </w:p>
    <w:p>
      <w:pPr>
        <w:autoSpaceDE/>
        <w:autoSpaceDN/>
        <w:adjustRightInd/>
        <w:spacing w:line="320" w:lineRule="exact"/>
        <w:ind w:firstLine="560" w:firstLineChars="200"/>
        <w:jc w:val="both"/>
        <w:rPr>
          <w:rFonts w:hint="default" w:ascii="仿宋" w:hAnsi="仿宋" w:eastAsia="仿宋" w:cstheme="minorBidi"/>
          <w:bCs/>
          <w:color w:val="000000" w:themeColor="text1"/>
          <w:kern w:val="24"/>
          <w:sz w:val="28"/>
          <w:szCs w:val="28"/>
          <w14:textFill>
            <w14:solidFill>
              <w14:schemeClr w14:val="tx1"/>
            </w14:solidFill>
          </w14:textFill>
        </w:rPr>
      </w:pPr>
      <w:r>
        <w:rPr>
          <w:rFonts w:ascii="仿宋" w:hAnsi="仿宋" w:eastAsia="仿宋" w:cstheme="minorBidi"/>
          <w:bCs/>
          <w:color w:val="000000" w:themeColor="text1"/>
          <w:kern w:val="24"/>
          <w:sz w:val="28"/>
          <w:szCs w:val="28"/>
          <w14:textFill>
            <w14:solidFill>
              <w14:schemeClr w14:val="tx1"/>
            </w14:solidFill>
          </w14:textFill>
        </w:rPr>
        <w:t>4．</w:t>
      </w:r>
      <w:r>
        <w:rPr>
          <w:rFonts w:hint="default" w:ascii="仿宋" w:hAnsi="仿宋" w:eastAsia="仿宋" w:cstheme="minorBidi"/>
          <w:bCs/>
          <w:color w:val="000000" w:themeColor="text1"/>
          <w:kern w:val="24"/>
          <w:sz w:val="28"/>
          <w:szCs w:val="28"/>
          <w14:textFill>
            <w14:solidFill>
              <w14:schemeClr w14:val="tx1"/>
            </w14:solidFill>
          </w14:textFill>
        </w:rPr>
        <w:t>债转股如何实施</w:t>
      </w:r>
    </w:p>
    <w:p>
      <w:pPr>
        <w:autoSpaceDE/>
        <w:autoSpaceDN/>
        <w:adjustRightInd/>
        <w:spacing w:line="320" w:lineRule="exact"/>
        <w:ind w:firstLine="560" w:firstLineChars="200"/>
        <w:jc w:val="both"/>
        <w:rPr>
          <w:rFonts w:hint="default" w:ascii="仿宋" w:hAnsi="仿宋" w:eastAsia="仿宋" w:cstheme="minorBidi"/>
          <w:bCs/>
          <w:color w:val="000000" w:themeColor="text1"/>
          <w:kern w:val="24"/>
          <w:sz w:val="28"/>
          <w:szCs w:val="28"/>
          <w14:textFill>
            <w14:solidFill>
              <w14:schemeClr w14:val="tx1"/>
            </w14:solidFill>
          </w14:textFill>
        </w:rPr>
      </w:pPr>
      <w:r>
        <w:rPr>
          <w:rFonts w:ascii="仿宋" w:hAnsi="仿宋" w:eastAsia="仿宋" w:cstheme="minorBidi"/>
          <w:bCs/>
          <w:color w:val="000000" w:themeColor="text1"/>
          <w:kern w:val="24"/>
          <w:sz w:val="28"/>
          <w:szCs w:val="28"/>
          <w14:textFill>
            <w14:solidFill>
              <w14:schemeClr w14:val="tx1"/>
            </w14:solidFill>
          </w14:textFill>
        </w:rPr>
        <w:t>5．</w:t>
      </w:r>
      <w:r>
        <w:rPr>
          <w:rFonts w:hint="default" w:ascii="仿宋" w:hAnsi="仿宋" w:eastAsia="仿宋" w:cstheme="minorBidi"/>
          <w:bCs/>
          <w:color w:val="000000" w:themeColor="text1"/>
          <w:kern w:val="24"/>
          <w:sz w:val="28"/>
          <w:szCs w:val="28"/>
          <w14:textFill>
            <w14:solidFill>
              <w14:schemeClr w14:val="tx1"/>
            </w14:solidFill>
          </w14:textFill>
        </w:rPr>
        <w:t xml:space="preserve">利益相关方的谈判 </w:t>
      </w:r>
    </w:p>
    <w:p>
      <w:pPr>
        <w:autoSpaceDE/>
        <w:autoSpaceDN/>
        <w:adjustRightInd/>
        <w:spacing w:line="320" w:lineRule="exact"/>
        <w:ind w:firstLine="560" w:firstLineChars="200"/>
        <w:jc w:val="both"/>
        <w:rPr>
          <w:rFonts w:hint="default" w:ascii="仿宋" w:hAnsi="仿宋" w:eastAsia="仿宋" w:cstheme="minorBidi"/>
          <w:bCs/>
          <w:color w:val="000000" w:themeColor="text1"/>
          <w:kern w:val="24"/>
          <w:sz w:val="28"/>
          <w:szCs w:val="28"/>
          <w14:textFill>
            <w14:solidFill>
              <w14:schemeClr w14:val="tx1"/>
            </w14:solidFill>
          </w14:textFill>
        </w:rPr>
      </w:pPr>
      <w:r>
        <w:rPr>
          <w:rFonts w:ascii="仿宋" w:hAnsi="仿宋" w:eastAsia="仿宋" w:cstheme="minorBidi"/>
          <w:bCs/>
          <w:color w:val="000000" w:themeColor="text1"/>
          <w:kern w:val="24"/>
          <w:sz w:val="28"/>
          <w:szCs w:val="28"/>
          <w14:textFill>
            <w14:solidFill>
              <w14:schemeClr w14:val="tx1"/>
            </w14:solidFill>
          </w14:textFill>
        </w:rPr>
        <w:t>6．</w:t>
      </w:r>
      <w:r>
        <w:rPr>
          <w:rFonts w:hint="default" w:ascii="仿宋" w:hAnsi="仿宋" w:eastAsia="仿宋" w:cstheme="minorBidi"/>
          <w:bCs/>
          <w:color w:val="000000" w:themeColor="text1"/>
          <w:kern w:val="24"/>
          <w:sz w:val="28"/>
          <w:szCs w:val="28"/>
          <w14:textFill>
            <w14:solidFill>
              <w14:schemeClr w14:val="tx1"/>
            </w14:solidFill>
          </w14:textFill>
        </w:rPr>
        <w:t>债转股后如何管理和退出</w:t>
      </w:r>
    </w:p>
    <w:p>
      <w:pPr>
        <w:autoSpaceDE/>
        <w:autoSpaceDN/>
        <w:adjustRightInd/>
        <w:spacing w:line="320" w:lineRule="exact"/>
        <w:ind w:firstLine="560" w:firstLineChars="200"/>
        <w:jc w:val="both"/>
        <w:rPr>
          <w:rFonts w:hint="default" w:ascii="仿宋" w:hAnsi="仿宋" w:eastAsia="仿宋" w:cstheme="minorBidi"/>
          <w:bCs/>
          <w:color w:val="000000" w:themeColor="text1"/>
          <w:kern w:val="24"/>
          <w:sz w:val="28"/>
          <w:szCs w:val="28"/>
          <w14:textFill>
            <w14:solidFill>
              <w14:schemeClr w14:val="tx1"/>
            </w14:solidFill>
          </w14:textFill>
        </w:rPr>
      </w:pPr>
      <w:r>
        <w:rPr>
          <w:rFonts w:ascii="仿宋" w:hAnsi="仿宋" w:eastAsia="仿宋" w:cstheme="minorBidi"/>
          <w:bCs/>
          <w:color w:val="000000" w:themeColor="text1"/>
          <w:kern w:val="24"/>
          <w:sz w:val="28"/>
          <w:szCs w:val="28"/>
          <w14:textFill>
            <w14:solidFill>
              <w14:schemeClr w14:val="tx1"/>
            </w14:solidFill>
          </w14:textFill>
        </w:rPr>
        <w:t>7．</w:t>
      </w:r>
      <w:r>
        <w:rPr>
          <w:rFonts w:hint="default" w:ascii="仿宋" w:hAnsi="仿宋" w:eastAsia="仿宋" w:cstheme="minorBidi"/>
          <w:bCs/>
          <w:color w:val="000000" w:themeColor="text1"/>
          <w:kern w:val="24"/>
          <w:sz w:val="28"/>
          <w:szCs w:val="28"/>
          <w14:textFill>
            <w14:solidFill>
              <w14:schemeClr w14:val="tx1"/>
            </w14:solidFill>
          </w14:textFill>
        </w:rPr>
        <w:t>后续资金的支持</w:t>
      </w:r>
    </w:p>
    <w:p>
      <w:pPr>
        <w:pStyle w:val="4"/>
        <w:spacing w:before="0" w:beforeAutospacing="0" w:after="0" w:afterAutospacing="0" w:line="320" w:lineRule="exact"/>
        <w:ind w:firstLine="560" w:firstLineChars="200"/>
        <w:textAlignment w:val="baseline"/>
        <w:rPr>
          <w:rFonts w:ascii="仿宋" w:hAnsi="仿宋" w:eastAsia="仿宋"/>
          <w:sz w:val="28"/>
          <w:szCs w:val="28"/>
        </w:rPr>
      </w:pPr>
      <w:r>
        <w:rPr>
          <w:rFonts w:hint="eastAsia" w:ascii="仿宋" w:hAnsi="仿宋" w:eastAsia="仿宋" w:cstheme="minorBidi"/>
          <w:bCs/>
          <w:kern w:val="24"/>
          <w:sz w:val="28"/>
          <w:szCs w:val="28"/>
        </w:rPr>
        <w:t>8．</w:t>
      </w:r>
      <w:r>
        <w:rPr>
          <w:rFonts w:hint="eastAsia" w:ascii="仿宋" w:hAnsi="仿宋" w:eastAsia="仿宋"/>
          <w:spacing w:val="8"/>
          <w:sz w:val="28"/>
          <w:szCs w:val="28"/>
        </w:rPr>
        <w:t>债转股业务的收益及风险分析</w:t>
      </w:r>
    </w:p>
    <w:p>
      <w:pPr>
        <w:pStyle w:val="4"/>
        <w:spacing w:before="0" w:beforeAutospacing="0" w:after="0" w:afterAutospacing="0" w:line="320" w:lineRule="exact"/>
        <w:ind w:firstLine="560" w:firstLineChars="200"/>
        <w:textAlignment w:val="baseline"/>
        <w:rPr>
          <w:rFonts w:ascii="仿宋" w:hAnsi="仿宋" w:eastAsia="仿宋" w:cstheme="minorBidi"/>
          <w:bCs/>
          <w:kern w:val="24"/>
          <w:sz w:val="28"/>
          <w:szCs w:val="28"/>
        </w:rPr>
      </w:pPr>
      <w:r>
        <w:rPr>
          <w:rFonts w:hint="eastAsia" w:ascii="仿宋" w:hAnsi="仿宋" w:eastAsia="仿宋" w:cstheme="minorBidi"/>
          <w:bCs/>
          <w:kern w:val="24"/>
          <w:sz w:val="28"/>
          <w:szCs w:val="28"/>
        </w:rPr>
        <w:t>9．银行主导的债转股及案例分析</w:t>
      </w:r>
    </w:p>
    <w:p>
      <w:pPr>
        <w:pStyle w:val="4"/>
        <w:spacing w:before="0" w:beforeAutospacing="0" w:after="0" w:afterAutospacing="0" w:line="320" w:lineRule="exact"/>
        <w:ind w:firstLine="560" w:firstLineChars="200"/>
        <w:textAlignment w:val="baseline"/>
        <w:rPr>
          <w:rFonts w:ascii="仿宋" w:hAnsi="仿宋" w:eastAsia="仿宋"/>
          <w:sz w:val="28"/>
          <w:szCs w:val="28"/>
        </w:rPr>
      </w:pPr>
      <w:r>
        <w:rPr>
          <w:rFonts w:hint="eastAsia" w:ascii="仿宋" w:hAnsi="仿宋" w:eastAsia="仿宋"/>
          <w:sz w:val="28"/>
          <w:szCs w:val="28"/>
        </w:rPr>
        <w:t>10．</w:t>
      </w:r>
      <w:r>
        <w:rPr>
          <w:rFonts w:hint="eastAsia" w:ascii="仿宋" w:hAnsi="仿宋" w:eastAsia="仿宋" w:cstheme="minorBidi"/>
          <w:bCs/>
          <w:kern w:val="24"/>
          <w:sz w:val="28"/>
          <w:szCs w:val="28"/>
        </w:rPr>
        <w:t>非银金融机构主导的债转股案例分析</w:t>
      </w:r>
    </w:p>
    <w:p>
      <w:pPr>
        <w:autoSpaceDE/>
        <w:autoSpaceDN/>
        <w:adjustRightInd/>
        <w:spacing w:line="320" w:lineRule="exact"/>
        <w:jc w:val="both"/>
        <w:rPr>
          <w:rFonts w:hint="default" w:ascii="仿宋" w:hAnsi="仿宋" w:eastAsia="仿宋" w:cs="仿宋"/>
          <w:b/>
          <w:kern w:val="2"/>
          <w:sz w:val="28"/>
          <w:szCs w:val="28"/>
        </w:rPr>
      </w:pPr>
      <w:r>
        <w:rPr>
          <w:rFonts w:ascii="仿宋" w:hAnsi="仿宋" w:eastAsia="仿宋" w:cs="仿宋"/>
          <w:b/>
          <w:kern w:val="2"/>
          <w:sz w:val="28"/>
          <w:szCs w:val="28"/>
        </w:rPr>
        <w:t>二、参加人员</w:t>
      </w:r>
    </w:p>
    <w:p>
      <w:pPr>
        <w:autoSpaceDE/>
        <w:autoSpaceDN/>
        <w:adjustRightInd/>
        <w:spacing w:line="32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中央及地方相关政府机构，国有企业高管、分管人力资源副总、人力资源总监、以及人力资源部(人事部)、综合部、劳资部、绩效/薪酬管理人员、劳动关系主管等人力资源管理相关人员，相关金融机构等。</w:t>
      </w:r>
    </w:p>
    <w:p>
      <w:pPr>
        <w:autoSpaceDE/>
        <w:autoSpaceDN/>
        <w:adjustRightInd/>
        <w:spacing w:line="320" w:lineRule="exact"/>
        <w:jc w:val="both"/>
        <w:rPr>
          <w:rFonts w:hint="default" w:ascii="仿宋" w:hAnsi="仿宋" w:eastAsia="仿宋" w:cs="仿宋"/>
          <w:bCs/>
          <w:kern w:val="2"/>
          <w:sz w:val="28"/>
          <w:szCs w:val="28"/>
        </w:rPr>
      </w:pPr>
      <w:r>
        <w:rPr>
          <w:rFonts w:ascii="仿宋" w:hAnsi="仿宋" w:eastAsia="仿宋" w:cs="仿宋"/>
          <w:b/>
          <w:kern w:val="2"/>
          <w:sz w:val="28"/>
          <w:szCs w:val="28"/>
        </w:rPr>
        <w:t xml:space="preserve">三、主讲专家  </w:t>
      </w:r>
      <w:r>
        <w:rPr>
          <w:rFonts w:ascii="仿宋" w:hAnsi="仿宋" w:eastAsia="仿宋" w:cs="仿宋"/>
          <w:bCs/>
          <w:kern w:val="2"/>
          <w:sz w:val="28"/>
          <w:szCs w:val="28"/>
        </w:rPr>
        <w:t xml:space="preserve">              </w:t>
      </w:r>
    </w:p>
    <w:p>
      <w:pPr>
        <w:autoSpaceDE/>
        <w:autoSpaceDN/>
        <w:adjustRightInd/>
        <w:spacing w:line="320" w:lineRule="exact"/>
        <w:ind w:firstLine="560" w:firstLineChars="200"/>
        <w:jc w:val="both"/>
        <w:rPr>
          <w:rFonts w:ascii="仿宋" w:hAnsi="仿宋" w:eastAsia="仿宋" w:cs="仿宋"/>
          <w:bCs/>
          <w:kern w:val="2"/>
          <w:sz w:val="28"/>
          <w:szCs w:val="28"/>
        </w:rPr>
      </w:pPr>
      <w:r>
        <w:rPr>
          <w:rFonts w:ascii="仿宋" w:hAnsi="仿宋" w:eastAsia="仿宋" w:cs="仿宋"/>
          <w:bCs/>
          <w:kern w:val="2"/>
          <w:sz w:val="28"/>
          <w:szCs w:val="28"/>
        </w:rPr>
        <w:t>拟邀请国务院国资委主管部门所属单位、 中国人事科学研究院、中国财政科学研究院等单位的领导专家授课, 并组织交流与研讨。</w:t>
      </w:r>
    </w:p>
    <w:p>
      <w:pPr>
        <w:numPr>
          <w:ilvl w:val="0"/>
          <w:numId w:val="1"/>
        </w:numPr>
        <w:autoSpaceDE/>
        <w:autoSpaceDN/>
        <w:adjustRightInd/>
        <w:spacing w:line="400" w:lineRule="exact"/>
        <w:jc w:val="both"/>
        <w:rPr>
          <w:rFonts w:hint="default" w:ascii="仿宋" w:hAnsi="仿宋" w:eastAsia="仿宋" w:cs="仿宋"/>
          <w:b/>
          <w:kern w:val="2"/>
          <w:sz w:val="28"/>
          <w:szCs w:val="28"/>
        </w:rPr>
      </w:pPr>
      <w:r>
        <w:rPr>
          <w:rFonts w:ascii="仿宋" w:hAnsi="仿宋" w:eastAsia="仿宋" w:cs="仿宋"/>
          <w:b/>
          <w:kern w:val="2"/>
          <w:sz w:val="28"/>
          <w:szCs w:val="28"/>
        </w:rPr>
        <w:t>培训时间及地点</w:t>
      </w:r>
    </w:p>
    <w:p>
      <w:pPr>
        <w:autoSpaceDE/>
        <w:autoSpaceDN/>
        <w:adjustRightInd/>
        <w:spacing w:line="400" w:lineRule="exact"/>
        <w:ind w:firstLine="560" w:firstLineChars="200"/>
        <w:jc w:val="both"/>
        <w:rPr>
          <w:rFonts w:hint="eastAsia" w:ascii="仿宋" w:hAnsi="仿宋" w:eastAsia="仿宋" w:cs="仿宋"/>
          <w:bCs/>
          <w:kern w:val="2"/>
          <w:sz w:val="28"/>
          <w:szCs w:val="28"/>
          <w:lang w:eastAsia="zh-CN"/>
        </w:rPr>
      </w:pPr>
      <w:r>
        <w:rPr>
          <w:rFonts w:hint="default" w:ascii="仿宋" w:hAnsi="仿宋" w:eastAsia="仿宋" w:cs="仿宋"/>
          <w:bCs/>
          <w:kern w:val="2"/>
          <w:sz w:val="28"/>
          <w:szCs w:val="28"/>
        </w:rPr>
        <w:t>2019年03月28日—4月01日（28日全天报到）</w:t>
      </w:r>
      <w:r>
        <w:rPr>
          <w:rFonts w:hint="eastAsia" w:ascii="仿宋" w:hAnsi="仿宋" w:eastAsia="仿宋" w:cs="仿宋"/>
          <w:bCs/>
          <w:kern w:val="2"/>
          <w:sz w:val="28"/>
          <w:szCs w:val="28"/>
          <w:lang w:eastAsia="zh-CN"/>
        </w:rPr>
        <w:t>成都市</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2019年04月19日—4月23日（19日全天报到）长沙市</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2019年05月09日—5月13日（09日全天报到）厦门市</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2019年05月24日—5月28日（24日全天报到）贵阳市</w:t>
      </w:r>
    </w:p>
    <w:p>
      <w:pPr>
        <w:widowControl/>
        <w:spacing w:line="300" w:lineRule="exact"/>
        <w:rPr>
          <w:rFonts w:hint="eastAsia" w:ascii="仿宋" w:hAnsi="仿宋" w:eastAsia="仿宋" w:cs="宋体"/>
          <w:b/>
          <w:color w:val="000000"/>
          <w:sz w:val="28"/>
          <w:szCs w:val="28"/>
        </w:rPr>
      </w:pPr>
      <w:r>
        <w:rPr>
          <w:rFonts w:hint="eastAsia" w:ascii="仿宋" w:hAnsi="仿宋" w:eastAsia="仿宋" w:cs="宋体"/>
          <w:b/>
          <w:color w:val="000000"/>
          <w:sz w:val="28"/>
          <w:szCs w:val="28"/>
        </w:rPr>
        <w:t>五、收费标准（A/B请选择）</w:t>
      </w:r>
    </w:p>
    <w:p>
      <w:pPr>
        <w:widowControl/>
        <w:spacing w:line="300" w:lineRule="exact"/>
        <w:ind w:firstLine="560"/>
        <w:rPr>
          <w:rFonts w:ascii="仿宋" w:hAnsi="仿宋" w:eastAsia="仿宋" w:cs="宋体"/>
          <w:color w:val="000000"/>
          <w:sz w:val="28"/>
          <w:szCs w:val="28"/>
        </w:rPr>
      </w:pPr>
      <w:r>
        <w:rPr>
          <w:rFonts w:hint="eastAsia" w:ascii="仿宋" w:hAnsi="仿宋" w:eastAsia="仿宋" w:cs="宋体"/>
          <w:color w:val="000000"/>
          <w:sz w:val="28"/>
          <w:szCs w:val="28"/>
        </w:rPr>
        <w:t>A：2800元/人（含培训、资料、电子课件、场地、专家等），食宿统一安排，费用自理。</w:t>
      </w:r>
    </w:p>
    <w:p>
      <w:pPr>
        <w:numPr>
          <w:ilvl w:val="0"/>
          <w:numId w:val="0"/>
        </w:numPr>
        <w:autoSpaceDE/>
        <w:autoSpaceDN/>
        <w:adjustRightInd/>
        <w:spacing w:line="400" w:lineRule="exact"/>
        <w:jc w:val="both"/>
        <w:rPr>
          <w:rFonts w:hint="default" w:ascii="仿宋" w:hAnsi="仿宋" w:eastAsia="仿宋" w:cs="仿宋"/>
          <w:b/>
          <w:kern w:val="2"/>
          <w:sz w:val="28"/>
          <w:szCs w:val="28"/>
        </w:rPr>
      </w:pPr>
      <w:r>
        <w:rPr>
          <w:rFonts w:hint="eastAsia" w:ascii="仿宋" w:hAnsi="仿宋" w:eastAsia="仿宋" w:cs="仿宋"/>
          <w:b/>
          <w:kern w:val="2"/>
          <w:sz w:val="28"/>
          <w:szCs w:val="28"/>
          <w:lang w:eastAsia="zh-CN"/>
        </w:rPr>
        <w:t>六、</w:t>
      </w:r>
      <w:r>
        <w:rPr>
          <w:rFonts w:ascii="仿宋" w:hAnsi="仿宋" w:eastAsia="仿宋" w:cs="仿宋"/>
          <w:b/>
          <w:kern w:val="2"/>
          <w:sz w:val="28"/>
          <w:szCs w:val="28"/>
        </w:rPr>
        <w:t>报名方式</w:t>
      </w:r>
    </w:p>
    <w:p>
      <w:pPr>
        <w:autoSpaceDE/>
        <w:autoSpaceDN/>
        <w:adjustRightInd/>
        <w:spacing w:line="40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请参加人员按要求认真填写报名表（附后），传真至会务组，我们将按报名先后传发报到通知。</w:t>
      </w:r>
    </w:p>
    <w:p>
      <w:pPr>
        <w:autoSpaceDE/>
        <w:autoSpaceDN/>
        <w:adjustRightInd/>
        <w:spacing w:line="40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报名联系人：聂主任 18211071700（微信）        邮  箱：zqgphwz@126.com</w:t>
      </w:r>
    </w:p>
    <w:p>
      <w:pPr>
        <w:autoSpaceDE/>
        <w:autoSpaceDN/>
        <w:adjustRightInd/>
        <w:spacing w:line="40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电话（传真）：010-87697580                  qq咨询：3177524020   </w:t>
      </w:r>
    </w:p>
    <w:p>
      <w:pPr>
        <w:autoSpaceDE/>
        <w:autoSpaceDN/>
        <w:adjustRightInd/>
        <w:spacing w:line="40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网址查询：http://www.zqgpchina.cn/  </w:t>
      </w:r>
    </w:p>
    <w:p>
      <w:pPr>
        <w:autoSpaceDE/>
        <w:autoSpaceDN/>
        <w:adjustRightInd/>
        <w:spacing w:line="320" w:lineRule="exact"/>
        <w:jc w:val="center"/>
        <w:rPr>
          <w:rFonts w:ascii="仿宋_GB2312" w:hAnsi="Times New Roman" w:eastAsia="仿宋_GB2312"/>
          <w:kern w:val="2"/>
          <w:sz w:val="28"/>
          <w:szCs w:val="28"/>
        </w:rPr>
      </w:pPr>
      <w:r>
        <w:rPr>
          <w:rFonts w:ascii="仿宋" w:hAnsi="仿宋" w:eastAsia="仿宋" w:cs="仿宋"/>
          <w:bCs/>
          <w:kern w:val="2"/>
          <w:sz w:val="28"/>
          <w:szCs w:val="28"/>
        </w:rPr>
        <w:drawing>
          <wp:anchor distT="0" distB="0" distL="114300" distR="114300" simplePos="0" relativeHeight="251664384" behindDoc="1" locked="0" layoutInCell="1" allowOverlap="1">
            <wp:simplePos x="0" y="0"/>
            <wp:positionH relativeFrom="column">
              <wp:posOffset>3717925</wp:posOffset>
            </wp:positionH>
            <wp:positionV relativeFrom="paragraph">
              <wp:posOffset>20955</wp:posOffset>
            </wp:positionV>
            <wp:extent cx="1656080" cy="1569085"/>
            <wp:effectExtent l="0" t="0" r="1270" b="12065"/>
            <wp:wrapNone/>
            <wp:docPr id="5" name="图片 4" descr="微信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
                    <pic:cNvPicPr>
                      <a:picLocks noChangeAspect="1"/>
                    </pic:cNvPicPr>
                  </pic:nvPicPr>
                  <pic:blipFill>
                    <a:blip r:embed="rId4"/>
                    <a:stretch>
                      <a:fillRect/>
                    </a:stretch>
                  </pic:blipFill>
                  <pic:spPr>
                    <a:xfrm>
                      <a:off x="0" y="0"/>
                      <a:ext cx="1656080" cy="1569085"/>
                    </a:xfrm>
                    <a:prstGeom prst="rect">
                      <a:avLst/>
                    </a:prstGeom>
                    <a:noFill/>
                    <a:ln w="9525">
                      <a:noFill/>
                    </a:ln>
                  </pic:spPr>
                </pic:pic>
              </a:graphicData>
            </a:graphic>
          </wp:anchor>
        </w:drawing>
      </w:r>
    </w:p>
    <w:p>
      <w:pPr>
        <w:autoSpaceDE/>
        <w:autoSpaceDN/>
        <w:adjustRightInd/>
        <w:spacing w:line="320" w:lineRule="exact"/>
        <w:jc w:val="center"/>
        <w:rPr>
          <w:rFonts w:ascii="仿宋_GB2312" w:hAnsi="Times New Roman" w:eastAsia="仿宋_GB2312"/>
          <w:kern w:val="2"/>
          <w:sz w:val="28"/>
          <w:szCs w:val="28"/>
        </w:rPr>
      </w:pPr>
      <w:r>
        <w:rPr>
          <w:rFonts w:ascii="仿宋" w:hAnsi="仿宋" w:eastAsia="仿宋" w:cs="仿宋"/>
          <w:bCs/>
          <w:kern w:val="2"/>
          <w:sz w:val="28"/>
          <w:szCs w:val="28"/>
        </w:rPr>
        <w:drawing>
          <wp:anchor distT="0" distB="0" distL="114300" distR="114300" simplePos="0" relativeHeight="251663360" behindDoc="1" locked="0" layoutInCell="1" allowOverlap="1">
            <wp:simplePos x="0" y="0"/>
            <wp:positionH relativeFrom="column">
              <wp:posOffset>4479925</wp:posOffset>
            </wp:positionH>
            <wp:positionV relativeFrom="paragraph">
              <wp:posOffset>7894955</wp:posOffset>
            </wp:positionV>
            <wp:extent cx="1656080" cy="1569085"/>
            <wp:effectExtent l="0" t="0" r="1270" b="12065"/>
            <wp:wrapNone/>
            <wp:docPr id="4" name="图片 3" descr="微信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
                    <pic:cNvPicPr>
                      <a:picLocks noChangeAspect="1"/>
                    </pic:cNvPicPr>
                  </pic:nvPicPr>
                  <pic:blipFill>
                    <a:blip r:embed="rId4"/>
                    <a:stretch>
                      <a:fillRect/>
                    </a:stretch>
                  </pic:blipFill>
                  <pic:spPr>
                    <a:xfrm>
                      <a:off x="0" y="0"/>
                      <a:ext cx="1656080" cy="1569085"/>
                    </a:xfrm>
                    <a:prstGeom prst="rect">
                      <a:avLst/>
                    </a:prstGeom>
                    <a:noFill/>
                    <a:ln w="9525">
                      <a:noFill/>
                    </a:ln>
                  </pic:spPr>
                </pic:pic>
              </a:graphicData>
            </a:graphic>
          </wp:anchor>
        </w:drawing>
      </w:r>
      <w:r>
        <w:rPr>
          <w:rFonts w:ascii="仿宋" w:hAnsi="仿宋" w:eastAsia="仿宋" w:cs="仿宋"/>
          <w:bCs/>
          <w:kern w:val="2"/>
          <w:sz w:val="28"/>
          <w:szCs w:val="28"/>
        </w:rPr>
        <w:drawing>
          <wp:anchor distT="0" distB="0" distL="114300" distR="114300" simplePos="0" relativeHeight="251662336" behindDoc="1" locked="0" layoutInCell="1" allowOverlap="1">
            <wp:simplePos x="0" y="0"/>
            <wp:positionH relativeFrom="column">
              <wp:posOffset>4479925</wp:posOffset>
            </wp:positionH>
            <wp:positionV relativeFrom="paragraph">
              <wp:posOffset>7828280</wp:posOffset>
            </wp:positionV>
            <wp:extent cx="1656080" cy="1569085"/>
            <wp:effectExtent l="0" t="0" r="1270" b="12065"/>
            <wp:wrapNone/>
            <wp:docPr id="1" name="图片 2" descr="微信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
                    <pic:cNvPicPr>
                      <a:picLocks noChangeAspect="1"/>
                    </pic:cNvPicPr>
                  </pic:nvPicPr>
                  <pic:blipFill>
                    <a:blip r:embed="rId4"/>
                    <a:stretch>
                      <a:fillRect/>
                    </a:stretch>
                  </pic:blipFill>
                  <pic:spPr>
                    <a:xfrm>
                      <a:off x="0" y="0"/>
                      <a:ext cx="1656080" cy="1569085"/>
                    </a:xfrm>
                    <a:prstGeom prst="rect">
                      <a:avLst/>
                    </a:prstGeom>
                    <a:noFill/>
                    <a:ln w="9525">
                      <a:noFill/>
                    </a:ln>
                  </pic:spPr>
                </pic:pic>
              </a:graphicData>
            </a:graphic>
          </wp:anchor>
        </w:drawing>
      </w:r>
    </w:p>
    <w:p>
      <w:pPr>
        <w:autoSpaceDE/>
        <w:autoSpaceDN/>
        <w:adjustRightInd/>
        <w:spacing w:line="320" w:lineRule="exact"/>
        <w:jc w:val="center"/>
        <w:rPr>
          <w:rFonts w:hint="default" w:ascii="仿宋_GB2312" w:hAnsi="Times New Roman" w:eastAsia="仿宋_GB2312"/>
          <w:kern w:val="2"/>
          <w:sz w:val="28"/>
          <w:szCs w:val="28"/>
        </w:rPr>
      </w:pPr>
      <w:r>
        <w:rPr>
          <w:rFonts w:ascii="仿宋_GB2312" w:hAnsi="Times New Roman" w:eastAsia="仿宋_GB2312"/>
          <w:kern w:val="2"/>
          <w:sz w:val="28"/>
          <w:szCs w:val="28"/>
        </w:rPr>
        <w:t xml:space="preserve">                                中国经济体制改革研究会</w:t>
      </w:r>
    </w:p>
    <w:p>
      <w:pPr>
        <w:autoSpaceDE/>
        <w:autoSpaceDN/>
        <w:adjustRightInd/>
        <w:spacing w:line="320" w:lineRule="exact"/>
        <w:jc w:val="center"/>
        <w:rPr>
          <w:rFonts w:ascii="仿宋_GB2312" w:hAnsi="Times New Roman" w:eastAsia="仿宋_GB2312"/>
          <w:kern w:val="2"/>
          <w:sz w:val="28"/>
          <w:szCs w:val="28"/>
        </w:rPr>
      </w:pPr>
      <w:r>
        <w:rPr>
          <w:rFonts w:ascii="仿宋_GB2312" w:hAnsi="Times New Roman" w:eastAsia="仿宋_GB2312"/>
          <w:kern w:val="2"/>
          <w:sz w:val="28"/>
          <w:szCs w:val="28"/>
        </w:rPr>
        <w:t xml:space="preserve">                                 产业改革与企业发展委员会</w:t>
      </w:r>
    </w:p>
    <w:p>
      <w:pPr>
        <w:autoSpaceDE/>
        <w:autoSpaceDN/>
        <w:adjustRightInd/>
        <w:spacing w:line="320" w:lineRule="exact"/>
        <w:jc w:val="center"/>
        <w:rPr>
          <w:rFonts w:ascii="仿宋_GB2312" w:hAnsi="Times New Roman" w:eastAsia="仿宋_GB2312"/>
          <w:kern w:val="2"/>
          <w:sz w:val="28"/>
          <w:szCs w:val="28"/>
        </w:rPr>
      </w:pPr>
      <w:r>
        <w:rPr>
          <w:rFonts w:ascii="仿宋_GB2312" w:hAnsi="Times New Roman" w:eastAsia="仿宋_GB2312"/>
          <w:kern w:val="2"/>
          <w:sz w:val="28"/>
          <w:szCs w:val="28"/>
        </w:rPr>
        <w:t xml:space="preserve">                                   二零一九年一月八日</w:t>
      </w:r>
    </w:p>
    <w:p>
      <w:pPr>
        <w:autoSpaceDE/>
        <w:autoSpaceDN/>
        <w:adjustRightInd/>
        <w:spacing w:line="320" w:lineRule="exact"/>
        <w:jc w:val="center"/>
        <w:rPr>
          <w:rFonts w:ascii="仿宋_GB2312" w:hAnsi="Times New Roman" w:eastAsia="仿宋_GB2312"/>
          <w:kern w:val="2"/>
          <w:sz w:val="28"/>
          <w:szCs w:val="28"/>
        </w:rPr>
      </w:pPr>
    </w:p>
    <w:p>
      <w:pPr>
        <w:autoSpaceDE/>
        <w:autoSpaceDN/>
        <w:adjustRightInd/>
        <w:spacing w:line="320" w:lineRule="exact"/>
        <w:jc w:val="center"/>
        <w:rPr>
          <w:rFonts w:ascii="仿宋_GB2312" w:hAnsi="Times New Roman" w:eastAsia="仿宋_GB2312"/>
          <w:kern w:val="2"/>
          <w:sz w:val="28"/>
          <w:szCs w:val="28"/>
        </w:rPr>
      </w:pPr>
    </w:p>
    <w:p>
      <w:pPr>
        <w:autoSpaceDE/>
        <w:autoSpaceDN/>
        <w:adjustRightInd/>
        <w:spacing w:line="320" w:lineRule="exact"/>
        <w:jc w:val="center"/>
        <w:rPr>
          <w:rFonts w:ascii="仿宋_GB2312" w:hAnsi="Times New Roman" w:eastAsia="仿宋_GB2312"/>
          <w:kern w:val="2"/>
          <w:sz w:val="28"/>
          <w:szCs w:val="28"/>
        </w:rPr>
      </w:pPr>
    </w:p>
    <w:p>
      <w:pPr>
        <w:autoSpaceDE/>
        <w:autoSpaceDN/>
        <w:adjustRightInd/>
        <w:spacing w:line="320" w:lineRule="exact"/>
        <w:jc w:val="center"/>
        <w:rPr>
          <w:rFonts w:ascii="仿宋_GB2312" w:hAnsi="Times New Roman" w:eastAsia="仿宋_GB2312"/>
          <w:kern w:val="2"/>
          <w:sz w:val="28"/>
          <w:szCs w:val="28"/>
        </w:rPr>
      </w:pPr>
    </w:p>
    <w:p>
      <w:pPr>
        <w:autoSpaceDE/>
        <w:autoSpaceDN/>
        <w:adjustRightInd/>
        <w:spacing w:line="320" w:lineRule="exact"/>
        <w:jc w:val="center"/>
        <w:rPr>
          <w:rFonts w:ascii="仿宋_GB2312" w:hAnsi="Times New Roman" w:eastAsia="仿宋_GB2312"/>
          <w:kern w:val="2"/>
          <w:sz w:val="28"/>
          <w:szCs w:val="28"/>
        </w:rPr>
      </w:pPr>
    </w:p>
    <w:p>
      <w:pPr>
        <w:autoSpaceDE/>
        <w:autoSpaceDN/>
        <w:adjustRightInd/>
        <w:spacing w:line="320" w:lineRule="exact"/>
        <w:rPr>
          <w:rFonts w:ascii="仿宋_GB2312" w:hAnsi="Times New Roman" w:eastAsia="仿宋_GB2312"/>
          <w:kern w:val="2"/>
          <w:sz w:val="28"/>
          <w:szCs w:val="28"/>
        </w:rPr>
      </w:pPr>
      <w:r>
        <w:rPr>
          <w:rFonts w:ascii="仿宋_GB2312" w:hAnsi="Times New Roman" w:eastAsia="仿宋_GB2312"/>
          <w:kern w:val="2"/>
          <w:sz w:val="28"/>
          <w:szCs w:val="28"/>
        </w:rPr>
        <w:t>附件：</w:t>
      </w:r>
    </w:p>
    <w:p>
      <w:pPr>
        <w:autoSpaceDE/>
        <w:autoSpaceDN/>
        <w:adjustRightInd/>
        <w:spacing w:line="320" w:lineRule="exact"/>
        <w:jc w:val="center"/>
        <w:rPr>
          <w:rFonts w:hint="default" w:ascii="仿宋_GB2312" w:hAnsi="Times New Roman" w:eastAsia="仿宋_GB2312"/>
          <w:kern w:val="2"/>
          <w:sz w:val="28"/>
          <w:szCs w:val="28"/>
        </w:rPr>
      </w:pPr>
      <w:r>
        <w:rPr>
          <w:rFonts w:ascii="仿宋_GB2312" w:hAnsi="Times New Roman" w:eastAsia="仿宋_GB2312"/>
          <w:kern w:val="2"/>
          <w:sz w:val="28"/>
          <w:szCs w:val="28"/>
        </w:rPr>
        <w:t>国有企业混合所有制改革、债转股与《关于改革国有企业工资决定机制的意见》解析及国企薪酬绩效改革要点专题培训班报名回执表</w:t>
      </w:r>
    </w:p>
    <w:tbl>
      <w:tblPr>
        <w:tblStyle w:val="7"/>
        <w:tblpPr w:leftFromText="180" w:rightFromText="180" w:vertAnchor="page" w:horzAnchor="margin" w:tblpY="265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269"/>
        <w:gridCol w:w="418"/>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单位名称</w:t>
            </w:r>
          </w:p>
        </w:tc>
        <w:tc>
          <w:tcPr>
            <w:tcW w:w="4959" w:type="dxa"/>
            <w:gridSpan w:val="6"/>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p>
        </w:tc>
        <w:tc>
          <w:tcPr>
            <w:tcW w:w="850"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邮编</w:t>
            </w:r>
          </w:p>
        </w:tc>
        <w:tc>
          <w:tcPr>
            <w:tcW w:w="2275" w:type="dxa"/>
            <w:gridSpan w:val="2"/>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单位地址</w:t>
            </w:r>
          </w:p>
        </w:tc>
        <w:tc>
          <w:tcPr>
            <w:tcW w:w="8084" w:type="dxa"/>
            <w:gridSpan w:val="10"/>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联系人</w:t>
            </w:r>
          </w:p>
        </w:tc>
        <w:tc>
          <w:tcPr>
            <w:tcW w:w="2131" w:type="dxa"/>
            <w:gridSpan w:val="2"/>
            <w:vAlign w:val="center"/>
          </w:tcPr>
          <w:p>
            <w:pPr>
              <w:autoSpaceDE/>
              <w:autoSpaceDN/>
              <w:adjustRightInd/>
              <w:spacing w:line="360" w:lineRule="exact"/>
              <w:ind w:right="-168" w:rightChars="-70" w:firstLine="960"/>
              <w:jc w:val="both"/>
              <w:rPr>
                <w:rFonts w:hint="default" w:ascii="仿宋_GB2312" w:hAnsi="Times New Roman" w:eastAsia="仿宋_GB2312"/>
                <w:kern w:val="2"/>
                <w:szCs w:val="22"/>
              </w:rPr>
            </w:pPr>
          </w:p>
        </w:tc>
        <w:tc>
          <w:tcPr>
            <w:tcW w:w="2410"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职位/岗位</w:t>
            </w:r>
          </w:p>
        </w:tc>
        <w:tc>
          <w:tcPr>
            <w:tcW w:w="3543" w:type="dxa"/>
            <w:gridSpan w:val="5"/>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办公电话</w:t>
            </w:r>
          </w:p>
        </w:tc>
        <w:tc>
          <w:tcPr>
            <w:tcW w:w="2131"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410"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    机</w:t>
            </w:r>
          </w:p>
        </w:tc>
        <w:tc>
          <w:tcPr>
            <w:tcW w:w="3543" w:type="dxa"/>
            <w:gridSpan w:val="5"/>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传   真</w:t>
            </w:r>
          </w:p>
        </w:tc>
        <w:tc>
          <w:tcPr>
            <w:tcW w:w="2131"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410" w:type="dxa"/>
            <w:gridSpan w:val="3"/>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电子信箱</w:t>
            </w:r>
          </w:p>
        </w:tc>
        <w:tc>
          <w:tcPr>
            <w:tcW w:w="3543" w:type="dxa"/>
            <w:gridSpan w:val="5"/>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参加培训人员</w:t>
            </w:r>
          </w:p>
        </w:tc>
        <w:tc>
          <w:tcPr>
            <w:tcW w:w="849"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性别</w:t>
            </w:r>
          </w:p>
        </w:tc>
        <w:tc>
          <w:tcPr>
            <w:tcW w:w="1282"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职务</w:t>
            </w:r>
          </w:p>
        </w:tc>
        <w:tc>
          <w:tcPr>
            <w:tcW w:w="198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电话</w:t>
            </w:r>
          </w:p>
        </w:tc>
        <w:tc>
          <w:tcPr>
            <w:tcW w:w="1985" w:type="dxa"/>
            <w:gridSpan w:val="6"/>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手机</w:t>
            </w:r>
          </w:p>
        </w:tc>
        <w:tc>
          <w:tcPr>
            <w:tcW w:w="198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是否住宿</w:t>
            </w:r>
          </w:p>
        </w:tc>
        <w:tc>
          <w:tcPr>
            <w:tcW w:w="2131" w:type="dxa"/>
            <w:gridSpan w:val="2"/>
            <w:vAlign w:val="center"/>
          </w:tcPr>
          <w:p>
            <w:pPr>
              <w:widowControl/>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□是     □否</w:t>
            </w:r>
          </w:p>
        </w:tc>
        <w:tc>
          <w:tcPr>
            <w:tcW w:w="1984" w:type="dxa"/>
            <w:vAlign w:val="center"/>
          </w:tcPr>
          <w:p>
            <w:pPr>
              <w:widowControl/>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住宿标准</w:t>
            </w:r>
          </w:p>
        </w:tc>
        <w:tc>
          <w:tcPr>
            <w:tcW w:w="3969" w:type="dxa"/>
            <w:gridSpan w:val="7"/>
          </w:tcPr>
          <w:p>
            <w:pPr>
              <w:widowControl/>
              <w:autoSpaceDE/>
              <w:autoSpaceDN/>
              <w:adjustRightInd/>
              <w:spacing w:line="360" w:lineRule="exact"/>
              <w:ind w:right="-168" w:rightChars="-70"/>
              <w:jc w:val="both"/>
              <w:rPr>
                <w:rFonts w:hint="default" w:ascii="Times New Roman" w:hAnsi="Times New Roman"/>
                <w:kern w:val="2"/>
                <w:sz w:val="21"/>
                <w:szCs w:val="22"/>
              </w:rPr>
            </w:pPr>
            <w:r>
              <w:rPr>
                <w:rFonts w:ascii="仿宋_GB2312" w:hAnsi="Times New Roman" w:eastAsia="仿宋_GB2312"/>
                <w:kern w:val="2"/>
                <w:szCs w:val="22"/>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参会地点</w:t>
            </w:r>
          </w:p>
        </w:tc>
        <w:tc>
          <w:tcPr>
            <w:tcW w:w="8084" w:type="dxa"/>
            <w:gridSpan w:val="10"/>
            <w:vAlign w:val="center"/>
          </w:tcPr>
          <w:p>
            <w:pPr>
              <w:autoSpaceDE/>
              <w:autoSpaceDN/>
              <w:adjustRightInd/>
              <w:spacing w:line="360" w:lineRule="exact"/>
              <w:ind w:right="-168" w:rightChars="-70" w:firstLine="2520" w:firstLineChars="1050"/>
              <w:jc w:val="both"/>
              <w:rPr>
                <w:rFonts w:hint="default" w:ascii="仿宋_GB2312" w:hAnsi="Times New Roman" w:eastAsia="仿宋_GB2312"/>
                <w:color w:val="FF0000"/>
                <w:kern w:val="2"/>
                <w:szCs w:val="22"/>
              </w:rPr>
            </w:pPr>
            <w:r>
              <w:rPr>
                <w:rFonts w:ascii="仿宋_GB2312" w:hAnsi="Times New Roman" w:eastAsia="仿宋_GB2312"/>
                <w:color w:val="000000"/>
                <w:kern w:val="2"/>
                <w:szCs w:val="22"/>
              </w:rPr>
              <w:t>昆明□  长沙□  厦门□   贵阳□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663" w:type="dxa"/>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b/>
                <w:bCs/>
                <w:kern w:val="2"/>
                <w:szCs w:val="22"/>
              </w:rPr>
              <w:t>付款方式</w:t>
            </w:r>
          </w:p>
        </w:tc>
        <w:tc>
          <w:tcPr>
            <w:tcW w:w="4272" w:type="dxa"/>
            <w:gridSpan w:val="4"/>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 xml:space="preserve">□通过银行     □通过网银 </w:t>
            </w:r>
          </w:p>
        </w:tc>
        <w:tc>
          <w:tcPr>
            <w:tcW w:w="996" w:type="dxa"/>
            <w:gridSpan w:val="3"/>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金额</w:t>
            </w:r>
          </w:p>
        </w:tc>
        <w:tc>
          <w:tcPr>
            <w:tcW w:w="2816" w:type="dxa"/>
            <w:gridSpan w:val="3"/>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663" w:type="dxa"/>
          </w:tcPr>
          <w:p>
            <w:pPr>
              <w:autoSpaceDE/>
              <w:autoSpaceDN/>
              <w:adjustRightInd/>
              <w:spacing w:line="360" w:lineRule="exact"/>
              <w:ind w:right="-168" w:rightChars="-70"/>
              <w:jc w:val="both"/>
              <w:rPr>
                <w:rFonts w:hint="default" w:ascii="仿宋_GB2312" w:hAnsi="Times New Roman" w:eastAsia="仿宋_GB2312"/>
                <w:b/>
                <w:bCs/>
                <w:kern w:val="2"/>
                <w:szCs w:val="22"/>
              </w:rPr>
            </w:pPr>
            <w:r>
              <w:rPr>
                <w:rFonts w:ascii="仿宋_GB2312" w:hAnsi="Times New Roman" w:eastAsia="仿宋_GB2312"/>
                <w:b/>
                <w:bCs/>
                <w:kern w:val="2"/>
                <w:szCs w:val="22"/>
              </w:rPr>
              <w:t>需要与专家</w:t>
            </w:r>
          </w:p>
          <w:p>
            <w:pPr>
              <w:autoSpaceDE/>
              <w:autoSpaceDN/>
              <w:adjustRightInd/>
              <w:spacing w:line="360" w:lineRule="exact"/>
              <w:ind w:right="-168" w:rightChars="-70"/>
              <w:jc w:val="both"/>
              <w:rPr>
                <w:rFonts w:hint="default" w:ascii="仿宋_GB2312" w:hAnsi="Times New Roman" w:eastAsia="仿宋_GB2312"/>
                <w:b/>
                <w:bCs/>
                <w:kern w:val="2"/>
                <w:szCs w:val="22"/>
              </w:rPr>
            </w:pPr>
            <w:r>
              <w:rPr>
                <w:rFonts w:ascii="仿宋_GB2312" w:hAnsi="Times New Roman" w:eastAsia="仿宋_GB2312"/>
                <w:b/>
                <w:bCs/>
                <w:kern w:val="2"/>
                <w:szCs w:val="22"/>
              </w:rPr>
              <w:t>沟通的问题</w:t>
            </w:r>
          </w:p>
        </w:tc>
        <w:tc>
          <w:tcPr>
            <w:tcW w:w="8084" w:type="dxa"/>
            <w:gridSpan w:val="10"/>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b/>
                <w:bCs/>
                <w:kern w:val="2"/>
                <w:szCs w:val="22"/>
              </w:rPr>
              <w:t>指定收款帐户</w:t>
            </w:r>
          </w:p>
        </w:tc>
        <w:tc>
          <w:tcPr>
            <w:tcW w:w="8084" w:type="dxa"/>
            <w:gridSpan w:val="10"/>
            <w:vAlign w:val="center"/>
          </w:tcPr>
          <w:p>
            <w:pPr>
              <w:autoSpaceDE/>
              <w:autoSpaceDN/>
              <w:adjustRightInd/>
              <w:spacing w:line="340" w:lineRule="exact"/>
              <w:jc w:val="both"/>
              <w:rPr>
                <w:rFonts w:hint="default" w:ascii="仿宋_GB2312" w:hAnsi="Times New Roman" w:eastAsia="仿宋_GB2312"/>
                <w:b/>
                <w:bCs/>
                <w:kern w:val="2"/>
                <w:sz w:val="28"/>
                <w:szCs w:val="28"/>
              </w:rPr>
            </w:pPr>
            <w:r>
              <w:rPr>
                <w:rFonts w:ascii="仿宋_GB2312" w:hAnsi="Times New Roman" w:eastAsia="仿宋_GB2312"/>
                <w:b/>
                <w:bCs/>
                <w:kern w:val="2"/>
                <w:sz w:val="28"/>
                <w:szCs w:val="28"/>
              </w:rPr>
              <w:t>单位全称</w:t>
            </w:r>
            <w:r>
              <w:rPr>
                <w:rFonts w:hint="default" w:ascii="仿宋_GB2312" w:hAnsi="Times New Roman" w:eastAsia="仿宋_GB2312"/>
                <w:b/>
                <w:bCs/>
                <w:kern w:val="2"/>
                <w:sz w:val="28"/>
                <w:szCs w:val="28"/>
              </w:rPr>
              <w:t xml:space="preserve">: 北京中企海德信息咨询中心 </w:t>
            </w:r>
          </w:p>
          <w:p>
            <w:pPr>
              <w:autoSpaceDE/>
              <w:autoSpaceDN/>
              <w:adjustRightInd/>
              <w:spacing w:line="340" w:lineRule="exact"/>
              <w:jc w:val="both"/>
              <w:rPr>
                <w:rFonts w:hint="default" w:ascii="仿宋_GB2312" w:hAnsi="Times New Roman" w:eastAsia="仿宋_GB2312"/>
                <w:b/>
                <w:bCs/>
                <w:kern w:val="2"/>
                <w:sz w:val="28"/>
                <w:szCs w:val="28"/>
              </w:rPr>
            </w:pPr>
            <w:r>
              <w:rPr>
                <w:rFonts w:hint="default" w:ascii="仿宋_GB2312" w:hAnsi="Times New Roman" w:eastAsia="仿宋_GB2312"/>
                <w:b/>
                <w:bCs/>
                <w:kern w:val="2"/>
                <w:sz w:val="28"/>
                <w:szCs w:val="28"/>
              </w:rPr>
              <w:t>开户行</w:t>
            </w:r>
            <w:r>
              <w:rPr>
                <w:rFonts w:ascii="仿宋_GB2312" w:hAnsi="Times New Roman" w:eastAsia="仿宋_GB2312"/>
                <w:b/>
                <w:bCs/>
                <w:kern w:val="2"/>
                <w:sz w:val="28"/>
                <w:szCs w:val="28"/>
              </w:rPr>
              <w:t>：</w:t>
            </w:r>
            <w:r>
              <w:rPr>
                <w:rFonts w:hint="default" w:ascii="仿宋_GB2312" w:hAnsi="Times New Roman" w:eastAsia="仿宋_GB2312"/>
                <w:b/>
                <w:bCs/>
                <w:kern w:val="2"/>
                <w:sz w:val="28"/>
                <w:szCs w:val="28"/>
              </w:rPr>
              <w:t xml:space="preserve">建行北京恩济支行营业部 </w:t>
            </w:r>
          </w:p>
          <w:p>
            <w:pPr>
              <w:autoSpaceDE/>
              <w:autoSpaceDN/>
              <w:adjustRightInd/>
              <w:spacing w:line="340" w:lineRule="exact"/>
              <w:jc w:val="both"/>
              <w:rPr>
                <w:rFonts w:hint="default" w:ascii="仿宋_GB2312" w:hAnsi="Times New Roman" w:eastAsia="仿宋_GB2312"/>
                <w:b/>
                <w:bCs/>
                <w:kern w:val="2"/>
                <w:sz w:val="28"/>
                <w:szCs w:val="28"/>
              </w:rPr>
            </w:pPr>
            <w:r>
              <w:rPr>
                <w:rFonts w:hint="default" w:ascii="仿宋_GB2312" w:hAnsi="Times New Roman" w:eastAsia="仿宋_GB2312"/>
                <w:b/>
                <w:bCs/>
                <w:kern w:val="2"/>
                <w:sz w:val="28"/>
                <w:szCs w:val="28"/>
              </w:rPr>
              <w:t>帐户</w:t>
            </w:r>
            <w:r>
              <w:rPr>
                <w:rFonts w:ascii="仿宋_GB2312" w:hAnsi="Times New Roman" w:eastAsia="仿宋_GB2312"/>
                <w:b/>
                <w:bCs/>
                <w:kern w:val="2"/>
                <w:sz w:val="28"/>
                <w:szCs w:val="28"/>
              </w:rPr>
              <w:t>：</w:t>
            </w:r>
            <w:r>
              <w:rPr>
                <w:rFonts w:hint="default" w:ascii="仿宋_GB2312" w:hAnsi="Times New Roman" w:eastAsia="仿宋_GB2312"/>
                <w:b/>
                <w:bCs/>
                <w:kern w:val="2"/>
                <w:sz w:val="28"/>
                <w:szCs w:val="28"/>
              </w:rPr>
              <w:t xml:space="preserve"> 11050164520000000324 </w:t>
            </w:r>
          </w:p>
          <w:p>
            <w:pPr>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b/>
                <w:bCs/>
                <w:kern w:val="2"/>
                <w:sz w:val="28"/>
                <w:szCs w:val="28"/>
              </w:rPr>
              <w:t>行号</w:t>
            </w:r>
            <w:r>
              <w:rPr>
                <w:rFonts w:hint="default" w:ascii="仿宋_GB2312" w:hAnsi="Times New Roman" w:eastAsia="仿宋_GB2312"/>
                <w:b/>
                <w:bCs/>
                <w:kern w:val="2"/>
                <w:sz w:val="28"/>
                <w:szCs w:val="28"/>
              </w:rPr>
              <w:t>:  105100006056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trPr>
        <w:tc>
          <w:tcPr>
            <w:tcW w:w="1663" w:type="dxa"/>
            <w:vAlign w:val="center"/>
          </w:tcPr>
          <w:p>
            <w:pPr>
              <w:autoSpaceDE/>
              <w:autoSpaceDN/>
              <w:adjustRightInd/>
              <w:spacing w:line="360" w:lineRule="exact"/>
              <w:ind w:right="-168" w:rightChars="-70"/>
              <w:jc w:val="center"/>
              <w:rPr>
                <w:rFonts w:hint="default" w:ascii="仿宋_GB2312" w:hAnsi="Times New Roman" w:eastAsia="仿宋_GB2312"/>
                <w:b/>
                <w:bCs/>
                <w:kern w:val="2"/>
                <w:szCs w:val="22"/>
              </w:rPr>
            </w:pPr>
            <w:r>
              <w:rPr>
                <w:rFonts w:ascii="仿宋_GB2312" w:hAnsi="Times New Roman" w:eastAsia="仿宋_GB2312"/>
                <w:kern w:val="2"/>
                <w:szCs w:val="22"/>
              </w:rPr>
              <w:t>备注</w:t>
            </w:r>
          </w:p>
        </w:tc>
        <w:tc>
          <w:tcPr>
            <w:tcW w:w="4541"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ab/>
            </w:r>
            <w:r>
              <w:rPr>
                <w:rFonts w:ascii="仿宋_GB2312" w:hAnsi="Times New Roman" w:eastAsia="仿宋_GB2312"/>
                <w:kern w:val="2"/>
                <w:szCs w:val="22"/>
              </w:rPr>
              <w:t>请将参会回执回传或E-mail至会务组，在报名3日内将培训费通过银行或邮局等方式付款，会务组确认到款后即发《参会凭证》，其中将详细注明报到时间、地点、等具体安排事项。各参会代表凭证入场。</w:t>
            </w:r>
          </w:p>
        </w:tc>
        <w:tc>
          <w:tcPr>
            <w:tcW w:w="3543" w:type="dxa"/>
            <w:gridSpan w:val="5"/>
            <w:vAlign w:val="center"/>
          </w:tcPr>
          <w:p>
            <w:pPr>
              <w:autoSpaceDE/>
              <w:autoSpaceDN/>
              <w:adjustRightInd/>
              <w:spacing w:line="360" w:lineRule="exact"/>
              <w:ind w:right="-168" w:rightChars="-70" w:firstLine="720" w:firstLineChars="300"/>
              <w:jc w:val="both"/>
              <w:rPr>
                <w:rFonts w:hint="default" w:ascii="仿宋_GB2312" w:hAnsi="Times New Roman" w:eastAsia="仿宋_GB2312"/>
                <w:kern w:val="2"/>
                <w:szCs w:val="22"/>
              </w:rPr>
            </w:pPr>
            <w:r>
              <w:rPr>
                <w:rFonts w:ascii="仿宋_GB2312" w:hAnsi="Times New Roman" w:eastAsia="仿宋_GB2312"/>
                <w:kern w:val="2"/>
                <w:szCs w:val="22"/>
              </w:rPr>
              <w:t>单位印章</w:t>
            </w:r>
          </w:p>
          <w:p>
            <w:pPr>
              <w:autoSpaceDE/>
              <w:autoSpaceDN/>
              <w:adjustRightInd/>
              <w:spacing w:line="360" w:lineRule="exact"/>
              <w:ind w:right="-168" w:rightChars="-70" w:firstLine="240" w:firstLineChars="100"/>
              <w:jc w:val="both"/>
              <w:rPr>
                <w:rFonts w:hint="default" w:ascii="仿宋_GB2312" w:hAnsi="Times New Roman" w:eastAsia="仿宋_GB2312"/>
                <w:kern w:val="2"/>
                <w:szCs w:val="22"/>
              </w:rPr>
            </w:pPr>
            <w:r>
              <w:rPr>
                <w:rFonts w:ascii="仿宋_GB2312" w:hAnsi="Times New Roman" w:eastAsia="仿宋_GB2312"/>
                <w:kern w:val="2"/>
                <w:szCs w:val="22"/>
              </w:rPr>
              <w:t>二○一九年  月  日</w:t>
            </w:r>
          </w:p>
        </w:tc>
      </w:tr>
    </w:tbl>
    <w:p>
      <w:pPr>
        <w:autoSpaceDE/>
        <w:autoSpaceDN/>
        <w:adjustRightInd/>
        <w:spacing w:line="400" w:lineRule="exact"/>
        <w:jc w:val="both"/>
        <w:rPr>
          <w:rFonts w:hint="default" w:ascii="仿宋_GB2312" w:hAnsi="Times New Roman" w:eastAsia="仿宋_GB2312"/>
          <w:kern w:val="2"/>
          <w:sz w:val="28"/>
          <w:szCs w:val="28"/>
        </w:rPr>
      </w:pPr>
      <w:r>
        <w:rPr>
          <w:rFonts w:ascii="仿宋_GB2312" w:hAnsi="Times New Roman" w:eastAsia="仿宋_GB2312"/>
          <w:kern w:val="2"/>
          <w:sz w:val="28"/>
          <w:szCs w:val="28"/>
        </w:rPr>
        <w:t>备注：1.此表可复制，通知文件有限，请协助转发；</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hAnsi="Times New Roman" w:eastAsia="仿宋_GB2312"/>
          <w:kern w:val="2"/>
          <w:sz w:val="28"/>
          <w:szCs w:val="28"/>
        </w:rPr>
      </w:pPr>
      <w:r>
        <w:rPr>
          <w:rFonts w:hint="eastAsia" w:ascii="仿宋_GB2312" w:hAnsi="Times New Roman" w:eastAsia="仿宋_GB2312"/>
          <w:kern w:val="2"/>
          <w:sz w:val="28"/>
          <w:szCs w:val="28"/>
        </w:rPr>
        <w:t>报名联系人：聂主任 18211071700（微信）         邮  箱：zqgphwz@126.com</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hAnsi="Times New Roman" w:eastAsia="仿宋_GB2312"/>
          <w:kern w:val="2"/>
          <w:sz w:val="28"/>
          <w:szCs w:val="28"/>
        </w:rPr>
      </w:pPr>
      <w:r>
        <w:rPr>
          <w:rFonts w:hint="eastAsia" w:ascii="仿宋_GB2312" w:hAnsi="Times New Roman" w:eastAsia="仿宋_GB2312"/>
          <w:kern w:val="2"/>
          <w:sz w:val="28"/>
          <w:szCs w:val="28"/>
        </w:rPr>
        <w:t xml:space="preserve">电话（传真）：010-87697580                     qq咨询：3177524020   </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default"/>
        </w:rPr>
      </w:pPr>
      <w:r>
        <w:rPr>
          <w:rFonts w:hint="eastAsia" w:ascii="仿宋_GB2312" w:hAnsi="Times New Roman" w:eastAsia="仿宋_GB2312"/>
          <w:kern w:val="2"/>
          <w:sz w:val="28"/>
          <w:szCs w:val="28"/>
        </w:rPr>
        <w:t xml:space="preserve">网址查询：http://www.zqgpchina.cn/  </w:t>
      </w:r>
    </w:p>
    <w:p>
      <w:pPr>
        <w:rPr>
          <w:rFonts w:hint="default"/>
        </w:rPr>
      </w:pPr>
      <w:bookmarkStart w:id="0" w:name="_GoBack"/>
      <w:bookmarkEnd w:id="0"/>
    </w:p>
    <w:sectPr>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大标宋简体">
    <w:altName w:val="微软雅黑"/>
    <w:panose1 w:val="00000000000000000000"/>
    <w:charset w:val="86"/>
    <w:family w:val="auto"/>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A0667"/>
    <w:multiLevelType w:val="multilevel"/>
    <w:tmpl w:val="400A0667"/>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67BD4"/>
    <w:rsid w:val="0009632B"/>
    <w:rsid w:val="000B5CF0"/>
    <w:rsid w:val="000E468A"/>
    <w:rsid w:val="001B15FC"/>
    <w:rsid w:val="001D5820"/>
    <w:rsid w:val="001F266D"/>
    <w:rsid w:val="001F2CC6"/>
    <w:rsid w:val="002733FA"/>
    <w:rsid w:val="002B34D8"/>
    <w:rsid w:val="003C5EEF"/>
    <w:rsid w:val="004127EC"/>
    <w:rsid w:val="00444929"/>
    <w:rsid w:val="004C2C6B"/>
    <w:rsid w:val="005D62EA"/>
    <w:rsid w:val="00605B40"/>
    <w:rsid w:val="00657822"/>
    <w:rsid w:val="006E23D4"/>
    <w:rsid w:val="006F58F0"/>
    <w:rsid w:val="007715BD"/>
    <w:rsid w:val="007B7767"/>
    <w:rsid w:val="00832BCD"/>
    <w:rsid w:val="00852438"/>
    <w:rsid w:val="00860964"/>
    <w:rsid w:val="008B199B"/>
    <w:rsid w:val="008E378E"/>
    <w:rsid w:val="008E633F"/>
    <w:rsid w:val="008E79C6"/>
    <w:rsid w:val="009700EB"/>
    <w:rsid w:val="00981D3A"/>
    <w:rsid w:val="009A4718"/>
    <w:rsid w:val="00A55121"/>
    <w:rsid w:val="00AB4C35"/>
    <w:rsid w:val="00B865F7"/>
    <w:rsid w:val="00B87A6C"/>
    <w:rsid w:val="00BB0019"/>
    <w:rsid w:val="00BC37A5"/>
    <w:rsid w:val="00BE0FB0"/>
    <w:rsid w:val="00C44BC1"/>
    <w:rsid w:val="00C96EFB"/>
    <w:rsid w:val="00D74547"/>
    <w:rsid w:val="00DC5B74"/>
    <w:rsid w:val="00E40FB3"/>
    <w:rsid w:val="00F2027E"/>
    <w:rsid w:val="00FA5D57"/>
    <w:rsid w:val="10A04439"/>
    <w:rsid w:val="263F23AF"/>
    <w:rsid w:val="42E56AFC"/>
    <w:rsid w:val="43E06959"/>
    <w:rsid w:val="75313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kern w:val="0"/>
      <w:sz w:val="24"/>
      <w:szCs w:val="20"/>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paragraph" w:styleId="10">
    <w:name w:val="List Paragraph"/>
    <w:basedOn w:val="1"/>
    <w:qFormat/>
    <w:uiPriority w:val="34"/>
    <w:pPr>
      <w:widowControl/>
      <w:autoSpaceDE/>
      <w:autoSpaceDN/>
      <w:adjustRightInd/>
      <w:ind w:firstLine="420" w:firstLineChars="200"/>
    </w:pPr>
    <w:rPr>
      <w:rFonts w:hint="default" w:cs="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683</Words>
  <Characters>3898</Characters>
  <Lines>32</Lines>
  <Paragraphs>9</Paragraphs>
  <TotalTime>3</TotalTime>
  <ScaleCrop>false</ScaleCrop>
  <LinksUpToDate>false</LinksUpToDate>
  <CharactersWithSpaces>4572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dcterms:modified xsi:type="dcterms:W3CDTF">2019-01-17T07:40:32Z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