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distribute"/>
        <w:rPr>
          <w:rFonts w:ascii="华文中宋" w:hAnsi="华文中宋" w:eastAsia="华文中宋" w:cs="华文中宋"/>
          <w:b/>
          <w:color w:val="FF0000"/>
          <w:w w:val="63"/>
          <w:sz w:val="100"/>
          <w:szCs w:val="100"/>
        </w:rPr>
      </w:pPr>
      <w:r>
        <w:rPr>
          <w:rFonts w:hint="eastAsia" w:ascii="华文中宋" w:hAnsi="华文中宋" w:eastAsia="华文中宋" w:cs="华文中宋"/>
          <w:b/>
          <w:color w:val="FF0000"/>
          <w:w w:val="50"/>
          <w:sz w:val="100"/>
          <w:szCs w:val="100"/>
        </w:rPr>
        <w:t>中国建筑设计研究院人才培训中心</w:t>
      </w:r>
    </w:p>
    <w:p>
      <w:pPr>
        <w:jc w:val="center"/>
        <w:rPr>
          <w:rFonts w:ascii="宋体" w:hAnsi="宋体"/>
          <w:b/>
          <w:bCs/>
          <w:color w:val="000000"/>
          <w:kern w:val="0"/>
          <w:sz w:val="28"/>
          <w:szCs w:val="28"/>
        </w:rPr>
      </w:pPr>
      <w:r>
        <mc:AlternateContent>
          <mc:Choice Requires="wps">
            <w:drawing>
              <wp:anchor distT="0" distB="0" distL="114300" distR="114300" simplePos="0" relativeHeight="251662336" behindDoc="0" locked="0" layoutInCell="1" allowOverlap="1">
                <wp:simplePos x="0" y="0"/>
                <wp:positionH relativeFrom="column">
                  <wp:posOffset>-19685</wp:posOffset>
                </wp:positionH>
                <wp:positionV relativeFrom="paragraph">
                  <wp:posOffset>351155</wp:posOffset>
                </wp:positionV>
                <wp:extent cx="6313805" cy="3810"/>
                <wp:effectExtent l="0" t="10795" r="10795" b="13970"/>
                <wp:wrapNone/>
                <wp:docPr id="1" name="直接箭头连接符 2"/>
                <wp:cNvGraphicFramePr/>
                <a:graphic xmlns:a="http://schemas.openxmlformats.org/drawingml/2006/main">
                  <a:graphicData uri="http://schemas.microsoft.com/office/word/2010/wordprocessingShape">
                    <wps:wsp>
                      <wps:cNvCnPr/>
                      <wps:spPr>
                        <a:xfrm>
                          <a:off x="0" y="0"/>
                          <a:ext cx="6313805" cy="3810"/>
                        </a:xfrm>
                        <a:prstGeom prst="bentConnector3">
                          <a:avLst>
                            <a:gd name="adj1" fmla="val 49995"/>
                          </a:avLst>
                        </a:prstGeom>
                        <a:ln w="22225" cap="flat" cmpd="sng">
                          <a:solidFill>
                            <a:srgbClr val="FF0000"/>
                          </a:solidFill>
                          <a:prstDash val="solid"/>
                          <a:miter/>
                          <a:headEnd type="none" w="med" len="med"/>
                          <a:tailEnd type="none" w="med" len="med"/>
                        </a:ln>
                      </wps:spPr>
                      <wps:bodyPr/>
                    </wps:wsp>
                  </a:graphicData>
                </a:graphic>
              </wp:anchor>
            </w:drawing>
          </mc:Choice>
          <mc:Fallback>
            <w:pict>
              <v:shape id="直接箭头连接符 2" o:spid="_x0000_s1026" o:spt="34" type="#_x0000_t34" style="position:absolute;left:0pt;margin-left:-1.55pt;margin-top:27.65pt;height:0.3pt;width:497.15pt;z-index:251662336;mso-width-relative:page;mso-height-relative:page;" filled="f" stroked="t" coordsize="21600,21600" o:gfxdata="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9AQb3ZAAAACAEAAA8AAAAAAAAAAQAgAAAAIgAAAGRycy9k&#10;b3ducmV2LnhtbFBLAQIUABQAAAAIAIdO4kBu0+faAQIAANUDAAAOAAAAAAAAAAEAIAAAACgBAABk&#10;cnMvZTJvRG9jLnhtbFBLBQYAAAAABgAGAFkBAACbBQAAAAA=&#10;" adj="10799">
                <v:fill on="f" focussize="0,0"/>
                <v:stroke weight="1.75pt" color="#FF0000" joinstyle="miter"/>
                <v:imagedata o:title=""/>
                <o:lock v:ext="edit" aspectratio="f"/>
              </v:shape>
            </w:pict>
          </mc:Fallback>
        </mc:AlternateContent>
      </w:r>
      <w:r>
        <w:rPr>
          <w:rFonts w:hint="eastAsia" w:ascii="宋体" w:hAnsi="宋体"/>
          <w:b/>
          <w:bCs/>
          <w:color w:val="000000"/>
          <w:kern w:val="0"/>
          <w:sz w:val="28"/>
          <w:szCs w:val="28"/>
        </w:rPr>
        <w:t>中设研培[2019]012号</w:t>
      </w:r>
    </w:p>
    <w:p>
      <w:pPr>
        <w:spacing w:line="420" w:lineRule="exact"/>
        <w:jc w:val="center"/>
        <w:rPr>
          <w:rFonts w:ascii="方正小标宋简体" w:hAnsi="黑体" w:eastAsia="方正小标宋简体"/>
          <w:b/>
          <w:bCs/>
          <w:sz w:val="32"/>
          <w:szCs w:val="32"/>
        </w:rPr>
      </w:pPr>
      <w:r>
        <w:rPr>
          <w:rFonts w:hint="eastAsia" w:ascii="方正小标宋简体" w:hAnsi="黑体" w:eastAsia="方正小标宋简体"/>
          <w:b/>
          <w:bCs/>
          <w:sz w:val="32"/>
          <w:szCs w:val="32"/>
        </w:rPr>
        <w:t>关于举办新版清单计价下建设工程造价合同管控与结算暨《建设工程司法解释（二）》精析专题培训班的通知</w:t>
      </w:r>
    </w:p>
    <w:p>
      <w:pPr>
        <w:spacing w:line="380" w:lineRule="exact"/>
        <w:jc w:val="center"/>
        <w:rPr>
          <w:rFonts w:ascii="Arial" w:hAnsi="Arial" w:cs="Arial"/>
          <w:color w:val="333333"/>
          <w:kern w:val="0"/>
          <w:sz w:val="27"/>
        </w:rPr>
      </w:pPr>
    </w:p>
    <w:p>
      <w:pPr>
        <w:adjustRightInd w:val="0"/>
        <w:spacing w:line="360" w:lineRule="exact"/>
        <w:textAlignment w:val="baseline"/>
        <w:rPr>
          <w:rFonts w:ascii="仿宋_GB2312" w:hAnsi="宋体" w:eastAsia="仿宋_GB2312"/>
          <w:b/>
          <w:color w:val="000000"/>
          <w:kern w:val="0"/>
          <w:sz w:val="30"/>
          <w:szCs w:val="30"/>
        </w:rPr>
      </w:pPr>
      <w:r>
        <w:rPr>
          <w:rFonts w:hint="eastAsia" w:ascii="仿宋_GB2312" w:hAnsi="宋体" w:eastAsia="仿宋_GB2312"/>
          <w:b/>
          <w:color w:val="000000"/>
          <w:kern w:val="0"/>
          <w:sz w:val="30"/>
          <w:szCs w:val="30"/>
        </w:rPr>
        <w:t>各有关单位</w:t>
      </w:r>
      <w:r>
        <w:rPr>
          <w:rFonts w:ascii="仿宋_GB2312" w:hAnsi="宋体" w:eastAsia="仿宋_GB2312"/>
          <w:b/>
          <w:color w:val="000000"/>
          <w:kern w:val="0"/>
          <w:sz w:val="30"/>
          <w:szCs w:val="30"/>
        </w:rPr>
        <w:t>:</w:t>
      </w:r>
    </w:p>
    <w:p>
      <w:pPr>
        <w:tabs>
          <w:tab w:val="left" w:pos="567"/>
          <w:tab w:val="left" w:pos="709"/>
        </w:tabs>
        <w:spacing w:line="360" w:lineRule="exact"/>
        <w:ind w:firstLine="600" w:firstLineChars="200"/>
        <w:textAlignment w:val="baseline"/>
        <w:outlineLvl w:val="0"/>
        <w:rPr>
          <w:rFonts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国务院办公厅《关于促进建筑业持续健康发展的意见》（国办发〔</w:t>
      </w:r>
      <w:r>
        <w:rPr>
          <w:rFonts w:ascii="仿宋_GB2312" w:hAnsi="仿宋_GB2312" w:eastAsia="仿宋_GB2312" w:cs="仿宋_GB2312"/>
          <w:bCs/>
          <w:color w:val="000000"/>
          <w:sz w:val="30"/>
          <w:szCs w:val="30"/>
        </w:rPr>
        <w:t>2017</w:t>
      </w:r>
      <w:r>
        <w:rPr>
          <w:rFonts w:hint="eastAsia" w:ascii="仿宋_GB2312" w:hAnsi="仿宋_GB2312" w:eastAsia="仿宋_GB2312" w:cs="仿宋_GB2312"/>
          <w:bCs/>
          <w:color w:val="000000"/>
          <w:sz w:val="30"/>
          <w:szCs w:val="30"/>
        </w:rPr>
        <w:t>〕</w:t>
      </w:r>
      <w:r>
        <w:rPr>
          <w:rFonts w:ascii="仿宋_GB2312" w:hAnsi="仿宋_GB2312" w:eastAsia="仿宋_GB2312" w:cs="仿宋_GB2312"/>
          <w:bCs/>
          <w:color w:val="000000"/>
          <w:sz w:val="30"/>
          <w:szCs w:val="30"/>
        </w:rPr>
        <w:t>19</w:t>
      </w:r>
      <w:r>
        <w:rPr>
          <w:rFonts w:hint="eastAsia" w:ascii="仿宋_GB2312" w:hAnsi="仿宋_GB2312" w:eastAsia="仿宋_GB2312" w:cs="仿宋_GB2312"/>
          <w:bCs/>
          <w:color w:val="000000"/>
          <w:sz w:val="30"/>
          <w:szCs w:val="30"/>
        </w:rPr>
        <w:t>号）明确提出，要完善工程量清单计价体系和工程造价信息发布机制，形成统一的工程造价计价规则，合理确定和有效控制工程造价。</w:t>
      </w:r>
      <w:r>
        <w:rPr>
          <w:rFonts w:ascii="仿宋_GB2312" w:hAnsi="仿宋_GB2312" w:eastAsia="仿宋_GB2312" w:cs="仿宋_GB2312"/>
          <w:bCs/>
          <w:color w:val="000000"/>
          <w:sz w:val="30"/>
          <w:szCs w:val="30"/>
        </w:rPr>
        <w:t>2018</w:t>
      </w:r>
      <w:r>
        <w:rPr>
          <w:rFonts w:hint="eastAsia" w:ascii="仿宋_GB2312" w:hAnsi="仿宋_GB2312" w:eastAsia="仿宋_GB2312" w:cs="仿宋_GB2312"/>
          <w:bCs/>
          <w:color w:val="000000"/>
          <w:sz w:val="30"/>
          <w:szCs w:val="30"/>
        </w:rPr>
        <w:t>年</w:t>
      </w:r>
      <w:r>
        <w:rPr>
          <w:rFonts w:ascii="仿宋_GB2312" w:hAnsi="仿宋_GB2312" w:eastAsia="仿宋_GB2312" w:cs="仿宋_GB2312"/>
          <w:bCs/>
          <w:color w:val="000000"/>
          <w:sz w:val="30"/>
          <w:szCs w:val="30"/>
        </w:rPr>
        <w:t xml:space="preserve">7 </w:t>
      </w:r>
      <w:r>
        <w:rPr>
          <w:rFonts w:hint="eastAsia" w:ascii="仿宋_GB2312" w:hAnsi="仿宋_GB2312" w:eastAsia="仿宋_GB2312" w:cs="仿宋_GB2312"/>
          <w:bCs/>
          <w:color w:val="000000"/>
          <w:sz w:val="30"/>
          <w:szCs w:val="30"/>
        </w:rPr>
        <w:t>月</w:t>
      </w:r>
      <w:r>
        <w:rPr>
          <w:rFonts w:ascii="仿宋_GB2312" w:hAnsi="仿宋_GB2312" w:eastAsia="仿宋_GB2312" w:cs="仿宋_GB2312"/>
          <w:bCs/>
          <w:color w:val="000000"/>
          <w:sz w:val="30"/>
          <w:szCs w:val="30"/>
        </w:rPr>
        <w:t>17</w:t>
      </w:r>
      <w:r>
        <w:rPr>
          <w:rFonts w:hint="eastAsia" w:ascii="仿宋_GB2312" w:hAnsi="仿宋_GB2312" w:eastAsia="仿宋_GB2312" w:cs="仿宋_GB2312"/>
          <w:bCs/>
          <w:color w:val="000000"/>
          <w:sz w:val="30"/>
          <w:szCs w:val="30"/>
        </w:rPr>
        <w:t>日，工程量清单计价计量标准修订初稿协调会会议纪要显示对最新版清单计价规范做出重大修改，这将对计价纠纷、结算纠纷等焦点问题产生翻天覆地的影响。</w:t>
      </w:r>
    </w:p>
    <w:p>
      <w:pPr>
        <w:tabs>
          <w:tab w:val="left" w:pos="567"/>
          <w:tab w:val="left" w:pos="709"/>
        </w:tabs>
        <w:spacing w:line="360" w:lineRule="exact"/>
        <w:ind w:firstLine="600" w:firstLineChars="200"/>
        <w:textAlignment w:val="baseline"/>
        <w:outlineLvl w:val="0"/>
        <w:rPr>
          <w:rFonts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历经近十五年的时间，最高人民法院《关于审理建设工程施工合同纠纷案件适用法律问题的解释（二）》〔法释（</w:t>
      </w:r>
      <w:r>
        <w:rPr>
          <w:rFonts w:ascii="仿宋_GB2312" w:hAnsi="仿宋_GB2312" w:eastAsia="仿宋_GB2312" w:cs="仿宋_GB2312"/>
          <w:bCs/>
          <w:color w:val="000000"/>
          <w:sz w:val="30"/>
          <w:szCs w:val="30"/>
        </w:rPr>
        <w:t>2018</w:t>
      </w:r>
      <w:r>
        <w:rPr>
          <w:rFonts w:hint="eastAsia" w:ascii="仿宋_GB2312" w:hAnsi="仿宋_GB2312" w:eastAsia="仿宋_GB2312" w:cs="仿宋_GB2312"/>
          <w:bCs/>
          <w:color w:val="000000"/>
          <w:sz w:val="30"/>
          <w:szCs w:val="30"/>
        </w:rPr>
        <w:t>）</w:t>
      </w:r>
      <w:r>
        <w:rPr>
          <w:rFonts w:ascii="仿宋_GB2312" w:hAnsi="仿宋_GB2312" w:eastAsia="仿宋_GB2312" w:cs="仿宋_GB2312"/>
          <w:bCs/>
          <w:color w:val="000000"/>
          <w:sz w:val="30"/>
          <w:szCs w:val="30"/>
        </w:rPr>
        <w:t>20</w:t>
      </w:r>
      <w:r>
        <w:rPr>
          <w:rFonts w:hint="eastAsia" w:ascii="仿宋_GB2312" w:hAnsi="仿宋_GB2312" w:eastAsia="仿宋_GB2312" w:cs="仿宋_GB2312"/>
          <w:bCs/>
          <w:color w:val="000000"/>
          <w:sz w:val="30"/>
          <w:szCs w:val="30"/>
        </w:rPr>
        <w:t>号〕终于颁布，自</w:t>
      </w:r>
      <w:r>
        <w:rPr>
          <w:rFonts w:ascii="仿宋_GB2312" w:hAnsi="仿宋_GB2312" w:eastAsia="仿宋_GB2312" w:cs="仿宋_GB2312"/>
          <w:bCs/>
          <w:color w:val="000000"/>
          <w:sz w:val="30"/>
          <w:szCs w:val="30"/>
        </w:rPr>
        <w:t>2019</w:t>
      </w:r>
      <w:r>
        <w:rPr>
          <w:rFonts w:hint="eastAsia" w:ascii="仿宋_GB2312" w:hAnsi="仿宋_GB2312" w:eastAsia="仿宋_GB2312" w:cs="仿宋_GB2312"/>
          <w:bCs/>
          <w:color w:val="000000"/>
          <w:sz w:val="30"/>
          <w:szCs w:val="30"/>
        </w:rPr>
        <w:t>年</w:t>
      </w:r>
      <w:r>
        <w:rPr>
          <w:rFonts w:ascii="仿宋_GB2312" w:hAnsi="仿宋_GB2312" w:eastAsia="仿宋_GB2312" w:cs="仿宋_GB2312"/>
          <w:bCs/>
          <w:color w:val="000000"/>
          <w:sz w:val="30"/>
          <w:szCs w:val="30"/>
        </w:rPr>
        <w:t>2</w:t>
      </w:r>
      <w:r>
        <w:rPr>
          <w:rFonts w:hint="eastAsia" w:ascii="仿宋_GB2312" w:hAnsi="仿宋_GB2312" w:eastAsia="仿宋_GB2312" w:cs="仿宋_GB2312"/>
          <w:bCs/>
          <w:color w:val="000000"/>
          <w:sz w:val="30"/>
          <w:szCs w:val="30"/>
        </w:rPr>
        <w:t>月</w:t>
      </w:r>
      <w:r>
        <w:rPr>
          <w:rFonts w:ascii="仿宋_GB2312" w:hAnsi="仿宋_GB2312" w:eastAsia="仿宋_GB2312" w:cs="仿宋_GB2312"/>
          <w:bCs/>
          <w:color w:val="000000"/>
          <w:sz w:val="30"/>
          <w:szCs w:val="30"/>
        </w:rPr>
        <w:t>1</w:t>
      </w:r>
      <w:r>
        <w:rPr>
          <w:rFonts w:hint="eastAsia" w:ascii="仿宋_GB2312" w:hAnsi="仿宋_GB2312" w:eastAsia="仿宋_GB2312" w:cs="仿宋_GB2312"/>
          <w:bCs/>
          <w:color w:val="000000"/>
          <w:sz w:val="30"/>
          <w:szCs w:val="30"/>
        </w:rPr>
        <w:t>日起施行。《施工合同司法解释</w:t>
      </w:r>
      <w:r>
        <w:rPr>
          <w:rFonts w:ascii="仿宋_GB2312" w:hAnsi="仿宋_GB2312" w:eastAsia="仿宋_GB2312" w:cs="仿宋_GB2312"/>
          <w:bCs/>
          <w:color w:val="000000"/>
          <w:sz w:val="30"/>
          <w:szCs w:val="30"/>
        </w:rPr>
        <w:t>(</w:t>
      </w:r>
      <w:r>
        <w:rPr>
          <w:rFonts w:hint="eastAsia" w:ascii="仿宋_GB2312" w:hAnsi="仿宋_GB2312" w:eastAsia="仿宋_GB2312" w:cs="仿宋_GB2312"/>
          <w:bCs/>
          <w:color w:val="000000"/>
          <w:sz w:val="30"/>
          <w:szCs w:val="30"/>
        </w:rPr>
        <w:t>二</w:t>
      </w:r>
      <w:r>
        <w:rPr>
          <w:rFonts w:ascii="仿宋_GB2312" w:hAnsi="仿宋_GB2312" w:eastAsia="仿宋_GB2312" w:cs="仿宋_GB2312"/>
          <w:bCs/>
          <w:color w:val="000000"/>
          <w:sz w:val="30"/>
          <w:szCs w:val="30"/>
        </w:rPr>
        <w:t>)</w:t>
      </w:r>
      <w:r>
        <w:rPr>
          <w:rFonts w:hint="eastAsia" w:ascii="仿宋_GB2312" w:hAnsi="仿宋_GB2312" w:eastAsia="仿宋_GB2312" w:cs="仿宋_GB2312"/>
          <w:bCs/>
          <w:color w:val="000000"/>
          <w:sz w:val="30"/>
          <w:szCs w:val="30"/>
        </w:rPr>
        <w:t>》就建设工程施工合同效力、建设工程价款结算、建设工程鉴定、建设工程价款优先受偿权和实际施工人权利保护等问题作了规定。</w:t>
      </w:r>
    </w:p>
    <w:p>
      <w:pPr>
        <w:pStyle w:val="2"/>
        <w:shd w:val="clear" w:color="auto" w:fill="FFFFFF"/>
        <w:spacing w:before="0" w:beforeAutospacing="0" w:after="0" w:afterAutospacing="0" w:line="360" w:lineRule="exact"/>
        <w:ind w:firstLine="600"/>
        <w:textAlignment w:val="baseline"/>
        <w:rPr>
          <w:rFonts w:ascii="微软雅黑" w:hAnsi="微软雅黑" w:eastAsia="微软雅黑"/>
          <w:bCs w:val="0"/>
          <w:color w:val="222222"/>
          <w:sz w:val="54"/>
          <w:szCs w:val="54"/>
        </w:rPr>
      </w:pPr>
      <w:r>
        <w:rPr>
          <w:rFonts w:hint="eastAsia" w:ascii="仿宋_GB2312" w:hAnsi="仿宋_GB2312" w:eastAsia="仿宋_GB2312" w:cs="仿宋_GB2312"/>
          <w:b w:val="0"/>
          <w:color w:val="000000"/>
          <w:kern w:val="2"/>
          <w:sz w:val="30"/>
          <w:szCs w:val="30"/>
        </w:rPr>
        <w:t>工程项目停建、甲方变更、材料涨价、结算纠纷、工程款拖欠等等，在项目建设过程中时有发生，如何在造价和法律层面予以风险防范？如何避免不必要的损失？产生纠纷后如何有效处理？已成为施工企业必须面对的重要课题。</w:t>
      </w:r>
      <w:r>
        <w:rPr>
          <w:rFonts w:hint="eastAsia" w:ascii="仿宋_GB2312" w:hAnsi="仿宋_GB2312" w:eastAsia="仿宋_GB2312" w:cs="仿宋_GB2312"/>
          <w:bCs w:val="0"/>
          <w:color w:val="000000"/>
          <w:sz w:val="30"/>
          <w:szCs w:val="30"/>
        </w:rPr>
        <w:t>在</w:t>
      </w:r>
      <w:r>
        <w:rPr>
          <w:rFonts w:ascii="仿宋_GB2312" w:hAnsi="仿宋_GB2312" w:eastAsia="仿宋_GB2312" w:cs="仿宋_GB2312"/>
          <w:color w:val="000000"/>
          <w:sz w:val="30"/>
          <w:szCs w:val="30"/>
        </w:rPr>
        <w:t>2018</w:t>
      </w:r>
      <w:r>
        <w:rPr>
          <w:rFonts w:hint="eastAsia" w:ascii="仿宋_GB2312" w:hAnsi="仿宋_GB2312" w:eastAsia="仿宋_GB2312" w:cs="仿宋_GB2312"/>
          <w:color w:val="000000"/>
          <w:sz w:val="30"/>
          <w:szCs w:val="30"/>
        </w:rPr>
        <w:t>版</w:t>
      </w:r>
      <w:r>
        <w:rPr>
          <w:rFonts w:hint="eastAsia" w:ascii="仿宋_GB2312" w:hAnsi="仿宋_GB2312" w:eastAsia="仿宋_GB2312" w:cs="仿宋_GB2312"/>
          <w:color w:val="000000"/>
          <w:kern w:val="2"/>
          <w:sz w:val="30"/>
          <w:szCs w:val="30"/>
        </w:rPr>
        <w:t>《工程量清单计价规范》</w:t>
      </w:r>
      <w:r>
        <w:rPr>
          <w:rFonts w:hint="eastAsia" w:ascii="仿宋_GB2312" w:hAnsi="仿宋_GB2312" w:eastAsia="仿宋_GB2312" w:cs="仿宋_GB2312"/>
          <w:color w:val="000000"/>
          <w:sz w:val="30"/>
          <w:szCs w:val="30"/>
        </w:rPr>
        <w:t>和《建设工程施工合同纠纷司法解释</w:t>
      </w:r>
      <w:r>
        <w:rPr>
          <w:rFonts w:ascii="仿宋_GB2312" w:hAnsi="仿宋_GB2312" w:eastAsia="仿宋_GB2312" w:cs="仿宋_GB2312"/>
          <w:bCs w:val="0"/>
          <w:color w:val="000000"/>
          <w:sz w:val="30"/>
          <w:szCs w:val="30"/>
        </w:rPr>
        <w:t>(</w:t>
      </w:r>
      <w:r>
        <w:rPr>
          <w:rFonts w:hint="eastAsia" w:ascii="仿宋_GB2312" w:hAnsi="仿宋_GB2312" w:eastAsia="仿宋_GB2312" w:cs="仿宋_GB2312"/>
          <w:color w:val="000000"/>
          <w:sz w:val="30"/>
          <w:szCs w:val="30"/>
        </w:rPr>
        <w:t>二</w:t>
      </w:r>
      <w:r>
        <w:rPr>
          <w:rFonts w:ascii="仿宋_GB2312" w:hAnsi="仿宋_GB2312" w:eastAsia="仿宋_GB2312" w:cs="仿宋_GB2312"/>
          <w:bCs w:val="0"/>
          <w:color w:val="000000"/>
          <w:sz w:val="30"/>
          <w:szCs w:val="30"/>
        </w:rPr>
        <w:t>)</w:t>
      </w:r>
      <w:r>
        <w:rPr>
          <w:rFonts w:hint="eastAsia" w:ascii="仿宋_GB2312" w:hAnsi="仿宋_GB2312" w:eastAsia="仿宋_GB2312" w:cs="仿宋_GB2312"/>
          <w:color w:val="000000"/>
          <w:sz w:val="30"/>
          <w:szCs w:val="30"/>
        </w:rPr>
        <w:t>》背景下，建筑行业有哪些新动态？建设工程施工合同纠纷的计价与法律试用中有哪些热点与难点问题？如何确定工程造价？这都是在工程实践中亟需掌握的重中之重。</w:t>
      </w:r>
    </w:p>
    <w:p>
      <w:pPr>
        <w:tabs>
          <w:tab w:val="left" w:pos="567"/>
          <w:tab w:val="left" w:pos="709"/>
        </w:tabs>
        <w:spacing w:line="360" w:lineRule="exact"/>
        <w:ind w:firstLine="600" w:firstLineChars="200"/>
        <w:textAlignment w:val="baseline"/>
        <w:outlineLvl w:val="0"/>
        <w:rPr>
          <w:rFonts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建设工程造价与合同管理一直是建设工程参建各方关注的重点与难点。面对新的机遇和挑战，建设项目各参与方必须思考如何开展全过程工程造价与合同管理，</w:t>
      </w:r>
      <w:r>
        <w:rPr>
          <w:rFonts w:ascii="仿宋_GB2312" w:hAnsi="仿宋_GB2312" w:eastAsia="仿宋_GB2312" w:cs="仿宋_GB2312"/>
          <w:bCs/>
          <w:color w:val="000000"/>
          <w:sz w:val="30"/>
          <w:szCs w:val="30"/>
        </w:rPr>
        <w:t xml:space="preserve"> </w:t>
      </w:r>
      <w:r>
        <w:rPr>
          <w:rFonts w:hint="eastAsia" w:ascii="仿宋_GB2312" w:hAnsi="仿宋_GB2312" w:eastAsia="仿宋_GB2312" w:cs="仿宋_GB2312"/>
          <w:bCs/>
          <w:color w:val="000000"/>
          <w:sz w:val="30"/>
          <w:szCs w:val="30"/>
        </w:rPr>
        <w:t>以上最新法规发布的利好消息，为实现承发包双方的双赢梦想带来新的希望。鉴于此，我中心决定举办“</w:t>
      </w:r>
      <w:r>
        <w:rPr>
          <w:rFonts w:hint="eastAsia" w:ascii="仿宋_GB2312" w:hAnsi="仿宋_GB2312" w:eastAsia="仿宋_GB2312" w:cs="仿宋_GB2312"/>
          <w:b/>
          <w:bCs/>
          <w:color w:val="000000"/>
          <w:sz w:val="30"/>
          <w:szCs w:val="30"/>
        </w:rPr>
        <w:t>新版清单计价下建设工程造价合同管控与结算暨《建设工程司法解释（二）》精析专题培训班</w:t>
      </w:r>
      <w:r>
        <w:rPr>
          <w:rFonts w:hint="eastAsia" w:ascii="仿宋_GB2312" w:hAnsi="仿宋_GB2312" w:eastAsia="仿宋_GB2312" w:cs="仿宋_GB2312"/>
          <w:bCs/>
          <w:color w:val="000000"/>
          <w:sz w:val="30"/>
          <w:szCs w:val="30"/>
        </w:rPr>
        <w:t>”。现将有关事项通知如下：</w:t>
      </w:r>
    </w:p>
    <w:p>
      <w:pPr>
        <w:tabs>
          <w:tab w:val="left" w:pos="567"/>
          <w:tab w:val="left" w:pos="709"/>
        </w:tabs>
        <w:spacing w:line="360" w:lineRule="exact"/>
        <w:textAlignment w:val="baseline"/>
        <w:outlineLvl w:val="0"/>
        <w:rPr>
          <w:rFonts w:ascii="仿宋_GB2312" w:hAnsi="宋体" w:eastAsia="仿宋_GB2312"/>
          <w:b/>
          <w:color w:val="000000"/>
          <w:sz w:val="30"/>
          <w:szCs w:val="30"/>
        </w:rPr>
      </w:pPr>
      <w:r>
        <w:rPr>
          <w:rFonts w:hint="eastAsia" w:ascii="仿宋_GB2312" w:hAnsi="宋体" w:eastAsia="仿宋_GB2312"/>
          <w:b/>
          <w:color w:val="000000"/>
          <w:sz w:val="30"/>
          <w:szCs w:val="30"/>
        </w:rPr>
        <w:t>一、培训内容</w:t>
      </w:r>
    </w:p>
    <w:p>
      <w:pPr>
        <w:spacing w:line="360" w:lineRule="exact"/>
        <w:outlineLvl w:val="0"/>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第一部分：</w:t>
      </w:r>
      <w:r>
        <w:rPr>
          <w:rFonts w:ascii="仿宋_GB2312" w:hAnsi="仿宋_GB2312" w:eastAsia="仿宋_GB2312" w:cs="仿宋_GB2312"/>
          <w:b/>
          <w:color w:val="000000"/>
          <w:sz w:val="30"/>
          <w:szCs w:val="30"/>
        </w:rPr>
        <w:t>2018</w:t>
      </w:r>
      <w:r>
        <w:rPr>
          <w:rFonts w:hint="eastAsia" w:ascii="仿宋_GB2312" w:hAnsi="仿宋_GB2312" w:eastAsia="仿宋_GB2312" w:cs="仿宋_GB2312"/>
          <w:b/>
          <w:color w:val="000000"/>
          <w:sz w:val="30"/>
          <w:szCs w:val="30"/>
        </w:rPr>
        <w:t>版《工程量清单计价规范》下建设工程造价合同管控与结算</w:t>
      </w:r>
    </w:p>
    <w:p>
      <w:pPr>
        <w:spacing w:line="360" w:lineRule="exact"/>
        <w:outlineLvl w:val="0"/>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（一）</w:t>
      </w:r>
      <w:r>
        <w:rPr>
          <w:rFonts w:ascii="仿宋_GB2312" w:hAnsi="仿宋_GB2312" w:eastAsia="仿宋_GB2312" w:cs="仿宋_GB2312"/>
          <w:b/>
          <w:color w:val="000000"/>
          <w:sz w:val="30"/>
          <w:szCs w:val="30"/>
        </w:rPr>
        <w:t>2018</w:t>
      </w:r>
      <w:r>
        <w:rPr>
          <w:rFonts w:hint="eastAsia" w:ascii="仿宋_GB2312" w:hAnsi="仿宋_GB2312" w:eastAsia="仿宋_GB2312" w:cs="仿宋_GB2312"/>
          <w:b/>
          <w:color w:val="000000"/>
          <w:sz w:val="30"/>
          <w:szCs w:val="30"/>
        </w:rPr>
        <w:t>版《工程量清单计价规范》解读</w:t>
      </w:r>
    </w:p>
    <w:p>
      <w:pPr>
        <w:spacing w:line="360" w:lineRule="exact"/>
        <w:ind w:firstLine="600" w:firstLineChars="200"/>
        <w:outlineLvl w:val="0"/>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t>1</w:t>
      </w:r>
      <w:r>
        <w:rPr>
          <w:rFonts w:hint="eastAsia" w:ascii="仿宋_GB2312" w:hAnsi="仿宋_GB2312" w:eastAsia="仿宋_GB2312" w:cs="仿宋_GB2312"/>
          <w:color w:val="000000"/>
          <w:sz w:val="30"/>
          <w:szCs w:val="30"/>
        </w:rPr>
        <w:t>、扩大清单应用的灵活性，适度调整招标人对工程量清单完备性的责任，体现清单可以增补</w:t>
      </w:r>
    </w:p>
    <w:p>
      <w:pPr>
        <w:spacing w:line="360" w:lineRule="exact"/>
        <w:ind w:firstLine="600" w:firstLineChars="200"/>
        <w:outlineLvl w:val="0"/>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t>2</w:t>
      </w:r>
      <w:r>
        <w:rPr>
          <w:rFonts w:hint="eastAsia" w:ascii="仿宋_GB2312" w:hAnsi="仿宋_GB2312" w:eastAsia="仿宋_GB2312" w:cs="仿宋_GB2312"/>
          <w:color w:val="000000"/>
          <w:sz w:val="30"/>
          <w:szCs w:val="30"/>
        </w:rPr>
        <w:t>、修订招标控制价的编制和复核等内容，降低编制依据的严格程度</w:t>
      </w:r>
    </w:p>
    <w:p>
      <w:pPr>
        <w:spacing w:line="360" w:lineRule="exact"/>
        <w:ind w:firstLine="600" w:firstLineChars="200"/>
        <w:outlineLvl w:val="0"/>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t>3</w:t>
      </w:r>
      <w:r>
        <w:rPr>
          <w:rFonts w:hint="eastAsia" w:ascii="仿宋_GB2312" w:hAnsi="仿宋_GB2312" w:eastAsia="仿宋_GB2312" w:cs="仿宋_GB2312"/>
          <w:color w:val="000000"/>
          <w:sz w:val="30"/>
          <w:szCs w:val="30"/>
        </w:rPr>
        <w:t>、《计价规范》中关于合同的条款内容与相关法规规章协调统一，并在规范条文说明中增加引导性的内容。完善计价规范中有关总价合同在清单计价、计量、合同价款调整等的相关内容</w:t>
      </w:r>
    </w:p>
    <w:p>
      <w:pPr>
        <w:spacing w:line="360" w:lineRule="exact"/>
        <w:ind w:firstLine="600" w:firstLineChars="200"/>
        <w:outlineLvl w:val="0"/>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t>4</w:t>
      </w:r>
      <w:r>
        <w:rPr>
          <w:rFonts w:hint="eastAsia" w:ascii="仿宋_GB2312" w:hAnsi="仿宋_GB2312" w:eastAsia="仿宋_GB2312" w:cs="仿宋_GB2312"/>
          <w:color w:val="000000"/>
          <w:sz w:val="30"/>
          <w:szCs w:val="30"/>
        </w:rPr>
        <w:t>、扩大综合单价口径，贯彻推进实施全费用单价。综合单价应包括除增值税以外的全部内容</w:t>
      </w:r>
    </w:p>
    <w:p>
      <w:pPr>
        <w:spacing w:line="360" w:lineRule="exact"/>
        <w:ind w:firstLine="600" w:firstLineChars="200"/>
        <w:outlineLvl w:val="0"/>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t>5</w:t>
      </w:r>
      <w:r>
        <w:rPr>
          <w:rFonts w:hint="eastAsia" w:ascii="仿宋_GB2312" w:hAnsi="仿宋_GB2312" w:eastAsia="仿宋_GB2312" w:cs="仿宋_GB2312"/>
          <w:color w:val="000000"/>
          <w:sz w:val="30"/>
          <w:szCs w:val="30"/>
        </w:rPr>
        <w:t>、扩大人工费的计算口径。人工单价应体现人工工资的全部内容，按照《住房城乡建设部关于加强和改善工程造价监管的意见》（建标〔</w:t>
      </w:r>
      <w:r>
        <w:rPr>
          <w:rFonts w:ascii="仿宋_GB2312" w:hAnsi="仿宋_GB2312" w:eastAsia="仿宋_GB2312" w:cs="仿宋_GB2312"/>
          <w:color w:val="000000"/>
          <w:sz w:val="30"/>
          <w:szCs w:val="30"/>
        </w:rPr>
        <w:t>2017</w:t>
      </w:r>
      <w:r>
        <w:rPr>
          <w:rFonts w:hint="eastAsia" w:ascii="仿宋_GB2312" w:hAnsi="仿宋_GB2312" w:eastAsia="仿宋_GB2312" w:cs="仿宋_GB2312"/>
          <w:color w:val="000000"/>
          <w:sz w:val="30"/>
          <w:szCs w:val="30"/>
        </w:rPr>
        <w:t>〕</w:t>
      </w:r>
      <w:r>
        <w:rPr>
          <w:rFonts w:ascii="仿宋_GB2312" w:hAnsi="仿宋_GB2312" w:eastAsia="仿宋_GB2312" w:cs="仿宋_GB2312"/>
          <w:color w:val="000000"/>
          <w:sz w:val="30"/>
          <w:szCs w:val="30"/>
        </w:rPr>
        <w:t>209</w:t>
      </w:r>
      <w:r>
        <w:rPr>
          <w:rFonts w:hint="eastAsia" w:ascii="仿宋_GB2312" w:hAnsi="仿宋_GB2312" w:eastAsia="仿宋_GB2312" w:cs="仿宋_GB2312"/>
          <w:color w:val="000000"/>
          <w:sz w:val="30"/>
          <w:szCs w:val="30"/>
        </w:rPr>
        <w:t>号）要求应包含原规费中工人的五险一金等内容。即，规费中的社保纳入人工费</w:t>
      </w:r>
    </w:p>
    <w:p>
      <w:pPr>
        <w:spacing w:line="360" w:lineRule="exact"/>
        <w:ind w:firstLine="600" w:firstLineChars="200"/>
        <w:outlineLvl w:val="0"/>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t>6</w:t>
      </w:r>
      <w:r>
        <w:rPr>
          <w:rFonts w:hint="eastAsia" w:ascii="仿宋_GB2312" w:hAnsi="仿宋_GB2312" w:eastAsia="仿宋_GB2312" w:cs="仿宋_GB2312"/>
          <w:color w:val="000000"/>
          <w:sz w:val="30"/>
          <w:szCs w:val="30"/>
        </w:rPr>
        <w:t>、规费中排污费调整为环境保护税列入管理费中，工人的社会保障费和公积金列入人工费，规费不再单独列项。税金在汇总表中单独列出</w:t>
      </w:r>
    </w:p>
    <w:p>
      <w:pPr>
        <w:spacing w:line="360" w:lineRule="exact"/>
        <w:outlineLvl w:val="0"/>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（二）</w:t>
      </w:r>
      <w:r>
        <w:rPr>
          <w:rFonts w:ascii="仿宋_GB2312" w:hAnsi="仿宋_GB2312" w:eastAsia="仿宋_GB2312" w:cs="仿宋_GB2312"/>
          <w:b/>
          <w:color w:val="000000"/>
          <w:sz w:val="30"/>
          <w:szCs w:val="30"/>
        </w:rPr>
        <w:t>2018</w:t>
      </w:r>
      <w:r>
        <w:rPr>
          <w:rFonts w:hint="eastAsia" w:ascii="仿宋_GB2312" w:hAnsi="仿宋_GB2312" w:eastAsia="仿宋_GB2312" w:cs="仿宋_GB2312"/>
          <w:b/>
          <w:color w:val="000000"/>
          <w:sz w:val="30"/>
          <w:szCs w:val="30"/>
        </w:rPr>
        <w:t>版《工程量清单计价规范》对计价的影响与对策</w:t>
      </w:r>
    </w:p>
    <w:p>
      <w:pPr>
        <w:spacing w:line="360" w:lineRule="exact"/>
        <w:ind w:firstLine="600" w:firstLineChars="200"/>
        <w:outlineLvl w:val="0"/>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t>1</w:t>
      </w:r>
      <w:r>
        <w:rPr>
          <w:rFonts w:hint="eastAsia" w:ascii="仿宋_GB2312" w:hAnsi="仿宋_GB2312" w:eastAsia="仿宋_GB2312" w:cs="仿宋_GB2312"/>
          <w:color w:val="000000"/>
          <w:sz w:val="30"/>
          <w:szCs w:val="30"/>
        </w:rPr>
        <w:t>、新规范下建安工程费用的调整对工程造价管理的影响与对策</w:t>
      </w:r>
    </w:p>
    <w:p>
      <w:pPr>
        <w:spacing w:line="360" w:lineRule="exact"/>
        <w:ind w:firstLine="600" w:firstLineChars="200"/>
        <w:outlineLvl w:val="0"/>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t>(1)</w:t>
      </w:r>
      <w:r>
        <w:rPr>
          <w:rFonts w:hint="eastAsia" w:ascii="仿宋_GB2312" w:hAnsi="仿宋_GB2312" w:eastAsia="仿宋_GB2312" w:cs="仿宋_GB2312"/>
          <w:color w:val="000000"/>
          <w:sz w:val="30"/>
          <w:szCs w:val="30"/>
        </w:rPr>
        <w:t>扩大综合单价和人工费的计算口径</w:t>
      </w:r>
    </w:p>
    <w:p>
      <w:pPr>
        <w:spacing w:line="360" w:lineRule="exact"/>
        <w:ind w:firstLine="600" w:firstLineChars="200"/>
        <w:outlineLvl w:val="0"/>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t>(2)</w:t>
      </w:r>
      <w:r>
        <w:rPr>
          <w:rFonts w:hint="eastAsia" w:ascii="仿宋_GB2312" w:hAnsi="仿宋_GB2312" w:eastAsia="仿宋_GB2312" w:cs="仿宋_GB2312"/>
          <w:color w:val="000000"/>
          <w:sz w:val="30"/>
          <w:szCs w:val="30"/>
        </w:rPr>
        <w:t>增值税单独列出，重新理清工程造价的概念</w:t>
      </w:r>
    </w:p>
    <w:p>
      <w:pPr>
        <w:spacing w:line="360" w:lineRule="exact"/>
        <w:ind w:firstLine="600" w:firstLineChars="200"/>
        <w:outlineLvl w:val="0"/>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t>2</w:t>
      </w:r>
      <w:r>
        <w:rPr>
          <w:rFonts w:hint="eastAsia" w:ascii="仿宋_GB2312" w:hAnsi="仿宋_GB2312" w:eastAsia="仿宋_GB2312" w:cs="仿宋_GB2312"/>
          <w:color w:val="000000"/>
          <w:sz w:val="30"/>
          <w:szCs w:val="30"/>
        </w:rPr>
        <w:t>、工程量计算规范调整对造价的影响与应对</w:t>
      </w:r>
    </w:p>
    <w:p>
      <w:pPr>
        <w:spacing w:line="360" w:lineRule="exact"/>
        <w:ind w:firstLine="600" w:firstLineChars="200"/>
        <w:outlineLvl w:val="0"/>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t>(1)</w:t>
      </w:r>
      <w:r>
        <w:rPr>
          <w:rFonts w:hint="eastAsia" w:ascii="仿宋_GB2312" w:hAnsi="仿宋_GB2312" w:eastAsia="仿宋_GB2312" w:cs="仿宋_GB2312"/>
          <w:color w:val="000000"/>
          <w:sz w:val="30"/>
          <w:szCs w:val="30"/>
        </w:rPr>
        <w:t>工作内容取消对计价带来重大影响与应对策略</w:t>
      </w:r>
    </w:p>
    <w:p>
      <w:pPr>
        <w:spacing w:line="360" w:lineRule="exact"/>
        <w:ind w:firstLine="600" w:firstLineChars="200"/>
        <w:outlineLvl w:val="0"/>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t>(2)</w:t>
      </w:r>
      <w:r>
        <w:rPr>
          <w:rFonts w:hint="eastAsia" w:ascii="仿宋_GB2312" w:hAnsi="仿宋_GB2312" w:eastAsia="仿宋_GB2312" w:cs="仿宋_GB2312"/>
          <w:color w:val="000000"/>
          <w:sz w:val="30"/>
          <w:szCs w:val="30"/>
        </w:rPr>
        <w:t>措施项目的调整对计价的应用与应对策略</w:t>
      </w:r>
    </w:p>
    <w:p>
      <w:pPr>
        <w:spacing w:line="360" w:lineRule="exact"/>
        <w:ind w:firstLine="600" w:firstLineChars="200"/>
        <w:outlineLvl w:val="0"/>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t>3</w:t>
      </w:r>
      <w:r>
        <w:rPr>
          <w:rFonts w:hint="eastAsia" w:ascii="仿宋_GB2312" w:hAnsi="仿宋_GB2312" w:eastAsia="仿宋_GB2312" w:cs="仿宋_GB2312"/>
          <w:color w:val="000000"/>
          <w:sz w:val="30"/>
          <w:szCs w:val="30"/>
        </w:rPr>
        <w:t>、新规范对招标投标的影响与应对策略</w:t>
      </w:r>
    </w:p>
    <w:p>
      <w:pPr>
        <w:spacing w:line="360" w:lineRule="exact"/>
        <w:ind w:firstLine="600" w:firstLineChars="200"/>
        <w:outlineLvl w:val="0"/>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t>(1)</w:t>
      </w:r>
      <w:r>
        <w:rPr>
          <w:rFonts w:hint="eastAsia" w:ascii="仿宋_GB2312" w:hAnsi="仿宋_GB2312" w:eastAsia="仿宋_GB2312" w:cs="仿宋_GB2312"/>
          <w:color w:val="000000"/>
          <w:sz w:val="30"/>
          <w:szCs w:val="30"/>
        </w:rPr>
        <w:t>招标控制价的编制与评审</w:t>
      </w:r>
    </w:p>
    <w:p>
      <w:pPr>
        <w:spacing w:line="360" w:lineRule="exact"/>
        <w:ind w:firstLine="600" w:firstLineChars="200"/>
        <w:outlineLvl w:val="0"/>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t>(2)</w:t>
      </w:r>
      <w:r>
        <w:rPr>
          <w:rFonts w:hint="eastAsia" w:ascii="仿宋_GB2312" w:hAnsi="仿宋_GB2312" w:eastAsia="仿宋_GB2312" w:cs="仿宋_GB2312"/>
          <w:color w:val="000000"/>
          <w:sz w:val="30"/>
          <w:szCs w:val="30"/>
        </w:rPr>
        <w:t>定额的地位与作用</w:t>
      </w:r>
    </w:p>
    <w:p>
      <w:pPr>
        <w:spacing w:line="360" w:lineRule="exact"/>
        <w:ind w:firstLine="600" w:firstLineChars="200"/>
        <w:outlineLvl w:val="0"/>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t>4</w:t>
      </w:r>
      <w:r>
        <w:rPr>
          <w:rFonts w:hint="eastAsia" w:ascii="仿宋_GB2312" w:hAnsi="仿宋_GB2312" w:eastAsia="仿宋_GB2312" w:cs="仿宋_GB2312"/>
          <w:color w:val="000000"/>
          <w:sz w:val="30"/>
          <w:szCs w:val="30"/>
        </w:rPr>
        <w:t>、合同专用条款违背了清单计价规范如何处理</w:t>
      </w:r>
    </w:p>
    <w:p>
      <w:pPr>
        <w:spacing w:line="360" w:lineRule="exact"/>
        <w:outlineLvl w:val="0"/>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（三）清单造价管控</w:t>
      </w:r>
    </w:p>
    <w:p>
      <w:pPr>
        <w:spacing w:line="360" w:lineRule="exact"/>
        <w:ind w:firstLine="600" w:firstLineChars="200"/>
        <w:outlineLvl w:val="0"/>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t>1</w:t>
      </w:r>
      <w:r>
        <w:rPr>
          <w:rFonts w:hint="eastAsia" w:ascii="仿宋_GB2312" w:hAnsi="仿宋_GB2312" w:eastAsia="仿宋_GB2312" w:cs="仿宋_GB2312"/>
          <w:color w:val="000000"/>
          <w:sz w:val="30"/>
          <w:szCs w:val="30"/>
        </w:rPr>
        <w:t>、综合单价中风险范围、幅度划分以及工程价差调整问题</w:t>
      </w:r>
    </w:p>
    <w:p>
      <w:pPr>
        <w:spacing w:line="360" w:lineRule="exact"/>
        <w:ind w:firstLine="600" w:firstLineChars="200"/>
        <w:outlineLvl w:val="0"/>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t>2</w:t>
      </w:r>
      <w:r>
        <w:rPr>
          <w:rFonts w:hint="eastAsia" w:ascii="仿宋_GB2312" w:hAnsi="仿宋_GB2312" w:eastAsia="仿宋_GB2312" w:cs="仿宋_GB2312"/>
          <w:color w:val="000000"/>
          <w:sz w:val="30"/>
          <w:szCs w:val="30"/>
        </w:rPr>
        <w:t>、招标工程量清单、招标控制价编制和项目特征描述问题</w:t>
      </w:r>
    </w:p>
    <w:p>
      <w:pPr>
        <w:spacing w:line="360" w:lineRule="exact"/>
        <w:ind w:firstLine="600" w:firstLineChars="200"/>
        <w:outlineLvl w:val="0"/>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t>3</w:t>
      </w:r>
      <w:r>
        <w:rPr>
          <w:rFonts w:hint="eastAsia" w:ascii="仿宋_GB2312" w:hAnsi="仿宋_GB2312" w:eastAsia="仿宋_GB2312" w:cs="仿宋_GB2312"/>
          <w:color w:val="000000"/>
          <w:sz w:val="30"/>
          <w:szCs w:val="30"/>
        </w:rPr>
        <w:t>、固定总价模式下工程量清单错漏问题</w:t>
      </w:r>
    </w:p>
    <w:p>
      <w:pPr>
        <w:spacing w:line="360" w:lineRule="exact"/>
        <w:ind w:firstLine="600" w:firstLineChars="200"/>
        <w:outlineLvl w:val="0"/>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t>4</w:t>
      </w:r>
      <w:r>
        <w:rPr>
          <w:rFonts w:hint="eastAsia" w:ascii="仿宋_GB2312" w:hAnsi="仿宋_GB2312" w:eastAsia="仿宋_GB2312" w:cs="仿宋_GB2312"/>
          <w:color w:val="000000"/>
          <w:sz w:val="30"/>
          <w:szCs w:val="30"/>
        </w:rPr>
        <w:t>、清单计价模式下暂估价问题</w:t>
      </w:r>
    </w:p>
    <w:p>
      <w:pPr>
        <w:spacing w:line="360" w:lineRule="exact"/>
        <w:ind w:firstLine="600" w:firstLineChars="200"/>
        <w:outlineLvl w:val="0"/>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t>5</w:t>
      </w:r>
      <w:r>
        <w:rPr>
          <w:rFonts w:hint="eastAsia" w:ascii="仿宋_GB2312" w:hAnsi="仿宋_GB2312" w:eastAsia="仿宋_GB2312" w:cs="仿宋_GB2312"/>
          <w:color w:val="000000"/>
          <w:sz w:val="30"/>
          <w:szCs w:val="30"/>
        </w:rPr>
        <w:t>、清单计价下投标报价与不平衡报价问题</w:t>
      </w:r>
    </w:p>
    <w:p>
      <w:pPr>
        <w:spacing w:line="360" w:lineRule="exact"/>
        <w:ind w:firstLine="600" w:firstLineChars="200"/>
        <w:outlineLvl w:val="0"/>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t>6</w:t>
      </w:r>
      <w:r>
        <w:rPr>
          <w:rFonts w:hint="eastAsia" w:ascii="仿宋_GB2312" w:hAnsi="仿宋_GB2312" w:eastAsia="仿宋_GB2312" w:cs="仿宋_GB2312"/>
          <w:color w:val="000000"/>
          <w:sz w:val="30"/>
          <w:szCs w:val="30"/>
        </w:rPr>
        <w:t>、计日工、总承包服务费、工程变更、清标等问题</w:t>
      </w:r>
    </w:p>
    <w:p>
      <w:pPr>
        <w:spacing w:line="360" w:lineRule="exact"/>
        <w:ind w:firstLine="600" w:firstLineChars="200"/>
        <w:outlineLvl w:val="0"/>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t>7</w:t>
      </w:r>
      <w:r>
        <w:rPr>
          <w:rFonts w:hint="eastAsia" w:ascii="仿宋_GB2312" w:hAnsi="仿宋_GB2312" w:eastAsia="仿宋_GB2312" w:cs="仿宋_GB2312"/>
          <w:color w:val="000000"/>
          <w:sz w:val="30"/>
          <w:szCs w:val="30"/>
        </w:rPr>
        <w:t>、消耗量定额缺失、信息价格缺失等问题</w:t>
      </w:r>
    </w:p>
    <w:p>
      <w:pPr>
        <w:spacing w:line="360" w:lineRule="exact"/>
        <w:ind w:firstLine="600" w:firstLineChars="200"/>
        <w:outlineLvl w:val="0"/>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t>8</w:t>
      </w:r>
      <w:r>
        <w:rPr>
          <w:rFonts w:hint="eastAsia" w:ascii="仿宋_GB2312" w:hAnsi="仿宋_GB2312" w:eastAsia="仿宋_GB2312" w:cs="仿宋_GB2312"/>
          <w:color w:val="000000"/>
          <w:sz w:val="30"/>
          <w:szCs w:val="30"/>
        </w:rPr>
        <w:t>、计税方法与工程造价不一致问题</w:t>
      </w:r>
    </w:p>
    <w:p>
      <w:pPr>
        <w:spacing w:line="360" w:lineRule="exact"/>
        <w:ind w:firstLine="600" w:firstLineChars="200"/>
        <w:outlineLvl w:val="0"/>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t>9</w:t>
      </w:r>
      <w:r>
        <w:rPr>
          <w:rFonts w:hint="eastAsia" w:ascii="仿宋_GB2312" w:hAnsi="仿宋_GB2312" w:eastAsia="仿宋_GB2312" w:cs="仿宋_GB2312"/>
          <w:color w:val="000000"/>
          <w:sz w:val="30"/>
          <w:szCs w:val="30"/>
        </w:rPr>
        <w:t>、招标文件与招标工程量清单不一致问题</w:t>
      </w:r>
    </w:p>
    <w:p>
      <w:pPr>
        <w:spacing w:line="360" w:lineRule="exact"/>
        <w:ind w:firstLine="600" w:firstLineChars="200"/>
        <w:outlineLvl w:val="0"/>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t>10</w:t>
      </w:r>
      <w:r>
        <w:rPr>
          <w:rFonts w:hint="eastAsia" w:ascii="仿宋_GB2312" w:hAnsi="仿宋_GB2312" w:eastAsia="仿宋_GB2312" w:cs="仿宋_GB2312"/>
          <w:color w:val="000000"/>
          <w:sz w:val="30"/>
          <w:szCs w:val="30"/>
        </w:rPr>
        <w:t>、设计图纸与招标工程量清单不一致问题</w:t>
      </w:r>
    </w:p>
    <w:p>
      <w:pPr>
        <w:spacing w:line="360" w:lineRule="exact"/>
        <w:ind w:firstLine="600" w:firstLineChars="200"/>
        <w:outlineLvl w:val="0"/>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t>11</w:t>
      </w:r>
      <w:r>
        <w:rPr>
          <w:rFonts w:hint="eastAsia" w:ascii="仿宋_GB2312" w:hAnsi="仿宋_GB2312" w:eastAsia="仿宋_GB2312" w:cs="仿宋_GB2312"/>
          <w:color w:val="000000"/>
          <w:sz w:val="30"/>
          <w:szCs w:val="30"/>
        </w:rPr>
        <w:t>、合同文件与招标控制价不一致、中标人的投标文件与招标文件不一致问题</w:t>
      </w:r>
    </w:p>
    <w:p>
      <w:pPr>
        <w:spacing w:line="360" w:lineRule="exact"/>
        <w:ind w:firstLine="600" w:firstLineChars="200"/>
        <w:outlineLvl w:val="0"/>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t>12</w:t>
      </w:r>
      <w:r>
        <w:rPr>
          <w:rFonts w:hint="eastAsia" w:ascii="仿宋_GB2312" w:hAnsi="仿宋_GB2312" w:eastAsia="仿宋_GB2312" w:cs="仿宋_GB2312"/>
          <w:color w:val="000000"/>
          <w:sz w:val="30"/>
          <w:szCs w:val="30"/>
        </w:rPr>
        <w:t>、人工费调整、材料价差调整问题（主要包括基准单价与材料消耗量确定、认质认价、信息价缺失与失真等）</w:t>
      </w:r>
    </w:p>
    <w:p>
      <w:pPr>
        <w:spacing w:line="360" w:lineRule="exact"/>
        <w:ind w:firstLine="600" w:firstLineChars="200"/>
        <w:outlineLvl w:val="0"/>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t>13</w:t>
      </w:r>
      <w:r>
        <w:rPr>
          <w:rFonts w:hint="eastAsia" w:ascii="仿宋_GB2312" w:hAnsi="仿宋_GB2312" w:eastAsia="仿宋_GB2312" w:cs="仿宋_GB2312"/>
          <w:color w:val="000000"/>
          <w:sz w:val="30"/>
          <w:szCs w:val="30"/>
        </w:rPr>
        <w:t>、措施项目费调整问题（主要包括工程变更导致的施工方案变化引起的措施费调整、危险性较大工程措施项目费的调整）</w:t>
      </w:r>
    </w:p>
    <w:p>
      <w:pPr>
        <w:spacing w:line="360" w:lineRule="exact"/>
        <w:ind w:firstLine="600" w:firstLineChars="200"/>
        <w:outlineLvl w:val="0"/>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t>14</w:t>
      </w:r>
      <w:r>
        <w:rPr>
          <w:rFonts w:hint="eastAsia" w:ascii="仿宋_GB2312" w:hAnsi="仿宋_GB2312" w:eastAsia="仿宋_GB2312" w:cs="仿宋_GB2312"/>
          <w:color w:val="000000"/>
          <w:sz w:val="30"/>
          <w:szCs w:val="30"/>
        </w:rPr>
        <w:t>、办理工程签证注意的问题（包括如何签证可以规避结算争议、如何使签批的施工方案具有工程签证的性质）</w:t>
      </w:r>
    </w:p>
    <w:p>
      <w:pPr>
        <w:spacing w:line="360" w:lineRule="exact"/>
        <w:outlineLvl w:val="0"/>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（四）合同纠纷与结算疑难问题</w:t>
      </w:r>
    </w:p>
    <w:p>
      <w:pPr>
        <w:spacing w:line="360" w:lineRule="exact"/>
        <w:ind w:firstLine="600" w:firstLineChars="200"/>
        <w:outlineLvl w:val="0"/>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t>1</w:t>
      </w:r>
      <w:r>
        <w:rPr>
          <w:rFonts w:hint="eastAsia" w:ascii="仿宋_GB2312" w:hAnsi="仿宋_GB2312" w:eastAsia="仿宋_GB2312" w:cs="仿宋_GB2312"/>
          <w:color w:val="000000"/>
          <w:sz w:val="30"/>
          <w:szCs w:val="30"/>
        </w:rPr>
        <w:t>、三无项目及三产项目问题</w:t>
      </w:r>
    </w:p>
    <w:p>
      <w:pPr>
        <w:spacing w:line="360" w:lineRule="exact"/>
        <w:ind w:firstLine="600" w:firstLineChars="200"/>
        <w:outlineLvl w:val="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2、指定分包与资质倒挂问题</w:t>
      </w:r>
    </w:p>
    <w:p>
      <w:pPr>
        <w:spacing w:line="360" w:lineRule="exact"/>
        <w:ind w:firstLine="600" w:firstLineChars="200"/>
        <w:outlineLvl w:val="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3、垫资与“以房抵债”问题</w:t>
      </w:r>
    </w:p>
    <w:p>
      <w:pPr>
        <w:spacing w:line="360" w:lineRule="exact"/>
        <w:ind w:firstLine="600" w:firstLineChars="200"/>
        <w:outlineLvl w:val="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4、超量采购及代付材料款问题</w:t>
      </w:r>
    </w:p>
    <w:p>
      <w:pPr>
        <w:spacing w:line="360" w:lineRule="exact"/>
        <w:ind w:firstLine="600" w:firstLineChars="200"/>
        <w:outlineLvl w:val="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5、指示付款问题</w:t>
      </w:r>
    </w:p>
    <w:p>
      <w:pPr>
        <w:spacing w:line="360" w:lineRule="exact"/>
        <w:ind w:firstLine="600" w:firstLineChars="200"/>
        <w:outlineLvl w:val="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6、签证被拒及中途退场的处理应对</w:t>
      </w:r>
    </w:p>
    <w:p>
      <w:pPr>
        <w:spacing w:line="360" w:lineRule="exact"/>
        <w:ind w:firstLine="600" w:firstLineChars="200"/>
        <w:outlineLvl w:val="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7、劳动用工问题</w:t>
      </w:r>
    </w:p>
    <w:p>
      <w:pPr>
        <w:spacing w:line="360" w:lineRule="exact"/>
        <w:ind w:firstLine="600" w:firstLineChars="200"/>
        <w:outlineLvl w:val="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8、结算协议问题</w:t>
      </w:r>
    </w:p>
    <w:p>
      <w:pPr>
        <w:spacing w:line="360" w:lineRule="exact"/>
        <w:ind w:firstLine="600" w:firstLineChars="200"/>
        <w:outlineLvl w:val="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9、索赔权丧失及未竣工项目问题</w:t>
      </w:r>
    </w:p>
    <w:p>
      <w:pPr>
        <w:spacing w:line="360" w:lineRule="exact"/>
        <w:outlineLvl w:val="0"/>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第二部分：《建设工程施工合同纠纷司法解释（二）》精析</w:t>
      </w:r>
    </w:p>
    <w:p>
      <w:pPr>
        <w:pStyle w:val="7"/>
        <w:spacing w:beforeAutospacing="0" w:afterAutospacing="0" w:line="360" w:lineRule="exact"/>
        <w:jc w:val="both"/>
        <w:outlineLvl w:val="0"/>
        <w:rPr>
          <w:rFonts w:ascii="仿宋_GB2312" w:hAnsi="仿宋" w:eastAsia="仿宋_GB2312" w:cs="仿宋"/>
          <w:b/>
          <w:color w:val="000000"/>
          <w:sz w:val="30"/>
          <w:szCs w:val="30"/>
        </w:rPr>
      </w:pPr>
      <w:r>
        <w:rPr>
          <w:rFonts w:hint="eastAsia" w:ascii="仿宋_GB2312" w:hAnsi="仿宋" w:eastAsia="仿宋_GB2312" w:cs="仿宋"/>
          <w:b/>
          <w:color w:val="000000"/>
          <w:sz w:val="30"/>
          <w:szCs w:val="30"/>
        </w:rPr>
        <w:t>（一）《解释》（二）重点问题一：建设工程施工合同效力及相关问题</w:t>
      </w:r>
    </w:p>
    <w:p>
      <w:pPr>
        <w:pStyle w:val="7"/>
        <w:spacing w:beforeAutospacing="0" w:afterAutospacing="0" w:line="360" w:lineRule="exact"/>
        <w:ind w:firstLine="600" w:firstLineChars="200"/>
        <w:jc w:val="both"/>
        <w:rPr>
          <w:rFonts w:ascii="仿宋_GB2312" w:hAnsi="仿宋" w:eastAsia="仿宋_GB2312" w:cs="仿宋"/>
          <w:color w:val="000000"/>
          <w:sz w:val="30"/>
          <w:szCs w:val="30"/>
        </w:rPr>
      </w:pPr>
      <w:r>
        <w:rPr>
          <w:rFonts w:ascii="仿宋_GB2312" w:hAnsi="仿宋" w:eastAsia="仿宋_GB2312" w:cs="仿宋"/>
          <w:color w:val="000000"/>
          <w:sz w:val="30"/>
          <w:szCs w:val="30"/>
        </w:rPr>
        <w:t>1</w:t>
      </w:r>
      <w:r>
        <w:rPr>
          <w:rFonts w:hint="eastAsia" w:ascii="仿宋_GB2312" w:hAnsi="仿宋" w:eastAsia="仿宋_GB2312" w:cs="仿宋"/>
          <w:color w:val="000000"/>
          <w:sz w:val="30"/>
          <w:szCs w:val="30"/>
        </w:rPr>
        <w:t>、收到中标通知书后未签订书面合同的责任</w:t>
      </w:r>
    </w:p>
    <w:p>
      <w:pPr>
        <w:pStyle w:val="7"/>
        <w:spacing w:beforeAutospacing="0" w:afterAutospacing="0" w:line="360" w:lineRule="exact"/>
        <w:ind w:firstLine="600" w:firstLineChars="200"/>
        <w:jc w:val="both"/>
        <w:rPr>
          <w:rFonts w:ascii="仿宋_GB2312" w:hAnsi="仿宋" w:eastAsia="仿宋_GB2312" w:cs="仿宋"/>
          <w:color w:val="000000"/>
          <w:sz w:val="30"/>
          <w:szCs w:val="30"/>
        </w:rPr>
      </w:pPr>
      <w:r>
        <w:rPr>
          <w:rFonts w:ascii="仿宋_GB2312" w:hAnsi="仿宋" w:eastAsia="仿宋_GB2312" w:cs="仿宋"/>
          <w:color w:val="000000"/>
          <w:sz w:val="30"/>
          <w:szCs w:val="30"/>
        </w:rPr>
        <w:t>2</w:t>
      </w:r>
      <w:r>
        <w:rPr>
          <w:rFonts w:hint="eastAsia" w:ascii="仿宋_GB2312" w:hAnsi="仿宋" w:eastAsia="仿宋_GB2312" w:cs="仿宋"/>
          <w:color w:val="000000"/>
          <w:sz w:val="30"/>
          <w:szCs w:val="30"/>
        </w:rPr>
        <w:t>、中标合同实质性内容的认定</w:t>
      </w:r>
    </w:p>
    <w:p>
      <w:pPr>
        <w:pStyle w:val="7"/>
        <w:spacing w:beforeAutospacing="0" w:afterAutospacing="0" w:line="360" w:lineRule="exact"/>
        <w:ind w:firstLine="600" w:firstLineChars="200"/>
        <w:jc w:val="both"/>
        <w:rPr>
          <w:rFonts w:ascii="仿宋_GB2312" w:hAnsi="仿宋" w:eastAsia="仿宋_GB2312" w:cs="仿宋"/>
          <w:color w:val="000000"/>
          <w:sz w:val="30"/>
          <w:szCs w:val="30"/>
        </w:rPr>
      </w:pPr>
      <w:r>
        <w:rPr>
          <w:rFonts w:ascii="仿宋_GB2312" w:hAnsi="仿宋" w:eastAsia="仿宋_GB2312" w:cs="仿宋"/>
          <w:color w:val="000000"/>
          <w:sz w:val="30"/>
          <w:szCs w:val="30"/>
        </w:rPr>
        <w:t>3</w:t>
      </w:r>
      <w:r>
        <w:rPr>
          <w:rFonts w:hint="eastAsia" w:ascii="仿宋_GB2312" w:hAnsi="仿宋" w:eastAsia="仿宋_GB2312" w:cs="仿宋"/>
          <w:color w:val="000000"/>
          <w:sz w:val="30"/>
          <w:szCs w:val="30"/>
        </w:rPr>
        <w:t>、背离中标合同实质性内容的认定</w:t>
      </w:r>
    </w:p>
    <w:p>
      <w:pPr>
        <w:pStyle w:val="7"/>
        <w:spacing w:beforeAutospacing="0" w:afterAutospacing="0" w:line="360" w:lineRule="exact"/>
        <w:ind w:firstLine="600" w:firstLineChars="200"/>
        <w:jc w:val="both"/>
        <w:rPr>
          <w:rFonts w:ascii="仿宋_GB2312" w:hAnsi="仿宋" w:eastAsia="仿宋_GB2312" w:cs="仿宋"/>
          <w:color w:val="000000"/>
          <w:sz w:val="30"/>
          <w:szCs w:val="30"/>
        </w:rPr>
      </w:pPr>
      <w:r>
        <w:rPr>
          <w:rFonts w:ascii="仿宋_GB2312" w:hAnsi="仿宋" w:eastAsia="仿宋_GB2312" w:cs="仿宋"/>
          <w:color w:val="000000"/>
          <w:sz w:val="30"/>
          <w:szCs w:val="30"/>
        </w:rPr>
        <w:t>4</w:t>
      </w:r>
      <w:r>
        <w:rPr>
          <w:rFonts w:hint="eastAsia" w:ascii="仿宋_GB2312" w:hAnsi="仿宋" w:eastAsia="仿宋_GB2312" w:cs="仿宋"/>
          <w:color w:val="000000"/>
          <w:sz w:val="30"/>
          <w:szCs w:val="30"/>
        </w:rPr>
        <w:t>、中标合同实质性内容变更的例外情形</w:t>
      </w:r>
    </w:p>
    <w:p>
      <w:pPr>
        <w:pStyle w:val="7"/>
        <w:spacing w:beforeAutospacing="0" w:afterAutospacing="0" w:line="360" w:lineRule="exact"/>
        <w:ind w:firstLine="600" w:firstLineChars="200"/>
        <w:jc w:val="both"/>
        <w:rPr>
          <w:rFonts w:ascii="仿宋_GB2312" w:hAnsi="仿宋" w:eastAsia="仿宋_GB2312" w:cs="仿宋"/>
          <w:color w:val="000000"/>
          <w:sz w:val="30"/>
          <w:szCs w:val="30"/>
        </w:rPr>
      </w:pPr>
      <w:r>
        <w:rPr>
          <w:rFonts w:ascii="仿宋_GB2312" w:hAnsi="仿宋" w:eastAsia="仿宋_GB2312" w:cs="仿宋"/>
          <w:color w:val="000000"/>
          <w:sz w:val="30"/>
          <w:szCs w:val="30"/>
        </w:rPr>
        <w:t>5</w:t>
      </w:r>
      <w:r>
        <w:rPr>
          <w:rFonts w:hint="eastAsia" w:ascii="仿宋_GB2312" w:hAnsi="仿宋" w:eastAsia="仿宋_GB2312" w:cs="仿宋"/>
          <w:color w:val="000000"/>
          <w:sz w:val="30"/>
          <w:szCs w:val="30"/>
        </w:rPr>
        <w:t>、违法建筑施工合同的处理</w:t>
      </w:r>
    </w:p>
    <w:p>
      <w:pPr>
        <w:pStyle w:val="7"/>
        <w:spacing w:beforeAutospacing="0" w:afterAutospacing="0" w:line="360" w:lineRule="exact"/>
        <w:ind w:firstLine="600" w:firstLineChars="200"/>
        <w:jc w:val="both"/>
        <w:rPr>
          <w:rFonts w:ascii="仿宋_GB2312" w:hAnsi="仿宋" w:eastAsia="仿宋_GB2312" w:cs="仿宋"/>
          <w:color w:val="000000"/>
          <w:sz w:val="30"/>
          <w:szCs w:val="30"/>
        </w:rPr>
      </w:pPr>
      <w:r>
        <w:rPr>
          <w:rFonts w:ascii="仿宋_GB2312" w:hAnsi="仿宋" w:eastAsia="仿宋_GB2312" w:cs="仿宋"/>
          <w:color w:val="000000"/>
          <w:sz w:val="30"/>
          <w:szCs w:val="30"/>
        </w:rPr>
        <w:t>6</w:t>
      </w:r>
      <w:r>
        <w:rPr>
          <w:rFonts w:hint="eastAsia" w:ascii="仿宋_GB2312" w:hAnsi="仿宋" w:eastAsia="仿宋_GB2312" w:cs="仿宋"/>
          <w:color w:val="000000"/>
          <w:sz w:val="30"/>
          <w:szCs w:val="30"/>
        </w:rPr>
        <w:t>、合同无效的赔偿责任</w:t>
      </w:r>
    </w:p>
    <w:p>
      <w:pPr>
        <w:spacing w:line="360" w:lineRule="exact"/>
        <w:outlineLvl w:val="0"/>
        <w:rPr>
          <w:rFonts w:ascii="仿宋_GB2312" w:hAnsi="仿宋" w:eastAsia="仿宋_GB2312" w:cs="仿宋"/>
          <w:b/>
          <w:color w:val="000000"/>
          <w:sz w:val="30"/>
          <w:szCs w:val="30"/>
        </w:rPr>
      </w:pPr>
      <w:r>
        <w:rPr>
          <w:rFonts w:hint="eastAsia" w:ascii="仿宋_GB2312" w:hAnsi="仿宋" w:eastAsia="仿宋_GB2312" w:cs="仿宋"/>
          <w:b/>
          <w:color w:val="000000"/>
          <w:sz w:val="30"/>
          <w:szCs w:val="30"/>
        </w:rPr>
        <w:t>（二）《解释》（二）重点问题二：施工合同履行相关问题</w:t>
      </w:r>
    </w:p>
    <w:p>
      <w:pPr>
        <w:pStyle w:val="7"/>
        <w:spacing w:beforeAutospacing="0" w:afterAutospacing="0" w:line="360" w:lineRule="exact"/>
        <w:ind w:firstLine="600" w:firstLineChars="200"/>
        <w:jc w:val="both"/>
        <w:rPr>
          <w:rFonts w:ascii="仿宋_GB2312" w:hAnsi="仿宋" w:eastAsia="仿宋_GB2312" w:cs="仿宋"/>
          <w:color w:val="000000"/>
          <w:sz w:val="30"/>
          <w:szCs w:val="30"/>
        </w:rPr>
      </w:pPr>
      <w:r>
        <w:rPr>
          <w:rFonts w:ascii="仿宋_GB2312" w:hAnsi="仿宋" w:eastAsia="仿宋_GB2312" w:cs="仿宋"/>
          <w:color w:val="000000"/>
          <w:sz w:val="30"/>
          <w:szCs w:val="30"/>
        </w:rPr>
        <w:t>1</w:t>
      </w:r>
      <w:r>
        <w:rPr>
          <w:rFonts w:hint="eastAsia" w:ascii="仿宋_GB2312" w:hAnsi="仿宋" w:eastAsia="仿宋_GB2312" w:cs="仿宋"/>
          <w:color w:val="000000"/>
          <w:sz w:val="30"/>
          <w:szCs w:val="30"/>
        </w:rPr>
        <w:t>、实际开工日期的认定</w:t>
      </w:r>
    </w:p>
    <w:p>
      <w:pPr>
        <w:pStyle w:val="7"/>
        <w:spacing w:beforeAutospacing="0" w:afterAutospacing="0" w:line="360" w:lineRule="exact"/>
        <w:ind w:firstLine="600" w:firstLineChars="200"/>
        <w:jc w:val="both"/>
        <w:rPr>
          <w:rFonts w:ascii="仿宋_GB2312" w:hAnsi="仿宋" w:eastAsia="仿宋_GB2312" w:cs="仿宋"/>
          <w:color w:val="000000"/>
          <w:sz w:val="30"/>
          <w:szCs w:val="30"/>
        </w:rPr>
      </w:pPr>
      <w:r>
        <w:rPr>
          <w:rFonts w:ascii="仿宋_GB2312" w:hAnsi="仿宋" w:eastAsia="仿宋_GB2312" w:cs="仿宋"/>
          <w:color w:val="000000"/>
          <w:sz w:val="30"/>
          <w:szCs w:val="30"/>
        </w:rPr>
        <w:t>2</w:t>
      </w:r>
      <w:r>
        <w:rPr>
          <w:rFonts w:hint="eastAsia" w:ascii="仿宋_GB2312" w:hAnsi="仿宋" w:eastAsia="仿宋_GB2312" w:cs="仿宋"/>
          <w:color w:val="000000"/>
          <w:sz w:val="30"/>
          <w:szCs w:val="30"/>
        </w:rPr>
        <w:t>、工期顺延的认定</w:t>
      </w:r>
    </w:p>
    <w:p>
      <w:pPr>
        <w:pStyle w:val="7"/>
        <w:spacing w:beforeAutospacing="0" w:afterAutospacing="0" w:line="360" w:lineRule="exact"/>
        <w:ind w:firstLine="600" w:firstLineChars="200"/>
        <w:jc w:val="both"/>
        <w:rPr>
          <w:rFonts w:ascii="仿宋_GB2312" w:hAnsi="仿宋" w:eastAsia="仿宋_GB2312" w:cs="仿宋"/>
          <w:color w:val="000000"/>
          <w:sz w:val="30"/>
          <w:szCs w:val="30"/>
        </w:rPr>
      </w:pPr>
      <w:r>
        <w:rPr>
          <w:rFonts w:ascii="仿宋_GB2312" w:hAnsi="仿宋" w:eastAsia="仿宋_GB2312" w:cs="仿宋"/>
          <w:color w:val="000000"/>
          <w:sz w:val="30"/>
          <w:szCs w:val="30"/>
        </w:rPr>
        <w:t>3</w:t>
      </w:r>
      <w:r>
        <w:rPr>
          <w:rFonts w:hint="eastAsia" w:ascii="仿宋_GB2312" w:hAnsi="仿宋" w:eastAsia="仿宋_GB2312" w:cs="仿宋"/>
          <w:color w:val="000000"/>
          <w:sz w:val="30"/>
          <w:szCs w:val="30"/>
        </w:rPr>
        <w:t>、质量保证金相关问题</w:t>
      </w:r>
    </w:p>
    <w:p>
      <w:pPr>
        <w:pStyle w:val="7"/>
        <w:spacing w:beforeAutospacing="0" w:afterAutospacing="0" w:line="360" w:lineRule="exact"/>
        <w:ind w:firstLine="600" w:firstLineChars="200"/>
        <w:jc w:val="both"/>
        <w:rPr>
          <w:rFonts w:ascii="仿宋_GB2312" w:hAnsi="仿宋" w:eastAsia="仿宋_GB2312" w:cs="仿宋"/>
          <w:color w:val="000000"/>
          <w:sz w:val="30"/>
          <w:szCs w:val="30"/>
        </w:rPr>
      </w:pPr>
      <w:r>
        <w:rPr>
          <w:rFonts w:ascii="仿宋_GB2312" w:hAnsi="仿宋" w:eastAsia="仿宋_GB2312" w:cs="仿宋"/>
          <w:color w:val="000000"/>
          <w:sz w:val="30"/>
          <w:szCs w:val="30"/>
        </w:rPr>
        <w:t>4</w:t>
      </w:r>
      <w:r>
        <w:rPr>
          <w:rFonts w:hint="eastAsia" w:ascii="仿宋_GB2312" w:hAnsi="仿宋" w:eastAsia="仿宋_GB2312" w:cs="仿宋"/>
          <w:color w:val="000000"/>
          <w:sz w:val="30"/>
          <w:szCs w:val="30"/>
        </w:rPr>
        <w:t>、备案合同与招投标文件不一致时工程价款的结算</w:t>
      </w:r>
    </w:p>
    <w:p>
      <w:pPr>
        <w:pStyle w:val="7"/>
        <w:spacing w:beforeAutospacing="0" w:afterAutospacing="0" w:line="360" w:lineRule="exact"/>
        <w:ind w:firstLine="600" w:firstLineChars="200"/>
        <w:jc w:val="both"/>
        <w:rPr>
          <w:rFonts w:ascii="仿宋_GB2312" w:hAnsi="仿宋" w:eastAsia="仿宋_GB2312" w:cs="仿宋"/>
          <w:color w:val="000000"/>
          <w:sz w:val="30"/>
          <w:szCs w:val="30"/>
        </w:rPr>
      </w:pPr>
      <w:r>
        <w:rPr>
          <w:rFonts w:ascii="仿宋_GB2312" w:hAnsi="仿宋" w:eastAsia="仿宋_GB2312" w:cs="仿宋"/>
          <w:color w:val="000000"/>
          <w:sz w:val="30"/>
          <w:szCs w:val="30"/>
        </w:rPr>
        <w:t>5</w:t>
      </w:r>
      <w:r>
        <w:rPr>
          <w:rFonts w:hint="eastAsia" w:ascii="仿宋_GB2312" w:hAnsi="仿宋" w:eastAsia="仿宋_GB2312" w:cs="仿宋"/>
          <w:color w:val="000000"/>
          <w:sz w:val="30"/>
          <w:szCs w:val="30"/>
        </w:rPr>
        <w:t>、自主招标相关问题</w:t>
      </w:r>
    </w:p>
    <w:p>
      <w:pPr>
        <w:pStyle w:val="7"/>
        <w:spacing w:beforeAutospacing="0" w:afterAutospacing="0" w:line="360" w:lineRule="exact"/>
        <w:ind w:firstLine="600" w:firstLineChars="200"/>
        <w:jc w:val="both"/>
        <w:rPr>
          <w:rFonts w:ascii="仿宋_GB2312" w:hAnsi="仿宋" w:eastAsia="仿宋_GB2312" w:cs="仿宋"/>
          <w:color w:val="000000"/>
          <w:sz w:val="30"/>
          <w:szCs w:val="30"/>
        </w:rPr>
      </w:pPr>
      <w:r>
        <w:rPr>
          <w:rFonts w:ascii="仿宋_GB2312" w:hAnsi="仿宋" w:eastAsia="仿宋_GB2312" w:cs="仿宋"/>
          <w:color w:val="000000"/>
          <w:sz w:val="30"/>
          <w:szCs w:val="30"/>
        </w:rPr>
        <w:t>6</w:t>
      </w:r>
      <w:r>
        <w:rPr>
          <w:rFonts w:hint="eastAsia" w:ascii="仿宋_GB2312" w:hAnsi="仿宋" w:eastAsia="仿宋_GB2312" w:cs="仿宋"/>
          <w:color w:val="000000"/>
          <w:sz w:val="30"/>
          <w:szCs w:val="30"/>
        </w:rPr>
        <w:t>、合作开发房地产各方对于工程价款债务责任承担</w:t>
      </w:r>
    </w:p>
    <w:p>
      <w:pPr>
        <w:pStyle w:val="7"/>
        <w:spacing w:beforeAutospacing="0" w:afterAutospacing="0" w:line="360" w:lineRule="exact"/>
        <w:ind w:firstLine="600" w:firstLineChars="200"/>
        <w:jc w:val="both"/>
        <w:rPr>
          <w:rFonts w:ascii="仿宋_GB2312" w:hAnsi="仿宋" w:eastAsia="仿宋_GB2312" w:cs="仿宋"/>
          <w:color w:val="000000"/>
          <w:sz w:val="30"/>
          <w:szCs w:val="30"/>
        </w:rPr>
      </w:pPr>
      <w:r>
        <w:rPr>
          <w:rFonts w:ascii="仿宋_GB2312" w:hAnsi="仿宋" w:eastAsia="仿宋_GB2312" w:cs="仿宋"/>
          <w:color w:val="000000"/>
          <w:sz w:val="30"/>
          <w:szCs w:val="30"/>
        </w:rPr>
        <w:t>7</w:t>
      </w:r>
      <w:r>
        <w:rPr>
          <w:rFonts w:hint="eastAsia" w:ascii="仿宋_GB2312" w:hAnsi="仿宋" w:eastAsia="仿宋_GB2312" w:cs="仿宋"/>
          <w:color w:val="000000"/>
          <w:sz w:val="30"/>
          <w:szCs w:val="30"/>
        </w:rPr>
        <w:t>、多份无效合同的结算</w:t>
      </w:r>
    </w:p>
    <w:p>
      <w:pPr>
        <w:pStyle w:val="7"/>
        <w:spacing w:beforeAutospacing="0" w:afterAutospacing="0" w:line="360" w:lineRule="exact"/>
        <w:jc w:val="both"/>
        <w:outlineLvl w:val="0"/>
        <w:rPr>
          <w:rFonts w:ascii="仿宋_GB2312" w:hAnsi="仿宋" w:eastAsia="仿宋_GB2312" w:cs="仿宋"/>
          <w:b/>
          <w:color w:val="000000"/>
          <w:sz w:val="30"/>
          <w:szCs w:val="30"/>
        </w:rPr>
      </w:pPr>
      <w:r>
        <w:rPr>
          <w:rFonts w:hint="eastAsia" w:ascii="仿宋_GB2312" w:hAnsi="仿宋" w:eastAsia="仿宋_GB2312" w:cs="仿宋"/>
          <w:b/>
          <w:color w:val="000000"/>
          <w:sz w:val="30"/>
          <w:szCs w:val="30"/>
        </w:rPr>
        <w:t>（三）《解释》（二）重点问题三：建设工程造价鉴定</w:t>
      </w:r>
    </w:p>
    <w:p>
      <w:pPr>
        <w:pStyle w:val="7"/>
        <w:spacing w:beforeAutospacing="0" w:afterAutospacing="0" w:line="360" w:lineRule="exact"/>
        <w:ind w:firstLine="600" w:firstLineChars="200"/>
        <w:jc w:val="both"/>
        <w:rPr>
          <w:rFonts w:ascii="仿宋_GB2312" w:hAnsi="仿宋" w:eastAsia="仿宋_GB2312" w:cs="仿宋"/>
          <w:color w:val="000000"/>
          <w:sz w:val="30"/>
          <w:szCs w:val="30"/>
        </w:rPr>
      </w:pPr>
      <w:r>
        <w:rPr>
          <w:rFonts w:ascii="仿宋_GB2312" w:hAnsi="仿宋" w:eastAsia="仿宋_GB2312" w:cs="仿宋"/>
          <w:color w:val="000000"/>
          <w:sz w:val="30"/>
          <w:szCs w:val="30"/>
        </w:rPr>
        <w:t>1</w:t>
      </w:r>
      <w:r>
        <w:rPr>
          <w:rFonts w:hint="eastAsia" w:ascii="仿宋_GB2312" w:hAnsi="仿宋" w:eastAsia="仿宋_GB2312" w:cs="仿宋"/>
          <w:color w:val="000000"/>
          <w:sz w:val="30"/>
          <w:szCs w:val="30"/>
        </w:rPr>
        <w:t>、诉讼前就工程价款结算达成合意的效力</w:t>
      </w:r>
    </w:p>
    <w:p>
      <w:pPr>
        <w:pStyle w:val="7"/>
        <w:spacing w:beforeAutospacing="0" w:afterAutospacing="0" w:line="360" w:lineRule="exact"/>
        <w:ind w:firstLine="600" w:firstLineChars="200"/>
        <w:jc w:val="both"/>
        <w:rPr>
          <w:rFonts w:ascii="仿宋_GB2312" w:hAnsi="仿宋" w:eastAsia="仿宋_GB2312" w:cs="仿宋"/>
          <w:color w:val="000000"/>
          <w:sz w:val="30"/>
          <w:szCs w:val="30"/>
        </w:rPr>
      </w:pPr>
      <w:r>
        <w:rPr>
          <w:rFonts w:ascii="仿宋_GB2312" w:hAnsi="仿宋" w:eastAsia="仿宋_GB2312" w:cs="仿宋"/>
          <w:color w:val="000000"/>
          <w:sz w:val="30"/>
          <w:szCs w:val="30"/>
        </w:rPr>
        <w:t>2</w:t>
      </w:r>
      <w:r>
        <w:rPr>
          <w:rFonts w:hint="eastAsia" w:ascii="仿宋_GB2312" w:hAnsi="仿宋" w:eastAsia="仿宋_GB2312" w:cs="仿宋"/>
          <w:color w:val="000000"/>
          <w:sz w:val="30"/>
          <w:szCs w:val="30"/>
        </w:rPr>
        <w:t>、诉讼前共同委托造价咨询的效力</w:t>
      </w:r>
    </w:p>
    <w:p>
      <w:pPr>
        <w:pStyle w:val="7"/>
        <w:spacing w:beforeAutospacing="0" w:afterAutospacing="0" w:line="360" w:lineRule="exact"/>
        <w:ind w:firstLine="600" w:firstLineChars="200"/>
        <w:jc w:val="both"/>
        <w:rPr>
          <w:rFonts w:ascii="仿宋_GB2312" w:hAnsi="仿宋" w:eastAsia="仿宋_GB2312" w:cs="仿宋"/>
          <w:color w:val="000000"/>
          <w:sz w:val="30"/>
          <w:szCs w:val="30"/>
        </w:rPr>
      </w:pPr>
      <w:r>
        <w:rPr>
          <w:rFonts w:ascii="仿宋_GB2312" w:hAnsi="仿宋" w:eastAsia="仿宋_GB2312" w:cs="仿宋"/>
          <w:color w:val="000000"/>
          <w:sz w:val="30"/>
          <w:szCs w:val="30"/>
        </w:rPr>
        <w:t>3</w:t>
      </w:r>
      <w:r>
        <w:rPr>
          <w:rFonts w:hint="eastAsia" w:ascii="仿宋_GB2312" w:hAnsi="仿宋" w:eastAsia="仿宋_GB2312" w:cs="仿宋"/>
          <w:color w:val="000000"/>
          <w:sz w:val="30"/>
          <w:szCs w:val="30"/>
        </w:rPr>
        <w:t>、二审程序中的鉴定</w:t>
      </w:r>
    </w:p>
    <w:p>
      <w:pPr>
        <w:pStyle w:val="7"/>
        <w:spacing w:beforeAutospacing="0" w:afterAutospacing="0" w:line="360" w:lineRule="exact"/>
        <w:ind w:firstLine="600" w:firstLineChars="200"/>
        <w:jc w:val="both"/>
        <w:rPr>
          <w:rFonts w:ascii="仿宋_GB2312" w:hAnsi="仿宋" w:eastAsia="仿宋_GB2312" w:cs="仿宋"/>
          <w:color w:val="000000"/>
          <w:sz w:val="30"/>
          <w:szCs w:val="30"/>
        </w:rPr>
      </w:pPr>
      <w:r>
        <w:rPr>
          <w:rFonts w:ascii="仿宋_GB2312" w:hAnsi="仿宋" w:eastAsia="仿宋_GB2312" w:cs="仿宋"/>
          <w:color w:val="000000"/>
          <w:sz w:val="30"/>
          <w:szCs w:val="30"/>
        </w:rPr>
        <w:t>4</w:t>
      </w:r>
      <w:r>
        <w:rPr>
          <w:rFonts w:hint="eastAsia" w:ascii="仿宋_GB2312" w:hAnsi="仿宋" w:eastAsia="仿宋_GB2312" w:cs="仿宋"/>
          <w:color w:val="000000"/>
          <w:sz w:val="30"/>
          <w:szCs w:val="30"/>
        </w:rPr>
        <w:t>、法院委托鉴定中司法权的行使</w:t>
      </w:r>
    </w:p>
    <w:p>
      <w:pPr>
        <w:pStyle w:val="7"/>
        <w:spacing w:beforeAutospacing="0" w:afterAutospacing="0" w:line="360" w:lineRule="exact"/>
        <w:ind w:firstLine="600" w:firstLineChars="200"/>
        <w:jc w:val="both"/>
        <w:rPr>
          <w:rFonts w:ascii="仿宋_GB2312" w:hAnsi="仿宋" w:eastAsia="仿宋_GB2312" w:cs="仿宋"/>
          <w:color w:val="000000"/>
          <w:sz w:val="30"/>
          <w:szCs w:val="30"/>
        </w:rPr>
      </w:pPr>
      <w:r>
        <w:rPr>
          <w:rFonts w:ascii="仿宋_GB2312" w:hAnsi="仿宋" w:eastAsia="仿宋_GB2312" w:cs="仿宋"/>
          <w:color w:val="000000"/>
          <w:sz w:val="30"/>
          <w:szCs w:val="30"/>
        </w:rPr>
        <w:t>5</w:t>
      </w:r>
      <w:r>
        <w:rPr>
          <w:rFonts w:hint="eastAsia" w:ascii="仿宋_GB2312" w:hAnsi="仿宋" w:eastAsia="仿宋_GB2312" w:cs="仿宋"/>
          <w:color w:val="000000"/>
          <w:sz w:val="30"/>
          <w:szCs w:val="30"/>
        </w:rPr>
        <w:t>、鉴定意见的审核认定原则</w:t>
      </w:r>
    </w:p>
    <w:p>
      <w:pPr>
        <w:pStyle w:val="7"/>
        <w:spacing w:beforeAutospacing="0" w:afterAutospacing="0" w:line="360" w:lineRule="exact"/>
        <w:jc w:val="both"/>
        <w:outlineLvl w:val="0"/>
        <w:rPr>
          <w:rFonts w:ascii="仿宋_GB2312" w:hAnsi="仿宋" w:eastAsia="仿宋_GB2312" w:cs="仿宋"/>
          <w:b/>
          <w:color w:val="000000"/>
          <w:sz w:val="30"/>
          <w:szCs w:val="30"/>
        </w:rPr>
      </w:pPr>
      <w:r>
        <w:rPr>
          <w:rFonts w:hint="eastAsia" w:ascii="仿宋_GB2312" w:hAnsi="仿宋" w:eastAsia="仿宋_GB2312" w:cs="仿宋"/>
          <w:b/>
          <w:color w:val="000000"/>
          <w:sz w:val="30"/>
          <w:szCs w:val="30"/>
        </w:rPr>
        <w:t>（四）《解释》（二）重点问题四：实际施工人的相关问题</w:t>
      </w:r>
    </w:p>
    <w:p>
      <w:pPr>
        <w:pStyle w:val="7"/>
        <w:spacing w:beforeAutospacing="0" w:afterAutospacing="0" w:line="360" w:lineRule="exact"/>
        <w:ind w:firstLine="600" w:firstLineChars="200"/>
        <w:jc w:val="both"/>
        <w:rPr>
          <w:rFonts w:ascii="仿宋_GB2312" w:hAnsi="仿宋" w:eastAsia="仿宋_GB2312" w:cs="仿宋"/>
          <w:color w:val="000000"/>
          <w:sz w:val="30"/>
          <w:szCs w:val="30"/>
        </w:rPr>
      </w:pPr>
      <w:r>
        <w:rPr>
          <w:rFonts w:ascii="仿宋_GB2312" w:hAnsi="仿宋" w:eastAsia="仿宋_GB2312" w:cs="仿宋"/>
          <w:color w:val="000000"/>
          <w:sz w:val="30"/>
          <w:szCs w:val="30"/>
        </w:rPr>
        <w:t>1</w:t>
      </w:r>
      <w:r>
        <w:rPr>
          <w:rFonts w:hint="eastAsia" w:ascii="仿宋_GB2312" w:hAnsi="仿宋" w:eastAsia="仿宋_GB2312" w:cs="仿宋"/>
          <w:color w:val="000000"/>
          <w:sz w:val="30"/>
          <w:szCs w:val="30"/>
        </w:rPr>
        <w:t>、实际施工人的权利救济途径</w:t>
      </w:r>
    </w:p>
    <w:p>
      <w:pPr>
        <w:pStyle w:val="7"/>
        <w:spacing w:beforeAutospacing="0" w:afterAutospacing="0" w:line="360" w:lineRule="exact"/>
        <w:ind w:firstLine="600" w:firstLineChars="200"/>
        <w:jc w:val="both"/>
        <w:rPr>
          <w:rFonts w:ascii="仿宋_GB2312" w:hAnsi="仿宋" w:eastAsia="仿宋_GB2312" w:cs="仿宋"/>
          <w:color w:val="000000"/>
          <w:sz w:val="30"/>
          <w:szCs w:val="30"/>
        </w:rPr>
      </w:pPr>
      <w:r>
        <w:rPr>
          <w:rFonts w:ascii="仿宋_GB2312" w:hAnsi="仿宋" w:eastAsia="仿宋_GB2312" w:cs="仿宋"/>
          <w:color w:val="000000"/>
          <w:sz w:val="30"/>
          <w:szCs w:val="30"/>
        </w:rPr>
        <w:t>2</w:t>
      </w:r>
      <w:r>
        <w:rPr>
          <w:rFonts w:hint="eastAsia" w:ascii="仿宋_GB2312" w:hAnsi="仿宋" w:eastAsia="仿宋_GB2312" w:cs="仿宋"/>
          <w:color w:val="000000"/>
          <w:sz w:val="30"/>
          <w:szCs w:val="30"/>
        </w:rPr>
        <w:t>、借用情形下实际施工人的权利救济</w:t>
      </w:r>
    </w:p>
    <w:p>
      <w:pPr>
        <w:pStyle w:val="7"/>
        <w:spacing w:beforeAutospacing="0" w:afterAutospacing="0" w:line="360" w:lineRule="exact"/>
        <w:jc w:val="both"/>
        <w:outlineLvl w:val="0"/>
        <w:rPr>
          <w:rFonts w:ascii="仿宋_GB2312" w:hAnsi="仿宋" w:eastAsia="仿宋_GB2312" w:cs="仿宋"/>
          <w:b/>
          <w:color w:val="000000"/>
          <w:sz w:val="30"/>
          <w:szCs w:val="30"/>
        </w:rPr>
      </w:pPr>
      <w:r>
        <w:rPr>
          <w:rFonts w:hint="eastAsia" w:ascii="仿宋_GB2312" w:hAnsi="仿宋" w:eastAsia="仿宋_GB2312" w:cs="仿宋"/>
          <w:b/>
          <w:color w:val="000000"/>
          <w:sz w:val="30"/>
          <w:szCs w:val="30"/>
        </w:rPr>
        <w:t>（五）《解释》（二）重点问题五：建设工程价款优先受偿权的权利主体</w:t>
      </w:r>
    </w:p>
    <w:p>
      <w:pPr>
        <w:pStyle w:val="7"/>
        <w:spacing w:beforeAutospacing="0" w:afterAutospacing="0" w:line="360" w:lineRule="exact"/>
        <w:ind w:firstLine="600" w:firstLineChars="200"/>
        <w:jc w:val="both"/>
        <w:rPr>
          <w:rFonts w:ascii="仿宋_GB2312" w:hAnsi="仿宋" w:eastAsia="仿宋_GB2312" w:cs="仿宋"/>
          <w:color w:val="000000"/>
          <w:sz w:val="30"/>
          <w:szCs w:val="30"/>
        </w:rPr>
      </w:pPr>
      <w:r>
        <w:rPr>
          <w:rFonts w:ascii="仿宋_GB2312" w:hAnsi="仿宋" w:eastAsia="仿宋_GB2312" w:cs="仿宋"/>
          <w:color w:val="000000"/>
          <w:sz w:val="30"/>
          <w:szCs w:val="30"/>
        </w:rPr>
        <w:t>1</w:t>
      </w:r>
      <w:r>
        <w:rPr>
          <w:rFonts w:hint="eastAsia" w:ascii="仿宋_GB2312" w:hAnsi="仿宋" w:eastAsia="仿宋_GB2312" w:cs="仿宋"/>
          <w:color w:val="000000"/>
          <w:sz w:val="30"/>
          <w:szCs w:val="30"/>
        </w:rPr>
        <w:t>、合同承包人优先受偿权的行使</w:t>
      </w:r>
    </w:p>
    <w:p>
      <w:pPr>
        <w:pStyle w:val="7"/>
        <w:spacing w:beforeAutospacing="0" w:afterAutospacing="0" w:line="360" w:lineRule="exact"/>
        <w:ind w:firstLine="600" w:firstLineChars="200"/>
        <w:jc w:val="both"/>
        <w:rPr>
          <w:rFonts w:ascii="仿宋_GB2312" w:hAnsi="仿宋" w:eastAsia="仿宋_GB2312" w:cs="仿宋"/>
          <w:color w:val="000000"/>
          <w:sz w:val="30"/>
          <w:szCs w:val="30"/>
        </w:rPr>
      </w:pPr>
      <w:r>
        <w:rPr>
          <w:rFonts w:ascii="仿宋_GB2312" w:hAnsi="仿宋" w:eastAsia="仿宋_GB2312" w:cs="仿宋"/>
          <w:color w:val="000000"/>
          <w:sz w:val="30"/>
          <w:szCs w:val="30"/>
        </w:rPr>
        <w:t>2</w:t>
      </w:r>
      <w:r>
        <w:rPr>
          <w:rFonts w:hint="eastAsia" w:ascii="仿宋_GB2312" w:hAnsi="仿宋" w:eastAsia="仿宋_GB2312" w:cs="仿宋"/>
          <w:color w:val="000000"/>
          <w:sz w:val="30"/>
          <w:szCs w:val="30"/>
        </w:rPr>
        <w:t>、优先受偿的债权范围</w:t>
      </w:r>
    </w:p>
    <w:p>
      <w:pPr>
        <w:pStyle w:val="7"/>
        <w:spacing w:beforeAutospacing="0" w:afterAutospacing="0" w:line="360" w:lineRule="exact"/>
        <w:ind w:firstLine="600" w:firstLineChars="200"/>
        <w:jc w:val="both"/>
        <w:rPr>
          <w:rFonts w:ascii="仿宋_GB2312" w:hAnsi="仿宋" w:eastAsia="仿宋_GB2312" w:cs="仿宋"/>
          <w:color w:val="000000"/>
          <w:sz w:val="30"/>
          <w:szCs w:val="30"/>
        </w:rPr>
      </w:pPr>
      <w:r>
        <w:rPr>
          <w:rFonts w:ascii="仿宋_GB2312" w:hAnsi="仿宋" w:eastAsia="仿宋_GB2312" w:cs="仿宋"/>
          <w:color w:val="000000"/>
          <w:sz w:val="30"/>
          <w:szCs w:val="30"/>
        </w:rPr>
        <w:t>3</w:t>
      </w:r>
      <w:r>
        <w:rPr>
          <w:rFonts w:hint="eastAsia" w:ascii="仿宋_GB2312" w:hAnsi="仿宋" w:eastAsia="仿宋_GB2312" w:cs="仿宋"/>
          <w:color w:val="000000"/>
          <w:sz w:val="30"/>
          <w:szCs w:val="30"/>
        </w:rPr>
        <w:t>、优先受偿权的行使条件</w:t>
      </w:r>
    </w:p>
    <w:p>
      <w:pPr>
        <w:pStyle w:val="7"/>
        <w:spacing w:beforeAutospacing="0" w:afterAutospacing="0" w:line="360" w:lineRule="exact"/>
        <w:ind w:firstLine="600" w:firstLineChars="200"/>
        <w:jc w:val="both"/>
        <w:rPr>
          <w:rFonts w:ascii="仿宋_GB2312" w:hAnsi="仿宋" w:eastAsia="仿宋_GB2312" w:cs="仿宋"/>
          <w:color w:val="000000"/>
          <w:sz w:val="30"/>
          <w:szCs w:val="30"/>
        </w:rPr>
      </w:pPr>
      <w:r>
        <w:rPr>
          <w:rFonts w:ascii="仿宋_GB2312" w:hAnsi="仿宋" w:eastAsia="仿宋_GB2312" w:cs="仿宋"/>
          <w:color w:val="000000"/>
          <w:sz w:val="30"/>
          <w:szCs w:val="30"/>
        </w:rPr>
        <w:t>4</w:t>
      </w:r>
      <w:r>
        <w:rPr>
          <w:rFonts w:hint="eastAsia" w:ascii="仿宋_GB2312" w:hAnsi="仿宋" w:eastAsia="仿宋_GB2312" w:cs="仿宋"/>
          <w:color w:val="000000"/>
          <w:sz w:val="30"/>
          <w:szCs w:val="30"/>
        </w:rPr>
        <w:t>、优先受偿权的保护期间</w:t>
      </w:r>
    </w:p>
    <w:p>
      <w:pPr>
        <w:pStyle w:val="7"/>
        <w:spacing w:beforeAutospacing="0" w:afterAutospacing="0" w:line="360" w:lineRule="exact"/>
        <w:ind w:firstLine="600" w:firstLineChars="200"/>
        <w:jc w:val="both"/>
        <w:rPr>
          <w:rFonts w:ascii="仿宋_GB2312" w:hAnsi="仿宋" w:eastAsia="仿宋_GB2312" w:cs="仿宋"/>
          <w:color w:val="000000"/>
          <w:sz w:val="30"/>
          <w:szCs w:val="30"/>
        </w:rPr>
      </w:pPr>
      <w:r>
        <w:rPr>
          <w:rFonts w:ascii="仿宋_GB2312" w:hAnsi="仿宋" w:eastAsia="仿宋_GB2312" w:cs="仿宋"/>
          <w:color w:val="000000"/>
          <w:sz w:val="30"/>
          <w:szCs w:val="30"/>
        </w:rPr>
        <w:t>5</w:t>
      </w:r>
      <w:r>
        <w:rPr>
          <w:rFonts w:hint="eastAsia" w:ascii="仿宋_GB2312" w:hAnsi="仿宋" w:eastAsia="仿宋_GB2312" w:cs="仿宋"/>
          <w:color w:val="000000"/>
          <w:sz w:val="30"/>
          <w:szCs w:val="30"/>
        </w:rPr>
        <w:t>、优先受偿权的预先放弃效力</w:t>
      </w:r>
    </w:p>
    <w:p>
      <w:pPr>
        <w:pStyle w:val="7"/>
        <w:spacing w:beforeAutospacing="0" w:afterAutospacing="0" w:line="360" w:lineRule="exact"/>
        <w:ind w:firstLine="600" w:firstLineChars="200"/>
        <w:jc w:val="both"/>
        <w:rPr>
          <w:rFonts w:hint="eastAsia" w:ascii="仿宋_GB2312" w:hAnsi="仿宋" w:eastAsia="仿宋_GB2312" w:cs="仿宋"/>
          <w:color w:val="000000"/>
          <w:sz w:val="30"/>
          <w:szCs w:val="30"/>
        </w:rPr>
      </w:pPr>
      <w:r>
        <w:rPr>
          <w:rFonts w:ascii="仿宋_GB2312" w:hAnsi="仿宋" w:eastAsia="仿宋_GB2312" w:cs="仿宋"/>
          <w:color w:val="000000"/>
          <w:sz w:val="30"/>
          <w:szCs w:val="30"/>
        </w:rPr>
        <w:t>6</w:t>
      </w:r>
      <w:r>
        <w:rPr>
          <w:rFonts w:hint="eastAsia" w:ascii="仿宋_GB2312" w:hAnsi="仿宋" w:eastAsia="仿宋_GB2312" w:cs="仿宋"/>
          <w:color w:val="000000"/>
          <w:sz w:val="30"/>
          <w:szCs w:val="30"/>
        </w:rPr>
        <w:t>、优先受偿权与其他权利的顺位</w:t>
      </w:r>
    </w:p>
    <w:p>
      <w:pPr>
        <w:pStyle w:val="7"/>
        <w:spacing w:beforeAutospacing="0" w:afterAutospacing="0" w:line="360" w:lineRule="exact"/>
        <w:jc w:val="both"/>
        <w:rPr>
          <w:rFonts w:ascii="仿宋_GB2312" w:hAnsi="仿宋" w:eastAsia="仿宋_GB2312" w:cs="仿宋"/>
          <w:color w:val="000000"/>
          <w:sz w:val="30"/>
          <w:szCs w:val="30"/>
        </w:rPr>
      </w:pPr>
      <w:r>
        <w:rPr>
          <w:rFonts w:hint="eastAsia" w:ascii="仿宋_GB2312" w:hAnsi="仿宋" w:eastAsia="仿宋_GB2312"/>
          <w:b/>
          <w:sz w:val="30"/>
          <w:szCs w:val="30"/>
        </w:rPr>
        <w:t>二、参会对象</w:t>
      </w:r>
    </w:p>
    <w:p>
      <w:pPr>
        <w:adjustRightInd w:val="0"/>
        <w:spacing w:line="360" w:lineRule="exact"/>
        <w:ind w:firstLine="600" w:firstLineChars="200"/>
        <w:textAlignment w:val="baseline"/>
        <w:rPr>
          <w:rFonts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建设行政主管部门，工程建设企业（工程承包、建筑施工、勘察设计、房地产开发、工程项目管理、工程监理、工程咨询、招标办、公共资源交易中心、工程交易中心、投资项目评审中心、工程造价、招标代理等）总经理、总法律顾问、法务总监、总工程师、项目管理、市场开发、商务谈判、招标投标、合同管理、成本管理等中高级管理人员以及业务相关的直系经理人等。</w:t>
      </w:r>
    </w:p>
    <w:p>
      <w:pPr>
        <w:spacing w:line="360" w:lineRule="exact"/>
        <w:outlineLvl w:val="0"/>
        <w:rPr>
          <w:rFonts w:ascii="仿宋_GB2312" w:hAnsi="仿宋" w:eastAsia="仿宋_GB2312"/>
          <w:b/>
          <w:sz w:val="30"/>
          <w:szCs w:val="30"/>
        </w:rPr>
      </w:pPr>
      <w:r>
        <w:rPr>
          <w:rFonts w:hint="eastAsia" w:ascii="仿宋_GB2312" w:hAnsi="仿宋" w:eastAsia="仿宋_GB2312"/>
          <w:b/>
          <w:sz w:val="30"/>
          <w:szCs w:val="30"/>
        </w:rPr>
        <w:t>三、特邀专家</w:t>
      </w:r>
    </w:p>
    <w:p>
      <w:pPr>
        <w:adjustRightInd w:val="0"/>
        <w:spacing w:line="360" w:lineRule="exact"/>
        <w:ind w:firstLine="600" w:firstLineChars="200"/>
        <w:textAlignment w:val="baseline"/>
        <w:rPr>
          <w:rFonts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国家发改委、住建部、相关行业协会参与规范、法规编写的行业专家和国内一流经验的实战专家现场授课，结合经典实例分析，并进行现场答疑和互动交流。</w:t>
      </w:r>
    </w:p>
    <w:p>
      <w:pPr>
        <w:pStyle w:val="21"/>
        <w:spacing w:line="360" w:lineRule="exact"/>
        <w:ind w:firstLine="0" w:firstLineChars="0"/>
        <w:outlineLvl w:val="0"/>
        <w:rPr>
          <w:rFonts w:ascii="仿宋_GB2312" w:hAnsi="宋体" w:eastAsia="仿宋_GB2312" w:cs="宋体"/>
          <w:b/>
          <w:color w:val="000000"/>
          <w:sz w:val="30"/>
          <w:szCs w:val="30"/>
        </w:rPr>
      </w:pPr>
      <w:r>
        <w:rPr>
          <w:rFonts w:hint="eastAsia" w:ascii="仿宋_GB2312" w:hAnsi="宋体" w:eastAsia="仿宋_GB2312" w:cs="宋体"/>
          <w:b/>
          <w:color w:val="000000"/>
          <w:sz w:val="30"/>
          <w:szCs w:val="30"/>
        </w:rPr>
        <w:t>四、时间和地点</w:t>
      </w:r>
    </w:p>
    <w:p>
      <w:pPr>
        <w:spacing w:line="360" w:lineRule="exact"/>
        <w:ind w:firstLine="560" w:firstLineChars="200"/>
        <w:rPr>
          <w:rFonts w:hint="eastAsia" w:ascii="仿宋" w:hAnsi="仿宋" w:eastAsia="仿宋"/>
          <w:color w:val="000000"/>
          <w:kern w:val="0"/>
          <w:sz w:val="28"/>
          <w:szCs w:val="28"/>
        </w:rPr>
      </w:pPr>
      <w:r>
        <w:rPr>
          <w:rFonts w:hint="eastAsia" w:ascii="仿宋" w:hAnsi="仿宋" w:eastAsia="仿宋"/>
          <w:color w:val="000000"/>
          <w:kern w:val="0"/>
          <w:sz w:val="28"/>
          <w:szCs w:val="28"/>
        </w:rPr>
        <w:t>2019年04月19日—4月23日（19日全天报到）  地点：长沙市</w:t>
      </w:r>
    </w:p>
    <w:p>
      <w:pPr>
        <w:spacing w:line="360" w:lineRule="exact"/>
        <w:ind w:firstLine="560" w:firstLineChars="200"/>
        <w:rPr>
          <w:rFonts w:ascii="仿宋" w:hAnsi="仿宋" w:eastAsia="仿宋"/>
          <w:color w:val="000000"/>
          <w:kern w:val="0"/>
          <w:sz w:val="28"/>
          <w:szCs w:val="28"/>
        </w:rPr>
      </w:pPr>
      <w:r>
        <w:rPr>
          <w:rFonts w:hint="eastAsia" w:ascii="仿宋" w:hAnsi="仿宋" w:eastAsia="仿宋"/>
          <w:color w:val="000000"/>
          <w:kern w:val="0"/>
          <w:sz w:val="28"/>
          <w:szCs w:val="28"/>
        </w:rPr>
        <w:t>2019年05月24日—5月28日（24日全天报到）  地点：贵阳市</w:t>
      </w:r>
    </w:p>
    <w:p>
      <w:pPr>
        <w:spacing w:line="360" w:lineRule="exact"/>
        <w:ind w:firstLine="560" w:firstLineChars="200"/>
        <w:rPr>
          <w:rFonts w:ascii="仿宋" w:hAnsi="仿宋" w:eastAsia="仿宋"/>
          <w:color w:val="000000"/>
          <w:kern w:val="0"/>
          <w:sz w:val="28"/>
          <w:szCs w:val="28"/>
        </w:rPr>
      </w:pPr>
      <w:r>
        <w:rPr>
          <w:rFonts w:hint="eastAsia" w:ascii="仿宋" w:hAnsi="仿宋" w:eastAsia="仿宋"/>
          <w:color w:val="000000"/>
          <w:kern w:val="0"/>
          <w:sz w:val="28"/>
          <w:szCs w:val="28"/>
        </w:rPr>
        <w:t>2019年06月14日—6月18日（14日全天报到）  地点：北京市</w:t>
      </w:r>
    </w:p>
    <w:p>
      <w:pPr>
        <w:spacing w:line="360" w:lineRule="exact"/>
        <w:ind w:firstLine="560" w:firstLineChars="200"/>
        <w:rPr>
          <w:rFonts w:ascii="仿宋" w:hAnsi="仿宋" w:eastAsia="仿宋"/>
          <w:color w:val="000000"/>
          <w:kern w:val="0"/>
          <w:sz w:val="28"/>
          <w:szCs w:val="28"/>
        </w:rPr>
      </w:pPr>
      <w:r>
        <w:rPr>
          <w:rFonts w:hint="eastAsia" w:ascii="仿宋" w:hAnsi="仿宋" w:eastAsia="仿宋"/>
          <w:color w:val="000000"/>
          <w:kern w:val="0"/>
          <w:sz w:val="28"/>
          <w:szCs w:val="28"/>
        </w:rPr>
        <w:t>2019年06月28日—7月2日 （28日全天报到）  地点：青岛市</w:t>
      </w:r>
    </w:p>
    <w:p>
      <w:pPr>
        <w:spacing w:line="360" w:lineRule="exact"/>
        <w:ind w:firstLine="560" w:firstLineChars="200"/>
        <w:rPr>
          <w:rFonts w:ascii="仿宋" w:hAnsi="仿宋" w:eastAsia="仿宋"/>
          <w:color w:val="000000"/>
          <w:kern w:val="0"/>
          <w:sz w:val="28"/>
          <w:szCs w:val="28"/>
        </w:rPr>
      </w:pPr>
      <w:r>
        <w:rPr>
          <w:rFonts w:hint="eastAsia" w:ascii="仿宋" w:hAnsi="仿宋" w:eastAsia="仿宋"/>
          <w:color w:val="000000"/>
          <w:kern w:val="0"/>
          <w:sz w:val="28"/>
          <w:szCs w:val="28"/>
        </w:rPr>
        <w:t>2019年07月12日—7月17日（12日全天报到）  地点：乌鲁木齐市</w:t>
      </w:r>
    </w:p>
    <w:p>
      <w:pPr>
        <w:spacing w:line="360" w:lineRule="exact"/>
        <w:ind w:firstLine="560" w:firstLineChars="200"/>
        <w:rPr>
          <w:rFonts w:ascii="仿宋" w:hAnsi="仿宋" w:eastAsia="仿宋"/>
          <w:color w:val="000000"/>
          <w:kern w:val="0"/>
          <w:sz w:val="28"/>
          <w:szCs w:val="28"/>
        </w:rPr>
      </w:pPr>
      <w:r>
        <w:rPr>
          <w:rFonts w:hint="eastAsia" w:ascii="仿宋" w:hAnsi="仿宋" w:eastAsia="仿宋"/>
          <w:color w:val="000000"/>
          <w:kern w:val="0"/>
          <w:sz w:val="28"/>
          <w:szCs w:val="28"/>
        </w:rPr>
        <w:t>2019年07月26日—7月31日（26日全天报到）  地点：大连市</w:t>
      </w:r>
    </w:p>
    <w:p>
      <w:pPr>
        <w:spacing w:line="360" w:lineRule="exact"/>
        <w:ind w:firstLine="567"/>
        <w:rPr>
          <w:rFonts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具体报到通知提前7个工作日另行通知</w:t>
      </w:r>
    </w:p>
    <w:p>
      <w:pPr>
        <w:pStyle w:val="21"/>
        <w:spacing w:line="360" w:lineRule="exact"/>
        <w:ind w:firstLine="0" w:firstLineChars="0"/>
        <w:outlineLvl w:val="0"/>
        <w:rPr>
          <w:rFonts w:ascii="仿宋_GB2312" w:hAnsi="宋体" w:eastAsia="仿宋_GB2312" w:cs="宋体"/>
          <w:b/>
          <w:color w:val="000000"/>
          <w:sz w:val="30"/>
          <w:szCs w:val="30"/>
        </w:rPr>
      </w:pPr>
      <w:r>
        <w:rPr>
          <w:rFonts w:hint="eastAsia" w:ascii="仿宋_GB2312" w:hAnsi="宋体" w:eastAsia="仿宋_GB2312" w:cs="宋体"/>
          <w:b/>
          <w:color w:val="000000"/>
          <w:sz w:val="30"/>
          <w:szCs w:val="30"/>
        </w:rPr>
        <w:t>五、培训费用</w:t>
      </w:r>
    </w:p>
    <w:p>
      <w:pPr>
        <w:spacing w:line="360" w:lineRule="exact"/>
        <w:ind w:left="840" w:leftChars="200" w:hanging="420" w:hangingChars="150"/>
        <w:rPr>
          <w:rFonts w:ascii="仿宋" w:hAnsi="仿宋" w:eastAsia="仿宋"/>
          <w:color w:val="000000"/>
          <w:kern w:val="0"/>
          <w:sz w:val="28"/>
          <w:szCs w:val="28"/>
        </w:rPr>
      </w:pPr>
      <w:r>
        <w:rPr>
          <w:rFonts w:hint="eastAsia" w:ascii="仿宋" w:hAnsi="仿宋" w:eastAsia="仿宋"/>
          <w:color w:val="000000"/>
          <w:kern w:val="0"/>
          <w:sz w:val="28"/>
          <w:szCs w:val="28"/>
        </w:rPr>
        <w:t>A：2800元/人（含培训、资料、电子课件、场地、专家等），食宿统一安排，费用自理。</w:t>
      </w:r>
    </w:p>
    <w:p>
      <w:pPr>
        <w:spacing w:line="360" w:lineRule="exact"/>
        <w:ind w:left="840" w:leftChars="200" w:hanging="420" w:hangingChars="150"/>
        <w:rPr>
          <w:rFonts w:ascii="仿宋" w:hAnsi="仿宋" w:eastAsia="仿宋"/>
          <w:color w:val="000000"/>
          <w:kern w:val="0"/>
          <w:sz w:val="28"/>
          <w:szCs w:val="28"/>
        </w:rPr>
      </w:pPr>
      <w:r>
        <w:rPr>
          <w:rFonts w:ascii="仿宋" w:hAnsi="仿宋" w:eastAsia="仿宋"/>
          <w:color w:val="000000"/>
          <w:kern w:val="0"/>
          <w:sz w:val="28"/>
          <w:szCs w:val="28"/>
        </w:rPr>
        <w:t>B</w:t>
      </w:r>
      <w:r>
        <w:rPr>
          <w:rFonts w:hint="eastAsia" w:ascii="仿宋" w:hAnsi="仿宋" w:eastAsia="仿宋"/>
          <w:color w:val="000000"/>
          <w:kern w:val="0"/>
          <w:sz w:val="28"/>
          <w:szCs w:val="28"/>
        </w:rPr>
        <w:t>：</w:t>
      </w:r>
      <w:r>
        <w:rPr>
          <w:rFonts w:ascii="仿宋" w:hAnsi="仿宋" w:eastAsia="仿宋"/>
          <w:color w:val="000000"/>
          <w:kern w:val="0"/>
          <w:sz w:val="28"/>
          <w:szCs w:val="28"/>
        </w:rPr>
        <w:t>4980</w:t>
      </w:r>
      <w:r>
        <w:rPr>
          <w:rFonts w:hint="eastAsia" w:ascii="仿宋" w:hAnsi="仿宋" w:eastAsia="仿宋"/>
          <w:color w:val="000000"/>
          <w:kern w:val="0"/>
          <w:sz w:val="28"/>
          <w:szCs w:val="28"/>
        </w:rPr>
        <w:t>元</w:t>
      </w:r>
      <w:r>
        <w:rPr>
          <w:rFonts w:ascii="仿宋" w:hAnsi="仿宋" w:eastAsia="仿宋"/>
          <w:color w:val="000000"/>
          <w:kern w:val="0"/>
          <w:sz w:val="28"/>
          <w:szCs w:val="28"/>
        </w:rPr>
        <w:t>/</w:t>
      </w:r>
      <w:r>
        <w:rPr>
          <w:rFonts w:hint="eastAsia" w:ascii="仿宋" w:hAnsi="仿宋" w:eastAsia="仿宋"/>
          <w:color w:val="000000"/>
          <w:kern w:val="0"/>
          <w:sz w:val="28"/>
          <w:szCs w:val="28"/>
        </w:rPr>
        <w:t>人（含培训、资料、电子课件、场地、专家、食宿、交流等），住宿为标间合住，如需单住需补房差。</w:t>
      </w:r>
    </w:p>
    <w:p>
      <w:pPr>
        <w:spacing w:line="320" w:lineRule="exact"/>
        <w:rPr>
          <w:rFonts w:ascii="仿宋" w:hAnsi="仿宋" w:eastAsia="仿宋"/>
          <w:b/>
          <w:color w:val="000000"/>
          <w:kern w:val="0"/>
          <w:sz w:val="28"/>
          <w:szCs w:val="28"/>
        </w:rPr>
      </w:pPr>
      <w:r>
        <w:rPr>
          <w:rFonts w:hint="eastAsia" w:ascii="仿宋" w:hAnsi="仿宋" w:eastAsia="仿宋"/>
          <w:b/>
          <w:color w:val="000000"/>
          <w:kern w:val="0"/>
          <w:sz w:val="28"/>
          <w:szCs w:val="28"/>
        </w:rPr>
        <w:t>六、报名方式</w:t>
      </w:r>
    </w:p>
    <w:p>
      <w:pPr>
        <w:spacing w:line="340" w:lineRule="exact"/>
        <w:ind w:firstLine="482" w:firstLineChars="200"/>
        <w:rPr>
          <w:rFonts w:hint="eastAsia" w:ascii="宋体" w:hAnsi="宋体"/>
          <w:b/>
          <w:color w:val="000000"/>
          <w:sz w:val="24"/>
        </w:rPr>
      </w:pPr>
      <w:r>
        <w:rPr>
          <w:rFonts w:hint="eastAsia" w:ascii="宋体" w:hAnsi="宋体"/>
          <w:b/>
          <w:color w:val="000000"/>
          <w:sz w:val="24"/>
          <w:lang w:eastAsia="zh-CN"/>
        </w:rPr>
        <w:t>报名</w:t>
      </w:r>
      <w:r>
        <w:rPr>
          <w:rFonts w:hint="eastAsia" w:ascii="宋体" w:hAnsi="宋体"/>
          <w:b/>
          <w:color w:val="000000"/>
          <w:sz w:val="24"/>
        </w:rPr>
        <w:t xml:space="preserve">联系人：聂红军 </w:t>
      </w:r>
      <w:r>
        <w:rPr>
          <w:rFonts w:hint="eastAsia" w:ascii="宋体" w:hAnsi="宋体"/>
          <w:b/>
          <w:color w:val="000000"/>
          <w:sz w:val="24"/>
          <w:lang w:eastAsia="zh-CN"/>
        </w:rPr>
        <w:t>主任</w:t>
      </w:r>
      <w:r>
        <w:rPr>
          <w:rFonts w:hint="eastAsia" w:ascii="宋体" w:hAnsi="宋体"/>
          <w:b/>
          <w:color w:val="000000"/>
          <w:sz w:val="24"/>
        </w:rPr>
        <w:t xml:space="preserve"> 18211071700（微信）   邮  箱：zqgphwz@126.com</w:t>
      </w:r>
    </w:p>
    <w:p>
      <w:pPr>
        <w:spacing w:line="340" w:lineRule="exact"/>
        <w:ind w:firstLine="472" w:firstLineChars="196"/>
        <w:rPr>
          <w:rFonts w:hint="eastAsia" w:ascii="宋体" w:hAnsi="宋体"/>
          <w:b/>
          <w:color w:val="000000"/>
          <w:sz w:val="24"/>
        </w:rPr>
      </w:pPr>
      <w:r>
        <w:rPr>
          <w:rFonts w:hint="eastAsia" w:ascii="宋体" w:hAnsi="宋体"/>
          <w:b/>
          <w:color w:val="000000"/>
          <w:sz w:val="24"/>
        </w:rPr>
        <w:t xml:space="preserve">电话（传真）：010-87697580                    qq咨询：3177524020   </w:t>
      </w:r>
    </w:p>
    <w:p>
      <w:pPr>
        <w:spacing w:line="320" w:lineRule="exact"/>
        <w:ind w:firstLine="482" w:firstLineChars="200"/>
        <w:rPr>
          <w:rFonts w:ascii="仿宋_GB2312" w:hAnsi="宋体" w:eastAsia="仿宋_GB2312"/>
          <w:color w:val="000000"/>
          <w:kern w:val="0"/>
          <w:sz w:val="30"/>
          <w:szCs w:val="30"/>
        </w:rPr>
      </w:pPr>
      <w:r>
        <w:rPr>
          <w:rFonts w:hint="eastAsia" w:ascii="宋体" w:hAnsi="宋体" w:cs="宋体"/>
          <w:b/>
          <w:color w:val="000000"/>
          <w:sz w:val="24"/>
          <w:shd w:val="clear" w:color="auto" w:fill="FFFFFF"/>
          <w:lang w:val="en-US" w:eastAsia="zh-CN"/>
        </w:rPr>
        <w:t>网址查询：</w:t>
      </w:r>
      <w:r>
        <w:rPr>
          <w:rFonts w:hint="eastAsia" w:ascii="宋体" w:hAnsi="宋体" w:cs="宋体"/>
          <w:b/>
          <w:color w:val="000000"/>
          <w:sz w:val="24"/>
          <w:shd w:val="clear" w:color="auto" w:fill="FFFFFF"/>
          <w:lang w:val="en-US" w:eastAsia="zh-CN"/>
        </w:rPr>
        <w:fldChar w:fldCharType="begin"/>
      </w:r>
      <w:r>
        <w:rPr>
          <w:rFonts w:hint="eastAsia" w:ascii="宋体" w:hAnsi="宋体" w:cs="宋体"/>
          <w:b/>
          <w:color w:val="000000"/>
          <w:sz w:val="24"/>
          <w:shd w:val="clear" w:color="auto" w:fill="FFFFFF"/>
          <w:lang w:val="en-US" w:eastAsia="zh-CN"/>
        </w:rPr>
        <w:instrText xml:space="preserve"> HYPERLINK "http://www.zqgpchina.cn/" </w:instrText>
      </w:r>
      <w:r>
        <w:rPr>
          <w:rFonts w:hint="eastAsia" w:ascii="宋体" w:hAnsi="宋体" w:cs="宋体"/>
          <w:b/>
          <w:color w:val="000000"/>
          <w:sz w:val="24"/>
          <w:shd w:val="clear" w:color="auto" w:fill="FFFFFF"/>
          <w:lang w:val="en-US" w:eastAsia="zh-CN"/>
        </w:rPr>
        <w:fldChar w:fldCharType="separate"/>
      </w:r>
      <w:r>
        <w:rPr>
          <w:rStyle w:val="13"/>
          <w:rFonts w:hint="eastAsia" w:ascii="宋体" w:hAnsi="宋体" w:cs="宋体"/>
          <w:b/>
          <w:sz w:val="24"/>
          <w:shd w:val="clear" w:color="auto" w:fill="FFFFFF"/>
          <w:lang w:val="en-US" w:eastAsia="zh-CN"/>
        </w:rPr>
        <w:t>http://www.zqgpchina.cn/</w:t>
      </w:r>
      <w:r>
        <w:rPr>
          <w:rFonts w:hint="eastAsia" w:ascii="宋体" w:hAnsi="宋体" w:cs="宋体"/>
          <w:b/>
          <w:color w:val="000000"/>
          <w:sz w:val="24"/>
          <w:shd w:val="clear" w:color="auto" w:fill="FFFFFF"/>
          <w:lang w:val="en-US" w:eastAsia="zh-CN"/>
        </w:rPr>
        <w:fldChar w:fldCharType="end"/>
      </w:r>
      <w:r>
        <w:rPr>
          <w:rFonts w:hint="eastAsia" w:ascii="仿宋" w:hAnsi="仿宋" w:eastAsia="仿宋"/>
          <w:color w:val="000000"/>
          <w:kern w:val="0"/>
          <w:sz w:val="28"/>
          <w:szCs w:val="28"/>
        </w:rPr>
        <w:drawing>
          <wp:anchor distT="0" distB="0" distL="114300" distR="114300" simplePos="0" relativeHeight="251663360" behindDoc="1" locked="0" layoutInCell="1" allowOverlap="1">
            <wp:simplePos x="0" y="0"/>
            <wp:positionH relativeFrom="column">
              <wp:posOffset>3660775</wp:posOffset>
            </wp:positionH>
            <wp:positionV relativeFrom="paragraph">
              <wp:posOffset>69215</wp:posOffset>
            </wp:positionV>
            <wp:extent cx="1871345" cy="1843405"/>
            <wp:effectExtent l="0" t="0" r="0" b="4445"/>
            <wp:wrapNone/>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4"/>
                    <a:stretch>
                      <a:fillRect/>
                    </a:stretch>
                  </pic:blipFill>
                  <pic:spPr>
                    <a:xfrm>
                      <a:off x="0" y="0"/>
                      <a:ext cx="1871345" cy="1843405"/>
                    </a:xfrm>
                    <a:prstGeom prst="rect">
                      <a:avLst/>
                    </a:prstGeom>
                    <a:noFill/>
                    <a:ln>
                      <a:noFill/>
                    </a:ln>
                  </pic:spPr>
                </pic:pic>
              </a:graphicData>
            </a:graphic>
          </wp:anchor>
        </w:drawing>
      </w:r>
    </w:p>
    <w:p>
      <w:pPr>
        <w:spacing w:line="360" w:lineRule="exact"/>
        <w:ind w:firstLine="600" w:firstLineChars="200"/>
        <w:rPr>
          <w:rFonts w:hint="eastAsia" w:ascii="仿宋_GB2312" w:hAnsi="宋体" w:eastAsia="仿宋_GB2312"/>
          <w:color w:val="000000"/>
          <w:kern w:val="0"/>
          <w:sz w:val="30"/>
          <w:szCs w:val="30"/>
        </w:rPr>
      </w:pPr>
    </w:p>
    <w:p>
      <w:pPr>
        <w:spacing w:line="3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附件</w:t>
      </w:r>
      <w:r>
        <w:rPr>
          <w:rFonts w:ascii="仿宋_GB2312" w:hAnsi="宋体" w:eastAsia="仿宋_GB2312"/>
          <w:color w:val="000000"/>
          <w:kern w:val="0"/>
          <w:sz w:val="30"/>
          <w:szCs w:val="30"/>
        </w:rPr>
        <w:t>:</w:t>
      </w:r>
      <w:r>
        <w:rPr>
          <w:rFonts w:hint="eastAsia" w:ascii="仿宋_GB2312" w:hAnsi="宋体" w:eastAsia="仿宋_GB2312"/>
          <w:color w:val="000000"/>
          <w:kern w:val="0"/>
          <w:sz w:val="30"/>
          <w:szCs w:val="30"/>
        </w:rPr>
        <w:t>报名回执表</w:t>
      </w:r>
    </w:p>
    <w:p>
      <w:pPr>
        <w:spacing w:line="320" w:lineRule="exact"/>
        <w:ind w:firstLine="5600" w:firstLineChars="2000"/>
        <w:rPr>
          <w:rFonts w:ascii="仿宋" w:hAnsi="仿宋" w:eastAsia="仿宋"/>
          <w:color w:val="000000"/>
          <w:kern w:val="0"/>
          <w:sz w:val="28"/>
          <w:szCs w:val="28"/>
        </w:rPr>
      </w:pPr>
      <w:r>
        <w:rPr>
          <w:rFonts w:hint="eastAsia" w:ascii="仿宋" w:hAnsi="仿宋" w:eastAsia="仿宋"/>
          <w:color w:val="000000"/>
          <w:kern w:val="0"/>
          <w:sz w:val="28"/>
          <w:szCs w:val="28"/>
        </w:rPr>
        <w:t>二零一九年三月二十六日</w:t>
      </w:r>
    </w:p>
    <w:p>
      <w:pPr>
        <w:spacing w:line="380" w:lineRule="exact"/>
        <w:ind w:right="-34" w:rightChars="-16"/>
        <w:jc w:val="center"/>
        <w:rPr>
          <w:rFonts w:ascii="宋体" w:hAnsi="宋体"/>
          <w:b/>
          <w:bCs/>
          <w:color w:val="000000"/>
          <w:sz w:val="28"/>
          <w:szCs w:val="28"/>
        </w:rPr>
      </w:pPr>
    </w:p>
    <w:p>
      <w:pPr>
        <w:widowControl/>
        <w:jc w:val="left"/>
        <w:rPr>
          <w:rFonts w:hint="eastAsia" w:ascii="方正小标宋简体" w:eastAsia="方正小标宋简体"/>
          <w:bCs/>
          <w:spacing w:val="-11"/>
          <w:sz w:val="32"/>
          <w:szCs w:val="32"/>
        </w:rPr>
      </w:pPr>
      <w:r>
        <w:rPr>
          <w:rFonts w:hint="eastAsia" w:ascii="方正小标宋简体" w:eastAsia="方正小标宋简体"/>
          <w:bCs/>
          <w:spacing w:val="-11"/>
          <w:sz w:val="32"/>
          <w:szCs w:val="32"/>
        </w:rPr>
        <w:t xml:space="preserve"> </w:t>
      </w:r>
    </w:p>
    <w:p>
      <w:pPr>
        <w:widowControl/>
        <w:jc w:val="left"/>
        <w:rPr>
          <w:rFonts w:ascii="方正小标宋简体" w:eastAsia="方正小标宋简体"/>
          <w:bCs/>
          <w:spacing w:val="-11"/>
          <w:sz w:val="32"/>
          <w:szCs w:val="32"/>
        </w:rPr>
      </w:pPr>
    </w:p>
    <w:p>
      <w:pPr>
        <w:widowControl/>
        <w:spacing w:line="360" w:lineRule="exact"/>
        <w:jc w:val="center"/>
        <w:rPr>
          <w:rStyle w:val="10"/>
          <w:rFonts w:ascii="宋体" w:cs="宋体"/>
          <w:bCs w:val="0"/>
          <w:sz w:val="28"/>
          <w:szCs w:val="28"/>
        </w:rPr>
      </w:pPr>
      <w:r>
        <w:rPr>
          <w:rFonts w:hint="eastAsia" w:ascii="宋体"/>
          <w:b/>
          <w:sz w:val="28"/>
          <w:szCs w:val="28"/>
        </w:rPr>
        <w:t>“新版清单计价下建设工程造价合同管控与结算暨《建设工程司法解释（二）》精析专题培训班”</w:t>
      </w:r>
      <w:r>
        <w:rPr>
          <w:rStyle w:val="10"/>
          <w:rFonts w:hint="eastAsia" w:ascii="宋体" w:hAnsi="宋体" w:cs="宋体"/>
          <w:color w:val="000000"/>
          <w:sz w:val="28"/>
          <w:szCs w:val="28"/>
          <w:lang w:val="zh-CN"/>
        </w:rPr>
        <w:t xml:space="preserve"> 报名表</w:t>
      </w:r>
    </w:p>
    <w:tbl>
      <w:tblPr>
        <w:tblStyle w:val="8"/>
        <w:tblpPr w:leftFromText="180" w:rightFromText="180" w:vertAnchor="text" w:horzAnchor="margin" w:tblpXSpec="center" w:tblpY="70"/>
        <w:tblW w:w="10287" w:type="dxa"/>
        <w:jc w:val="center"/>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85"/>
        <w:gridCol w:w="393"/>
        <w:gridCol w:w="983"/>
        <w:gridCol w:w="907"/>
        <w:gridCol w:w="1125"/>
        <w:gridCol w:w="1290"/>
        <w:gridCol w:w="1365"/>
        <w:gridCol w:w="206"/>
        <w:gridCol w:w="428"/>
        <w:gridCol w:w="356"/>
        <w:gridCol w:w="622"/>
        <w:gridCol w:w="1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70" w:hRule="atLeast"/>
          <w:jc w:val="center"/>
        </w:trPr>
        <w:tc>
          <w:tcPr>
            <w:tcW w:w="2661" w:type="dxa"/>
            <w:gridSpan w:val="3"/>
            <w:tcBorders>
              <w:top w:val="single" w:color="auto" w:sz="4" w:space="0"/>
              <w:left w:val="single" w:color="auto" w:sz="4" w:space="0"/>
              <w:bottom w:val="single" w:color="auto" w:sz="4" w:space="0"/>
              <w:right w:val="single" w:color="auto" w:sz="4" w:space="0"/>
            </w:tcBorders>
          </w:tcPr>
          <w:p>
            <w:pPr>
              <w:widowControl/>
              <w:spacing w:line="360" w:lineRule="exact"/>
              <w:jc w:val="center"/>
              <w:rPr>
                <w:rFonts w:ascii="宋体" w:hAnsi="宋体"/>
                <w:kern w:val="0"/>
                <w:sz w:val="24"/>
              </w:rPr>
            </w:pPr>
            <w:r>
              <w:rPr>
                <w:rFonts w:hint="eastAsia" w:ascii="宋体" w:hAnsi="宋体"/>
                <w:kern w:val="0"/>
                <w:sz w:val="24"/>
              </w:rPr>
              <w:t>单位名称（开票单位）</w:t>
            </w:r>
          </w:p>
        </w:tc>
        <w:tc>
          <w:tcPr>
            <w:tcW w:w="5321" w:type="dxa"/>
            <w:gridSpan w:val="6"/>
            <w:tcBorders>
              <w:top w:val="single" w:color="auto" w:sz="4" w:space="0"/>
              <w:left w:val="single" w:color="auto" w:sz="4" w:space="0"/>
              <w:bottom w:val="single" w:color="auto" w:sz="4" w:space="0"/>
              <w:right w:val="single" w:color="auto" w:sz="4" w:space="0"/>
            </w:tcBorders>
          </w:tcPr>
          <w:p>
            <w:pPr>
              <w:widowControl/>
              <w:spacing w:line="360" w:lineRule="exact"/>
              <w:jc w:val="center"/>
              <w:rPr>
                <w:rFonts w:ascii="宋体" w:hAnsi="宋体"/>
                <w:kern w:val="0"/>
                <w:sz w:val="24"/>
              </w:rPr>
            </w:pPr>
          </w:p>
        </w:tc>
        <w:tc>
          <w:tcPr>
            <w:tcW w:w="978" w:type="dxa"/>
            <w:gridSpan w:val="2"/>
            <w:tcBorders>
              <w:top w:val="single" w:color="auto" w:sz="4" w:space="0"/>
              <w:left w:val="single" w:color="auto" w:sz="4" w:space="0"/>
              <w:bottom w:val="single" w:color="auto" w:sz="4" w:space="0"/>
              <w:right w:val="single" w:color="auto" w:sz="4" w:space="0"/>
            </w:tcBorders>
          </w:tcPr>
          <w:p>
            <w:pPr>
              <w:widowControl/>
              <w:spacing w:line="360" w:lineRule="exact"/>
              <w:jc w:val="center"/>
              <w:rPr>
                <w:rFonts w:ascii="宋体" w:hAnsi="宋体"/>
                <w:kern w:val="0"/>
                <w:sz w:val="24"/>
              </w:rPr>
            </w:pPr>
            <w:r>
              <w:rPr>
                <w:rFonts w:hint="eastAsia" w:ascii="宋体" w:hAnsi="宋体"/>
                <w:kern w:val="0"/>
                <w:sz w:val="24"/>
              </w:rPr>
              <w:t>邮  编</w:t>
            </w:r>
          </w:p>
        </w:tc>
        <w:tc>
          <w:tcPr>
            <w:tcW w:w="1327" w:type="dxa"/>
            <w:tcBorders>
              <w:top w:val="single" w:color="auto" w:sz="4" w:space="0"/>
              <w:left w:val="single" w:color="auto" w:sz="4" w:space="0"/>
              <w:bottom w:val="single" w:color="auto" w:sz="4" w:space="0"/>
              <w:right w:val="single" w:color="auto" w:sz="4" w:space="0"/>
            </w:tcBorders>
          </w:tcPr>
          <w:p>
            <w:pPr>
              <w:widowControl/>
              <w:spacing w:line="360" w:lineRule="exact"/>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15" w:hRule="atLeast"/>
          <w:jc w:val="center"/>
        </w:trPr>
        <w:tc>
          <w:tcPr>
            <w:tcW w:w="2661" w:type="dxa"/>
            <w:gridSpan w:val="3"/>
            <w:tcBorders>
              <w:top w:val="single" w:color="auto" w:sz="4" w:space="0"/>
              <w:left w:val="single" w:color="auto" w:sz="4" w:space="0"/>
              <w:bottom w:val="single" w:color="auto" w:sz="4" w:space="0"/>
              <w:right w:val="single" w:color="auto" w:sz="4" w:space="0"/>
            </w:tcBorders>
          </w:tcPr>
          <w:p>
            <w:pPr>
              <w:widowControl/>
              <w:spacing w:line="360" w:lineRule="exact"/>
              <w:jc w:val="center"/>
              <w:rPr>
                <w:rFonts w:ascii="宋体" w:hAnsi="宋体"/>
                <w:kern w:val="0"/>
                <w:sz w:val="24"/>
              </w:rPr>
            </w:pPr>
            <w:r>
              <w:rPr>
                <w:rFonts w:hint="eastAsia" w:ascii="宋体" w:hAnsi="宋体"/>
                <w:kern w:val="0"/>
                <w:sz w:val="24"/>
              </w:rPr>
              <w:t>通讯地址</w:t>
            </w:r>
          </w:p>
        </w:tc>
        <w:tc>
          <w:tcPr>
            <w:tcW w:w="7626" w:type="dxa"/>
            <w:gridSpan w:val="9"/>
            <w:tcBorders>
              <w:top w:val="single" w:color="auto" w:sz="4" w:space="0"/>
              <w:left w:val="single" w:color="auto" w:sz="4" w:space="0"/>
              <w:bottom w:val="single" w:color="auto" w:sz="4" w:space="0"/>
              <w:right w:val="single" w:color="auto" w:sz="4" w:space="0"/>
            </w:tcBorders>
          </w:tcPr>
          <w:p>
            <w:pPr>
              <w:widowControl/>
              <w:spacing w:line="360" w:lineRule="exact"/>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00" w:hRule="atLeast"/>
          <w:jc w:val="center"/>
        </w:trPr>
        <w:tc>
          <w:tcPr>
            <w:tcW w:w="1285" w:type="dxa"/>
            <w:tcBorders>
              <w:top w:val="single" w:color="auto" w:sz="4" w:space="0"/>
              <w:left w:val="single" w:color="auto" w:sz="4" w:space="0"/>
              <w:bottom w:val="single" w:color="auto" w:sz="4" w:space="0"/>
              <w:right w:val="single" w:color="auto" w:sz="4" w:space="0"/>
            </w:tcBorders>
          </w:tcPr>
          <w:p>
            <w:pPr>
              <w:widowControl/>
              <w:spacing w:line="360" w:lineRule="exact"/>
              <w:jc w:val="center"/>
              <w:rPr>
                <w:rFonts w:ascii="宋体" w:hAnsi="宋体"/>
                <w:kern w:val="0"/>
                <w:sz w:val="24"/>
              </w:rPr>
            </w:pPr>
            <w:r>
              <w:rPr>
                <w:rFonts w:hint="eastAsia" w:ascii="宋体" w:hAnsi="宋体"/>
                <w:kern w:val="0"/>
                <w:sz w:val="24"/>
                <w:lang w:val="zh-CN"/>
              </w:rPr>
              <w:t>审批人</w:t>
            </w:r>
          </w:p>
        </w:tc>
        <w:tc>
          <w:tcPr>
            <w:tcW w:w="1376" w:type="dxa"/>
            <w:gridSpan w:val="2"/>
            <w:tcBorders>
              <w:top w:val="single" w:color="auto" w:sz="4" w:space="0"/>
              <w:left w:val="single" w:color="auto" w:sz="4" w:space="0"/>
              <w:bottom w:val="single" w:color="auto" w:sz="4" w:space="0"/>
              <w:right w:val="single" w:color="auto" w:sz="4" w:space="0"/>
            </w:tcBorders>
          </w:tcPr>
          <w:p>
            <w:pPr>
              <w:widowControl/>
              <w:spacing w:line="360" w:lineRule="exact"/>
              <w:jc w:val="center"/>
              <w:rPr>
                <w:rFonts w:ascii="宋体" w:hAnsi="宋体"/>
                <w:kern w:val="0"/>
                <w:sz w:val="24"/>
              </w:rPr>
            </w:pPr>
          </w:p>
        </w:tc>
        <w:tc>
          <w:tcPr>
            <w:tcW w:w="907" w:type="dxa"/>
            <w:tcBorders>
              <w:top w:val="single" w:color="auto" w:sz="4" w:space="0"/>
              <w:left w:val="single" w:color="auto" w:sz="4" w:space="0"/>
              <w:bottom w:val="single" w:color="auto" w:sz="4" w:space="0"/>
              <w:right w:val="single" w:color="auto" w:sz="4" w:space="0"/>
            </w:tcBorders>
          </w:tcPr>
          <w:p>
            <w:pPr>
              <w:widowControl/>
              <w:spacing w:line="360" w:lineRule="exact"/>
              <w:jc w:val="center"/>
              <w:rPr>
                <w:rFonts w:ascii="宋体" w:hAnsi="宋体"/>
                <w:kern w:val="0"/>
                <w:sz w:val="24"/>
              </w:rPr>
            </w:pPr>
            <w:r>
              <w:rPr>
                <w:rFonts w:hint="eastAsia" w:ascii="宋体" w:hAnsi="宋体"/>
                <w:kern w:val="0"/>
                <w:sz w:val="24"/>
              </w:rPr>
              <w:t>职 务</w:t>
            </w:r>
          </w:p>
        </w:tc>
        <w:tc>
          <w:tcPr>
            <w:tcW w:w="1125" w:type="dxa"/>
            <w:tcBorders>
              <w:top w:val="single" w:color="auto" w:sz="4" w:space="0"/>
              <w:left w:val="single" w:color="auto" w:sz="4" w:space="0"/>
              <w:bottom w:val="single" w:color="auto" w:sz="4" w:space="0"/>
              <w:right w:val="single" w:color="auto" w:sz="4" w:space="0"/>
            </w:tcBorders>
          </w:tcPr>
          <w:p>
            <w:pPr>
              <w:widowControl/>
              <w:spacing w:line="360" w:lineRule="exact"/>
              <w:jc w:val="center"/>
              <w:rPr>
                <w:rFonts w:ascii="宋体" w:hAnsi="宋体"/>
                <w:kern w:val="0"/>
                <w:sz w:val="24"/>
              </w:rPr>
            </w:pPr>
          </w:p>
        </w:tc>
        <w:tc>
          <w:tcPr>
            <w:tcW w:w="1290" w:type="dxa"/>
            <w:tcBorders>
              <w:top w:val="single" w:color="auto" w:sz="4" w:space="0"/>
              <w:left w:val="single" w:color="auto" w:sz="4" w:space="0"/>
              <w:bottom w:val="single" w:color="auto" w:sz="4" w:space="0"/>
              <w:right w:val="single" w:color="auto" w:sz="4" w:space="0"/>
            </w:tcBorders>
          </w:tcPr>
          <w:p>
            <w:pPr>
              <w:widowControl/>
              <w:spacing w:line="360" w:lineRule="exact"/>
              <w:jc w:val="center"/>
              <w:rPr>
                <w:rFonts w:ascii="宋体" w:hAnsi="宋体"/>
                <w:kern w:val="0"/>
                <w:sz w:val="24"/>
              </w:rPr>
            </w:pPr>
            <w:r>
              <w:rPr>
                <w:rFonts w:hint="eastAsia" w:ascii="宋体" w:hAnsi="宋体"/>
                <w:kern w:val="0"/>
                <w:sz w:val="24"/>
              </w:rPr>
              <w:t>电  话</w:t>
            </w:r>
          </w:p>
        </w:tc>
        <w:tc>
          <w:tcPr>
            <w:tcW w:w="1365" w:type="dxa"/>
            <w:tcBorders>
              <w:top w:val="single" w:color="auto" w:sz="4" w:space="0"/>
              <w:left w:val="single" w:color="auto" w:sz="4" w:space="0"/>
              <w:bottom w:val="single" w:color="auto" w:sz="4" w:space="0"/>
              <w:right w:val="single" w:color="auto" w:sz="4" w:space="0"/>
            </w:tcBorders>
          </w:tcPr>
          <w:p>
            <w:pPr>
              <w:widowControl/>
              <w:spacing w:line="360" w:lineRule="exact"/>
              <w:jc w:val="center"/>
              <w:rPr>
                <w:rFonts w:ascii="宋体" w:hAnsi="宋体"/>
                <w:kern w:val="0"/>
                <w:sz w:val="24"/>
              </w:rPr>
            </w:pPr>
          </w:p>
        </w:tc>
        <w:tc>
          <w:tcPr>
            <w:tcW w:w="990" w:type="dxa"/>
            <w:gridSpan w:val="3"/>
            <w:tcBorders>
              <w:top w:val="single" w:color="auto" w:sz="4" w:space="0"/>
              <w:left w:val="single" w:color="auto" w:sz="4" w:space="0"/>
              <w:bottom w:val="single" w:color="auto" w:sz="4" w:space="0"/>
              <w:right w:val="single" w:color="auto" w:sz="4" w:space="0"/>
            </w:tcBorders>
          </w:tcPr>
          <w:p>
            <w:pPr>
              <w:widowControl/>
              <w:spacing w:line="360" w:lineRule="exact"/>
              <w:jc w:val="center"/>
              <w:rPr>
                <w:rFonts w:ascii="宋体" w:hAnsi="宋体"/>
                <w:kern w:val="0"/>
                <w:sz w:val="24"/>
              </w:rPr>
            </w:pPr>
            <w:r>
              <w:rPr>
                <w:rFonts w:hint="eastAsia" w:ascii="宋体" w:hAnsi="宋体"/>
                <w:kern w:val="0"/>
                <w:sz w:val="24"/>
                <w:lang w:val="zh-CN"/>
              </w:rPr>
              <w:t>手</w:t>
            </w:r>
            <w:r>
              <w:rPr>
                <w:rFonts w:hint="eastAsia" w:ascii="宋体" w:hAnsi="宋体"/>
                <w:kern w:val="0"/>
                <w:sz w:val="24"/>
              </w:rPr>
              <w:t xml:space="preserve">  </w:t>
            </w:r>
            <w:r>
              <w:rPr>
                <w:rFonts w:hint="eastAsia" w:ascii="宋体" w:hAnsi="宋体"/>
                <w:kern w:val="0"/>
                <w:sz w:val="24"/>
                <w:lang w:val="zh-CN"/>
              </w:rPr>
              <w:t>机</w:t>
            </w:r>
          </w:p>
        </w:tc>
        <w:tc>
          <w:tcPr>
            <w:tcW w:w="1949" w:type="dxa"/>
            <w:gridSpan w:val="2"/>
            <w:tcBorders>
              <w:top w:val="single" w:color="auto" w:sz="4" w:space="0"/>
              <w:left w:val="single" w:color="auto" w:sz="4" w:space="0"/>
              <w:bottom w:val="single" w:color="auto" w:sz="4" w:space="0"/>
              <w:right w:val="single" w:color="auto" w:sz="4" w:space="0"/>
            </w:tcBorders>
          </w:tcPr>
          <w:p>
            <w:pPr>
              <w:widowControl/>
              <w:spacing w:line="360" w:lineRule="exact"/>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00" w:hRule="atLeast"/>
          <w:jc w:val="center"/>
        </w:trPr>
        <w:tc>
          <w:tcPr>
            <w:tcW w:w="1285" w:type="dxa"/>
            <w:tcBorders>
              <w:top w:val="single" w:color="auto" w:sz="4" w:space="0"/>
              <w:left w:val="single" w:color="auto" w:sz="4" w:space="0"/>
              <w:bottom w:val="single" w:color="auto" w:sz="4" w:space="0"/>
              <w:right w:val="single" w:color="auto" w:sz="4" w:space="0"/>
            </w:tcBorders>
          </w:tcPr>
          <w:p>
            <w:pPr>
              <w:widowControl/>
              <w:spacing w:line="360" w:lineRule="exact"/>
              <w:jc w:val="center"/>
              <w:rPr>
                <w:rFonts w:ascii="宋体" w:hAnsi="宋体"/>
                <w:kern w:val="0"/>
                <w:sz w:val="24"/>
              </w:rPr>
            </w:pPr>
            <w:r>
              <w:rPr>
                <w:rFonts w:hint="eastAsia" w:ascii="宋体" w:hAnsi="宋体"/>
                <w:kern w:val="0"/>
                <w:sz w:val="24"/>
                <w:lang w:val="zh-CN"/>
              </w:rPr>
              <w:t>联系人</w:t>
            </w:r>
          </w:p>
        </w:tc>
        <w:tc>
          <w:tcPr>
            <w:tcW w:w="1376" w:type="dxa"/>
            <w:gridSpan w:val="2"/>
            <w:tcBorders>
              <w:top w:val="single" w:color="auto" w:sz="4" w:space="0"/>
              <w:left w:val="single" w:color="auto" w:sz="4" w:space="0"/>
              <w:bottom w:val="single" w:color="auto" w:sz="4" w:space="0"/>
              <w:right w:val="single" w:color="auto" w:sz="4" w:space="0"/>
            </w:tcBorders>
          </w:tcPr>
          <w:p>
            <w:pPr>
              <w:widowControl/>
              <w:spacing w:line="360" w:lineRule="exact"/>
              <w:jc w:val="center"/>
              <w:rPr>
                <w:rFonts w:ascii="宋体" w:hAnsi="宋体"/>
                <w:kern w:val="0"/>
                <w:sz w:val="24"/>
              </w:rPr>
            </w:pPr>
          </w:p>
        </w:tc>
        <w:tc>
          <w:tcPr>
            <w:tcW w:w="907" w:type="dxa"/>
            <w:tcBorders>
              <w:top w:val="single" w:color="auto" w:sz="4" w:space="0"/>
              <w:left w:val="single" w:color="auto" w:sz="4" w:space="0"/>
              <w:bottom w:val="single" w:color="auto" w:sz="4" w:space="0"/>
              <w:right w:val="single" w:color="auto" w:sz="4" w:space="0"/>
            </w:tcBorders>
          </w:tcPr>
          <w:p>
            <w:pPr>
              <w:widowControl/>
              <w:spacing w:line="360" w:lineRule="exact"/>
              <w:jc w:val="center"/>
              <w:rPr>
                <w:rFonts w:ascii="宋体" w:hAnsi="宋体"/>
                <w:kern w:val="0"/>
                <w:sz w:val="24"/>
              </w:rPr>
            </w:pPr>
            <w:r>
              <w:rPr>
                <w:rFonts w:hint="eastAsia" w:ascii="宋体" w:hAnsi="宋体"/>
                <w:kern w:val="0"/>
                <w:sz w:val="24"/>
              </w:rPr>
              <w:t>职 务</w:t>
            </w:r>
          </w:p>
        </w:tc>
        <w:tc>
          <w:tcPr>
            <w:tcW w:w="1125" w:type="dxa"/>
            <w:tcBorders>
              <w:top w:val="single" w:color="auto" w:sz="4" w:space="0"/>
              <w:left w:val="single" w:color="auto" w:sz="4" w:space="0"/>
              <w:bottom w:val="single" w:color="auto" w:sz="4" w:space="0"/>
              <w:right w:val="single" w:color="auto" w:sz="4" w:space="0"/>
            </w:tcBorders>
          </w:tcPr>
          <w:p>
            <w:pPr>
              <w:widowControl/>
              <w:spacing w:line="360" w:lineRule="exact"/>
              <w:jc w:val="center"/>
              <w:rPr>
                <w:rFonts w:ascii="宋体" w:hAnsi="宋体"/>
                <w:kern w:val="0"/>
                <w:sz w:val="24"/>
              </w:rPr>
            </w:pPr>
          </w:p>
        </w:tc>
        <w:tc>
          <w:tcPr>
            <w:tcW w:w="1290" w:type="dxa"/>
            <w:tcBorders>
              <w:top w:val="single" w:color="auto" w:sz="4" w:space="0"/>
              <w:left w:val="single" w:color="auto" w:sz="4" w:space="0"/>
              <w:bottom w:val="single" w:color="auto" w:sz="4" w:space="0"/>
              <w:right w:val="single" w:color="auto" w:sz="4" w:space="0"/>
            </w:tcBorders>
          </w:tcPr>
          <w:p>
            <w:pPr>
              <w:widowControl/>
              <w:spacing w:line="360" w:lineRule="exact"/>
              <w:jc w:val="center"/>
              <w:rPr>
                <w:rFonts w:ascii="宋体" w:hAnsi="宋体"/>
                <w:kern w:val="0"/>
                <w:sz w:val="24"/>
              </w:rPr>
            </w:pPr>
            <w:r>
              <w:rPr>
                <w:rFonts w:hint="eastAsia" w:ascii="宋体" w:hAnsi="宋体"/>
                <w:kern w:val="0"/>
                <w:sz w:val="24"/>
              </w:rPr>
              <w:t>电  话</w:t>
            </w:r>
          </w:p>
        </w:tc>
        <w:tc>
          <w:tcPr>
            <w:tcW w:w="1365" w:type="dxa"/>
            <w:tcBorders>
              <w:top w:val="single" w:color="auto" w:sz="4" w:space="0"/>
              <w:left w:val="single" w:color="auto" w:sz="4" w:space="0"/>
              <w:bottom w:val="single" w:color="auto" w:sz="4" w:space="0"/>
              <w:right w:val="single" w:color="auto" w:sz="4" w:space="0"/>
            </w:tcBorders>
          </w:tcPr>
          <w:p>
            <w:pPr>
              <w:widowControl/>
              <w:spacing w:line="360" w:lineRule="exact"/>
              <w:jc w:val="center"/>
              <w:rPr>
                <w:rFonts w:ascii="宋体" w:hAnsi="宋体"/>
                <w:kern w:val="0"/>
                <w:sz w:val="24"/>
              </w:rPr>
            </w:pPr>
          </w:p>
        </w:tc>
        <w:tc>
          <w:tcPr>
            <w:tcW w:w="990" w:type="dxa"/>
            <w:gridSpan w:val="3"/>
            <w:tcBorders>
              <w:top w:val="single" w:color="auto" w:sz="4" w:space="0"/>
              <w:left w:val="single" w:color="auto" w:sz="4" w:space="0"/>
              <w:bottom w:val="single" w:color="auto" w:sz="4" w:space="0"/>
              <w:right w:val="single" w:color="auto" w:sz="4" w:space="0"/>
            </w:tcBorders>
          </w:tcPr>
          <w:p>
            <w:pPr>
              <w:widowControl/>
              <w:spacing w:line="360" w:lineRule="exact"/>
              <w:jc w:val="center"/>
              <w:rPr>
                <w:rFonts w:ascii="宋体" w:hAnsi="宋体"/>
                <w:kern w:val="0"/>
                <w:sz w:val="24"/>
              </w:rPr>
            </w:pPr>
            <w:r>
              <w:rPr>
                <w:rFonts w:hint="eastAsia" w:ascii="宋体" w:hAnsi="宋体"/>
                <w:kern w:val="0"/>
                <w:sz w:val="24"/>
                <w:lang w:val="zh-CN"/>
              </w:rPr>
              <w:t>手</w:t>
            </w:r>
            <w:r>
              <w:rPr>
                <w:rFonts w:hint="eastAsia" w:ascii="宋体" w:hAnsi="宋体"/>
                <w:kern w:val="0"/>
                <w:sz w:val="24"/>
              </w:rPr>
              <w:t xml:space="preserve">  </w:t>
            </w:r>
            <w:r>
              <w:rPr>
                <w:rFonts w:hint="eastAsia" w:ascii="宋体" w:hAnsi="宋体"/>
                <w:kern w:val="0"/>
                <w:sz w:val="24"/>
                <w:lang w:val="zh-CN"/>
              </w:rPr>
              <w:t>机</w:t>
            </w:r>
          </w:p>
        </w:tc>
        <w:tc>
          <w:tcPr>
            <w:tcW w:w="1949" w:type="dxa"/>
            <w:gridSpan w:val="2"/>
            <w:tcBorders>
              <w:top w:val="single" w:color="auto" w:sz="4" w:space="0"/>
              <w:left w:val="single" w:color="auto" w:sz="4" w:space="0"/>
              <w:bottom w:val="single" w:color="auto" w:sz="4" w:space="0"/>
              <w:right w:val="single" w:color="auto" w:sz="4" w:space="0"/>
            </w:tcBorders>
          </w:tcPr>
          <w:p>
            <w:pPr>
              <w:widowControl/>
              <w:spacing w:line="360" w:lineRule="exact"/>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14" w:hRule="atLeast"/>
          <w:jc w:val="center"/>
        </w:trPr>
        <w:tc>
          <w:tcPr>
            <w:tcW w:w="2661" w:type="dxa"/>
            <w:gridSpan w:val="3"/>
            <w:tcBorders>
              <w:top w:val="single" w:color="auto" w:sz="4" w:space="0"/>
              <w:left w:val="single" w:color="auto" w:sz="4" w:space="0"/>
              <w:bottom w:val="single" w:color="auto" w:sz="4" w:space="0"/>
              <w:right w:val="single" w:color="auto" w:sz="4" w:space="0"/>
            </w:tcBorders>
          </w:tcPr>
          <w:p>
            <w:pPr>
              <w:widowControl/>
              <w:spacing w:line="360" w:lineRule="exact"/>
              <w:jc w:val="center"/>
              <w:rPr>
                <w:rFonts w:ascii="宋体" w:hAnsi="宋体"/>
                <w:kern w:val="0"/>
                <w:sz w:val="24"/>
              </w:rPr>
            </w:pPr>
            <w:r>
              <w:rPr>
                <w:rFonts w:hint="eastAsia" w:ascii="宋体" w:hAnsi="宋体"/>
                <w:kern w:val="0"/>
                <w:sz w:val="24"/>
                <w:lang w:val="zh-CN"/>
              </w:rPr>
              <w:t>参会人</w:t>
            </w:r>
            <w:r>
              <w:rPr>
                <w:rFonts w:hint="eastAsia" w:ascii="宋体" w:hAnsi="宋体"/>
                <w:kern w:val="0"/>
                <w:sz w:val="24"/>
              </w:rPr>
              <w:t>姓名</w:t>
            </w:r>
          </w:p>
        </w:tc>
        <w:tc>
          <w:tcPr>
            <w:tcW w:w="907" w:type="dxa"/>
            <w:tcBorders>
              <w:top w:val="single" w:color="auto" w:sz="4" w:space="0"/>
              <w:left w:val="single" w:color="auto" w:sz="4" w:space="0"/>
              <w:bottom w:val="single" w:color="auto" w:sz="4" w:space="0"/>
              <w:right w:val="single" w:color="auto" w:sz="4" w:space="0"/>
            </w:tcBorders>
          </w:tcPr>
          <w:p>
            <w:pPr>
              <w:widowControl/>
              <w:spacing w:line="360" w:lineRule="exact"/>
              <w:jc w:val="center"/>
              <w:rPr>
                <w:rFonts w:ascii="宋体" w:hAnsi="宋体"/>
                <w:kern w:val="0"/>
                <w:sz w:val="24"/>
              </w:rPr>
            </w:pPr>
            <w:r>
              <w:rPr>
                <w:rFonts w:hint="eastAsia" w:ascii="宋体" w:hAnsi="宋体"/>
                <w:kern w:val="0"/>
                <w:sz w:val="24"/>
              </w:rPr>
              <w:t>性 别</w:t>
            </w:r>
          </w:p>
        </w:tc>
        <w:tc>
          <w:tcPr>
            <w:tcW w:w="1125" w:type="dxa"/>
            <w:tcBorders>
              <w:top w:val="single" w:color="auto" w:sz="4" w:space="0"/>
              <w:left w:val="single" w:color="auto" w:sz="4" w:space="0"/>
              <w:bottom w:val="single" w:color="auto" w:sz="4" w:space="0"/>
              <w:right w:val="single" w:color="auto" w:sz="4" w:space="0"/>
            </w:tcBorders>
          </w:tcPr>
          <w:p>
            <w:pPr>
              <w:widowControl/>
              <w:spacing w:line="360" w:lineRule="exact"/>
              <w:jc w:val="center"/>
              <w:rPr>
                <w:rFonts w:ascii="宋体" w:hAnsi="宋体"/>
                <w:kern w:val="0"/>
                <w:sz w:val="24"/>
              </w:rPr>
            </w:pPr>
            <w:r>
              <w:rPr>
                <w:rFonts w:hint="eastAsia" w:ascii="宋体" w:hAnsi="宋体"/>
                <w:kern w:val="0"/>
                <w:sz w:val="24"/>
              </w:rPr>
              <w:t>部  门</w:t>
            </w:r>
          </w:p>
        </w:tc>
        <w:tc>
          <w:tcPr>
            <w:tcW w:w="1290" w:type="dxa"/>
            <w:tcBorders>
              <w:top w:val="single" w:color="auto" w:sz="4" w:space="0"/>
              <w:left w:val="single" w:color="auto" w:sz="4" w:space="0"/>
              <w:bottom w:val="single" w:color="auto" w:sz="4" w:space="0"/>
              <w:right w:val="single" w:color="auto" w:sz="4" w:space="0"/>
            </w:tcBorders>
          </w:tcPr>
          <w:p>
            <w:pPr>
              <w:widowControl/>
              <w:spacing w:line="360" w:lineRule="exact"/>
              <w:jc w:val="center"/>
              <w:rPr>
                <w:rFonts w:ascii="宋体" w:hAnsi="宋体"/>
                <w:kern w:val="0"/>
                <w:sz w:val="24"/>
              </w:rPr>
            </w:pPr>
            <w:r>
              <w:rPr>
                <w:rFonts w:hint="eastAsia" w:ascii="宋体" w:hAnsi="宋体"/>
                <w:kern w:val="0"/>
                <w:sz w:val="24"/>
              </w:rPr>
              <w:t>职  务</w:t>
            </w:r>
          </w:p>
        </w:tc>
        <w:tc>
          <w:tcPr>
            <w:tcW w:w="2355" w:type="dxa"/>
            <w:gridSpan w:val="4"/>
            <w:tcBorders>
              <w:top w:val="single" w:color="auto" w:sz="4" w:space="0"/>
              <w:left w:val="single" w:color="auto" w:sz="4" w:space="0"/>
              <w:bottom w:val="single" w:color="auto" w:sz="4" w:space="0"/>
              <w:right w:val="single" w:color="auto" w:sz="4" w:space="0"/>
            </w:tcBorders>
          </w:tcPr>
          <w:p>
            <w:pPr>
              <w:widowControl/>
              <w:spacing w:line="360" w:lineRule="exact"/>
              <w:jc w:val="center"/>
              <w:rPr>
                <w:rFonts w:ascii="宋体" w:hAnsi="宋体"/>
                <w:kern w:val="0"/>
                <w:sz w:val="24"/>
              </w:rPr>
            </w:pPr>
            <w:r>
              <w:rPr>
                <w:rFonts w:hint="eastAsia" w:ascii="宋体" w:hAnsi="宋体"/>
                <w:kern w:val="0"/>
                <w:sz w:val="24"/>
              </w:rPr>
              <w:t>手 机</w:t>
            </w:r>
          </w:p>
        </w:tc>
        <w:tc>
          <w:tcPr>
            <w:tcW w:w="1949" w:type="dxa"/>
            <w:gridSpan w:val="2"/>
            <w:tcBorders>
              <w:top w:val="single" w:color="auto" w:sz="4" w:space="0"/>
              <w:left w:val="single" w:color="auto" w:sz="4" w:space="0"/>
              <w:bottom w:val="single" w:color="auto" w:sz="4" w:space="0"/>
              <w:right w:val="single" w:color="auto" w:sz="4" w:space="0"/>
            </w:tcBorders>
          </w:tcPr>
          <w:p>
            <w:pPr>
              <w:widowControl/>
              <w:spacing w:line="360" w:lineRule="exact"/>
              <w:jc w:val="center"/>
              <w:rPr>
                <w:rFonts w:ascii="宋体" w:hAnsi="宋体"/>
                <w:kern w:val="0"/>
                <w:sz w:val="24"/>
              </w:rPr>
            </w:pPr>
            <w:r>
              <w:rPr>
                <w:rFonts w:hint="eastAsia" w:ascii="宋体" w:hAnsi="宋体"/>
                <w:kern w:val="0"/>
                <w:sz w:val="24"/>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70" w:hRule="atLeast"/>
          <w:jc w:val="center"/>
        </w:trPr>
        <w:tc>
          <w:tcPr>
            <w:tcW w:w="2661" w:type="dxa"/>
            <w:gridSpan w:val="3"/>
            <w:tcBorders>
              <w:top w:val="single" w:color="auto" w:sz="4" w:space="0"/>
              <w:left w:val="single" w:color="auto" w:sz="4" w:space="0"/>
              <w:bottom w:val="single" w:color="auto" w:sz="4" w:space="0"/>
              <w:right w:val="single" w:color="auto" w:sz="4" w:space="0"/>
            </w:tcBorders>
          </w:tcPr>
          <w:p>
            <w:pPr>
              <w:widowControl/>
              <w:spacing w:line="360" w:lineRule="exact"/>
              <w:jc w:val="center"/>
              <w:rPr>
                <w:rFonts w:ascii="宋体" w:hAnsi="宋体"/>
                <w:kern w:val="0"/>
                <w:sz w:val="28"/>
                <w:szCs w:val="28"/>
              </w:rPr>
            </w:pPr>
          </w:p>
        </w:tc>
        <w:tc>
          <w:tcPr>
            <w:tcW w:w="907" w:type="dxa"/>
            <w:tcBorders>
              <w:top w:val="single" w:color="auto" w:sz="4" w:space="0"/>
              <w:left w:val="single" w:color="auto" w:sz="4" w:space="0"/>
              <w:bottom w:val="single" w:color="auto" w:sz="4" w:space="0"/>
              <w:right w:val="single" w:color="auto" w:sz="4" w:space="0"/>
            </w:tcBorders>
          </w:tcPr>
          <w:p>
            <w:pPr>
              <w:widowControl/>
              <w:spacing w:line="360" w:lineRule="exact"/>
              <w:jc w:val="center"/>
              <w:rPr>
                <w:rFonts w:ascii="宋体" w:hAnsi="宋体"/>
                <w:kern w:val="0"/>
                <w:sz w:val="28"/>
                <w:szCs w:val="28"/>
              </w:rPr>
            </w:pPr>
          </w:p>
        </w:tc>
        <w:tc>
          <w:tcPr>
            <w:tcW w:w="1125" w:type="dxa"/>
            <w:tcBorders>
              <w:top w:val="single" w:color="auto" w:sz="4" w:space="0"/>
              <w:left w:val="single" w:color="auto" w:sz="4" w:space="0"/>
              <w:bottom w:val="single" w:color="auto" w:sz="4" w:space="0"/>
              <w:right w:val="single" w:color="auto" w:sz="4" w:space="0"/>
            </w:tcBorders>
          </w:tcPr>
          <w:p>
            <w:pPr>
              <w:widowControl/>
              <w:spacing w:line="360" w:lineRule="exact"/>
              <w:jc w:val="center"/>
              <w:rPr>
                <w:rFonts w:ascii="宋体" w:hAnsi="宋体"/>
                <w:kern w:val="0"/>
                <w:sz w:val="28"/>
                <w:szCs w:val="28"/>
              </w:rPr>
            </w:pPr>
          </w:p>
        </w:tc>
        <w:tc>
          <w:tcPr>
            <w:tcW w:w="1290" w:type="dxa"/>
            <w:tcBorders>
              <w:top w:val="single" w:color="auto" w:sz="4" w:space="0"/>
              <w:left w:val="single" w:color="auto" w:sz="4" w:space="0"/>
              <w:bottom w:val="single" w:color="auto" w:sz="4" w:space="0"/>
              <w:right w:val="single" w:color="auto" w:sz="4" w:space="0"/>
            </w:tcBorders>
          </w:tcPr>
          <w:p>
            <w:pPr>
              <w:widowControl/>
              <w:spacing w:line="360" w:lineRule="exact"/>
              <w:jc w:val="center"/>
              <w:rPr>
                <w:rFonts w:ascii="宋体" w:hAnsi="宋体"/>
                <w:kern w:val="0"/>
                <w:sz w:val="28"/>
                <w:szCs w:val="28"/>
              </w:rPr>
            </w:pPr>
          </w:p>
        </w:tc>
        <w:tc>
          <w:tcPr>
            <w:tcW w:w="2355" w:type="dxa"/>
            <w:gridSpan w:val="4"/>
            <w:tcBorders>
              <w:top w:val="single" w:color="auto" w:sz="4" w:space="0"/>
              <w:left w:val="single" w:color="auto" w:sz="4" w:space="0"/>
              <w:bottom w:val="single" w:color="auto" w:sz="4" w:space="0"/>
              <w:right w:val="single" w:color="auto" w:sz="4" w:space="0"/>
            </w:tcBorders>
          </w:tcPr>
          <w:p>
            <w:pPr>
              <w:widowControl/>
              <w:spacing w:line="360" w:lineRule="exact"/>
              <w:jc w:val="center"/>
              <w:rPr>
                <w:rFonts w:ascii="宋体" w:hAnsi="宋体"/>
                <w:kern w:val="0"/>
                <w:sz w:val="28"/>
                <w:szCs w:val="28"/>
              </w:rPr>
            </w:pPr>
          </w:p>
        </w:tc>
        <w:tc>
          <w:tcPr>
            <w:tcW w:w="1949" w:type="dxa"/>
            <w:gridSpan w:val="2"/>
            <w:tcBorders>
              <w:top w:val="single" w:color="auto" w:sz="4" w:space="0"/>
              <w:left w:val="single" w:color="auto" w:sz="4" w:space="0"/>
              <w:bottom w:val="single" w:color="auto" w:sz="4" w:space="0"/>
              <w:right w:val="single" w:color="auto" w:sz="4" w:space="0"/>
            </w:tcBorders>
          </w:tcPr>
          <w:p>
            <w:pPr>
              <w:widowControl/>
              <w:spacing w:line="360" w:lineRule="exact"/>
              <w:jc w:val="center"/>
              <w:rPr>
                <w:rFonts w:ascii="宋体" w:hAnsi="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70" w:hRule="atLeast"/>
          <w:jc w:val="center"/>
        </w:trPr>
        <w:tc>
          <w:tcPr>
            <w:tcW w:w="2661" w:type="dxa"/>
            <w:gridSpan w:val="3"/>
            <w:tcBorders>
              <w:top w:val="single" w:color="auto" w:sz="4" w:space="0"/>
              <w:left w:val="single" w:color="auto" w:sz="4" w:space="0"/>
              <w:bottom w:val="single" w:color="auto" w:sz="4" w:space="0"/>
              <w:right w:val="single" w:color="auto" w:sz="4" w:space="0"/>
            </w:tcBorders>
          </w:tcPr>
          <w:p>
            <w:pPr>
              <w:widowControl/>
              <w:spacing w:line="360" w:lineRule="exact"/>
              <w:jc w:val="center"/>
              <w:rPr>
                <w:rFonts w:ascii="宋体" w:hAnsi="宋体"/>
                <w:kern w:val="0"/>
                <w:sz w:val="28"/>
                <w:szCs w:val="28"/>
              </w:rPr>
            </w:pPr>
          </w:p>
        </w:tc>
        <w:tc>
          <w:tcPr>
            <w:tcW w:w="907" w:type="dxa"/>
            <w:tcBorders>
              <w:top w:val="single" w:color="auto" w:sz="4" w:space="0"/>
              <w:left w:val="single" w:color="auto" w:sz="4" w:space="0"/>
              <w:bottom w:val="single" w:color="auto" w:sz="4" w:space="0"/>
              <w:right w:val="single" w:color="auto" w:sz="4" w:space="0"/>
            </w:tcBorders>
          </w:tcPr>
          <w:p>
            <w:pPr>
              <w:widowControl/>
              <w:spacing w:line="360" w:lineRule="exact"/>
              <w:jc w:val="center"/>
              <w:rPr>
                <w:rFonts w:ascii="宋体" w:hAnsi="宋体"/>
                <w:kern w:val="0"/>
                <w:sz w:val="28"/>
                <w:szCs w:val="28"/>
              </w:rPr>
            </w:pPr>
          </w:p>
        </w:tc>
        <w:tc>
          <w:tcPr>
            <w:tcW w:w="1125" w:type="dxa"/>
            <w:tcBorders>
              <w:top w:val="single" w:color="auto" w:sz="4" w:space="0"/>
              <w:left w:val="single" w:color="auto" w:sz="4" w:space="0"/>
              <w:bottom w:val="single" w:color="auto" w:sz="4" w:space="0"/>
              <w:right w:val="single" w:color="auto" w:sz="4" w:space="0"/>
            </w:tcBorders>
          </w:tcPr>
          <w:p>
            <w:pPr>
              <w:widowControl/>
              <w:spacing w:line="360" w:lineRule="exact"/>
              <w:jc w:val="center"/>
              <w:rPr>
                <w:rFonts w:ascii="宋体" w:hAnsi="宋体"/>
                <w:kern w:val="0"/>
                <w:sz w:val="28"/>
                <w:szCs w:val="28"/>
              </w:rPr>
            </w:pPr>
          </w:p>
        </w:tc>
        <w:tc>
          <w:tcPr>
            <w:tcW w:w="1290" w:type="dxa"/>
            <w:tcBorders>
              <w:top w:val="single" w:color="auto" w:sz="4" w:space="0"/>
              <w:left w:val="single" w:color="auto" w:sz="4" w:space="0"/>
              <w:bottom w:val="single" w:color="auto" w:sz="4" w:space="0"/>
              <w:right w:val="single" w:color="auto" w:sz="4" w:space="0"/>
            </w:tcBorders>
          </w:tcPr>
          <w:p>
            <w:pPr>
              <w:widowControl/>
              <w:spacing w:line="360" w:lineRule="exact"/>
              <w:jc w:val="center"/>
              <w:rPr>
                <w:rFonts w:ascii="宋体" w:hAnsi="宋体"/>
                <w:kern w:val="0"/>
                <w:sz w:val="28"/>
                <w:szCs w:val="28"/>
              </w:rPr>
            </w:pPr>
          </w:p>
        </w:tc>
        <w:tc>
          <w:tcPr>
            <w:tcW w:w="2355" w:type="dxa"/>
            <w:gridSpan w:val="4"/>
            <w:tcBorders>
              <w:top w:val="single" w:color="auto" w:sz="4" w:space="0"/>
              <w:left w:val="single" w:color="auto" w:sz="4" w:space="0"/>
              <w:bottom w:val="single" w:color="auto" w:sz="4" w:space="0"/>
              <w:right w:val="single" w:color="auto" w:sz="4" w:space="0"/>
            </w:tcBorders>
          </w:tcPr>
          <w:p>
            <w:pPr>
              <w:widowControl/>
              <w:spacing w:line="360" w:lineRule="exact"/>
              <w:jc w:val="center"/>
              <w:rPr>
                <w:rFonts w:ascii="宋体" w:hAnsi="宋体"/>
                <w:kern w:val="0"/>
                <w:sz w:val="28"/>
                <w:szCs w:val="28"/>
              </w:rPr>
            </w:pPr>
          </w:p>
        </w:tc>
        <w:tc>
          <w:tcPr>
            <w:tcW w:w="1949" w:type="dxa"/>
            <w:gridSpan w:val="2"/>
            <w:tcBorders>
              <w:top w:val="single" w:color="auto" w:sz="4" w:space="0"/>
              <w:left w:val="single" w:color="auto" w:sz="4" w:space="0"/>
              <w:bottom w:val="single" w:color="auto" w:sz="4" w:space="0"/>
              <w:right w:val="single" w:color="auto" w:sz="4" w:space="0"/>
            </w:tcBorders>
          </w:tcPr>
          <w:p>
            <w:pPr>
              <w:widowControl/>
              <w:spacing w:line="360" w:lineRule="exact"/>
              <w:jc w:val="center"/>
              <w:rPr>
                <w:rFonts w:ascii="宋体" w:hAnsi="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45" w:hRule="atLeast"/>
          <w:jc w:val="center"/>
        </w:trPr>
        <w:tc>
          <w:tcPr>
            <w:tcW w:w="2661" w:type="dxa"/>
            <w:gridSpan w:val="3"/>
            <w:tcBorders>
              <w:top w:val="single" w:color="auto" w:sz="4" w:space="0"/>
              <w:left w:val="single" w:color="auto" w:sz="4" w:space="0"/>
              <w:bottom w:val="single" w:color="auto" w:sz="4" w:space="0"/>
              <w:right w:val="single" w:color="auto" w:sz="4" w:space="0"/>
            </w:tcBorders>
          </w:tcPr>
          <w:p>
            <w:pPr>
              <w:widowControl/>
              <w:spacing w:line="360" w:lineRule="exact"/>
              <w:jc w:val="center"/>
              <w:rPr>
                <w:rFonts w:ascii="宋体" w:hAnsi="宋体"/>
                <w:kern w:val="0"/>
                <w:sz w:val="28"/>
                <w:szCs w:val="28"/>
              </w:rPr>
            </w:pPr>
          </w:p>
        </w:tc>
        <w:tc>
          <w:tcPr>
            <w:tcW w:w="907" w:type="dxa"/>
            <w:tcBorders>
              <w:top w:val="single" w:color="auto" w:sz="4" w:space="0"/>
              <w:left w:val="single" w:color="auto" w:sz="4" w:space="0"/>
              <w:bottom w:val="single" w:color="auto" w:sz="4" w:space="0"/>
              <w:right w:val="single" w:color="auto" w:sz="4" w:space="0"/>
            </w:tcBorders>
          </w:tcPr>
          <w:p>
            <w:pPr>
              <w:widowControl/>
              <w:spacing w:line="360" w:lineRule="exact"/>
              <w:jc w:val="center"/>
              <w:rPr>
                <w:rFonts w:ascii="宋体" w:hAnsi="宋体"/>
                <w:kern w:val="0"/>
                <w:sz w:val="28"/>
                <w:szCs w:val="28"/>
              </w:rPr>
            </w:pPr>
          </w:p>
        </w:tc>
        <w:tc>
          <w:tcPr>
            <w:tcW w:w="1125" w:type="dxa"/>
            <w:tcBorders>
              <w:top w:val="single" w:color="auto" w:sz="4" w:space="0"/>
              <w:left w:val="single" w:color="auto" w:sz="4" w:space="0"/>
              <w:bottom w:val="single" w:color="auto" w:sz="4" w:space="0"/>
              <w:right w:val="single" w:color="auto" w:sz="4" w:space="0"/>
            </w:tcBorders>
          </w:tcPr>
          <w:p>
            <w:pPr>
              <w:widowControl/>
              <w:spacing w:line="360" w:lineRule="exact"/>
              <w:jc w:val="center"/>
              <w:rPr>
                <w:rFonts w:ascii="宋体" w:hAnsi="宋体"/>
                <w:kern w:val="0"/>
                <w:sz w:val="28"/>
                <w:szCs w:val="28"/>
              </w:rPr>
            </w:pPr>
          </w:p>
        </w:tc>
        <w:tc>
          <w:tcPr>
            <w:tcW w:w="1290" w:type="dxa"/>
            <w:tcBorders>
              <w:top w:val="single" w:color="auto" w:sz="4" w:space="0"/>
              <w:left w:val="single" w:color="auto" w:sz="4" w:space="0"/>
              <w:bottom w:val="single" w:color="auto" w:sz="4" w:space="0"/>
              <w:right w:val="single" w:color="auto" w:sz="4" w:space="0"/>
            </w:tcBorders>
          </w:tcPr>
          <w:p>
            <w:pPr>
              <w:widowControl/>
              <w:spacing w:line="360" w:lineRule="exact"/>
              <w:jc w:val="center"/>
              <w:rPr>
                <w:rFonts w:ascii="宋体" w:hAnsi="宋体"/>
                <w:kern w:val="0"/>
                <w:sz w:val="28"/>
                <w:szCs w:val="28"/>
              </w:rPr>
            </w:pPr>
          </w:p>
        </w:tc>
        <w:tc>
          <w:tcPr>
            <w:tcW w:w="2355" w:type="dxa"/>
            <w:gridSpan w:val="4"/>
            <w:tcBorders>
              <w:top w:val="single" w:color="auto" w:sz="4" w:space="0"/>
              <w:left w:val="single" w:color="auto" w:sz="4" w:space="0"/>
              <w:bottom w:val="single" w:color="auto" w:sz="4" w:space="0"/>
              <w:right w:val="single" w:color="auto" w:sz="4" w:space="0"/>
            </w:tcBorders>
          </w:tcPr>
          <w:p>
            <w:pPr>
              <w:widowControl/>
              <w:spacing w:line="360" w:lineRule="exact"/>
              <w:jc w:val="center"/>
              <w:rPr>
                <w:rFonts w:ascii="宋体" w:hAnsi="宋体"/>
                <w:kern w:val="0"/>
                <w:sz w:val="28"/>
                <w:szCs w:val="28"/>
              </w:rPr>
            </w:pPr>
          </w:p>
        </w:tc>
        <w:tc>
          <w:tcPr>
            <w:tcW w:w="1949" w:type="dxa"/>
            <w:gridSpan w:val="2"/>
            <w:tcBorders>
              <w:top w:val="single" w:color="auto" w:sz="4" w:space="0"/>
              <w:left w:val="single" w:color="auto" w:sz="4" w:space="0"/>
              <w:bottom w:val="single" w:color="auto" w:sz="4" w:space="0"/>
              <w:right w:val="single" w:color="auto" w:sz="4" w:space="0"/>
            </w:tcBorders>
          </w:tcPr>
          <w:p>
            <w:pPr>
              <w:widowControl/>
              <w:spacing w:line="360" w:lineRule="exact"/>
              <w:jc w:val="center"/>
              <w:rPr>
                <w:rFonts w:ascii="宋体" w:hAnsi="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70" w:hRule="atLeast"/>
          <w:jc w:val="center"/>
        </w:trPr>
        <w:tc>
          <w:tcPr>
            <w:tcW w:w="2661" w:type="dxa"/>
            <w:gridSpan w:val="3"/>
            <w:tcBorders>
              <w:top w:val="single" w:color="auto" w:sz="4" w:space="0"/>
              <w:left w:val="single" w:color="auto" w:sz="4" w:space="0"/>
              <w:bottom w:val="single" w:color="auto" w:sz="4" w:space="0"/>
              <w:right w:val="single" w:color="auto" w:sz="4" w:space="0"/>
            </w:tcBorders>
          </w:tcPr>
          <w:p>
            <w:pPr>
              <w:widowControl/>
              <w:spacing w:line="360" w:lineRule="exact"/>
              <w:jc w:val="center"/>
              <w:rPr>
                <w:rFonts w:ascii="宋体" w:hAnsi="宋体"/>
                <w:kern w:val="0"/>
                <w:sz w:val="28"/>
                <w:szCs w:val="28"/>
              </w:rPr>
            </w:pPr>
          </w:p>
        </w:tc>
        <w:tc>
          <w:tcPr>
            <w:tcW w:w="907" w:type="dxa"/>
            <w:tcBorders>
              <w:top w:val="single" w:color="auto" w:sz="4" w:space="0"/>
              <w:left w:val="single" w:color="auto" w:sz="4" w:space="0"/>
              <w:bottom w:val="single" w:color="auto" w:sz="4" w:space="0"/>
              <w:right w:val="single" w:color="auto" w:sz="4" w:space="0"/>
            </w:tcBorders>
          </w:tcPr>
          <w:p>
            <w:pPr>
              <w:widowControl/>
              <w:spacing w:line="360" w:lineRule="exact"/>
              <w:jc w:val="center"/>
              <w:rPr>
                <w:rFonts w:ascii="宋体" w:hAnsi="宋体"/>
                <w:kern w:val="0"/>
                <w:sz w:val="28"/>
                <w:szCs w:val="28"/>
              </w:rPr>
            </w:pPr>
          </w:p>
        </w:tc>
        <w:tc>
          <w:tcPr>
            <w:tcW w:w="1125" w:type="dxa"/>
            <w:tcBorders>
              <w:top w:val="single" w:color="auto" w:sz="4" w:space="0"/>
              <w:left w:val="single" w:color="auto" w:sz="4" w:space="0"/>
              <w:bottom w:val="single" w:color="auto" w:sz="4" w:space="0"/>
              <w:right w:val="single" w:color="auto" w:sz="4" w:space="0"/>
            </w:tcBorders>
          </w:tcPr>
          <w:p>
            <w:pPr>
              <w:widowControl/>
              <w:spacing w:line="360" w:lineRule="exact"/>
              <w:jc w:val="center"/>
              <w:rPr>
                <w:rFonts w:ascii="宋体" w:hAnsi="宋体"/>
                <w:kern w:val="0"/>
                <w:sz w:val="28"/>
                <w:szCs w:val="28"/>
              </w:rPr>
            </w:pPr>
          </w:p>
        </w:tc>
        <w:tc>
          <w:tcPr>
            <w:tcW w:w="1290" w:type="dxa"/>
            <w:tcBorders>
              <w:top w:val="single" w:color="auto" w:sz="4" w:space="0"/>
              <w:left w:val="single" w:color="auto" w:sz="4" w:space="0"/>
              <w:bottom w:val="single" w:color="auto" w:sz="4" w:space="0"/>
              <w:right w:val="single" w:color="auto" w:sz="4" w:space="0"/>
            </w:tcBorders>
          </w:tcPr>
          <w:p>
            <w:pPr>
              <w:widowControl/>
              <w:spacing w:line="360" w:lineRule="exact"/>
              <w:jc w:val="center"/>
              <w:rPr>
                <w:rFonts w:ascii="宋体" w:hAnsi="宋体"/>
                <w:kern w:val="0"/>
                <w:sz w:val="28"/>
                <w:szCs w:val="28"/>
              </w:rPr>
            </w:pPr>
          </w:p>
        </w:tc>
        <w:tc>
          <w:tcPr>
            <w:tcW w:w="2355" w:type="dxa"/>
            <w:gridSpan w:val="4"/>
            <w:tcBorders>
              <w:top w:val="single" w:color="auto" w:sz="4" w:space="0"/>
              <w:left w:val="single" w:color="auto" w:sz="4" w:space="0"/>
              <w:bottom w:val="single" w:color="auto" w:sz="4" w:space="0"/>
              <w:right w:val="single" w:color="auto" w:sz="4" w:space="0"/>
            </w:tcBorders>
          </w:tcPr>
          <w:p>
            <w:pPr>
              <w:widowControl/>
              <w:spacing w:line="360" w:lineRule="exact"/>
              <w:jc w:val="center"/>
              <w:rPr>
                <w:rFonts w:ascii="宋体" w:hAnsi="宋体"/>
                <w:kern w:val="0"/>
                <w:sz w:val="28"/>
                <w:szCs w:val="28"/>
              </w:rPr>
            </w:pPr>
          </w:p>
        </w:tc>
        <w:tc>
          <w:tcPr>
            <w:tcW w:w="1949" w:type="dxa"/>
            <w:gridSpan w:val="2"/>
            <w:tcBorders>
              <w:top w:val="single" w:color="auto" w:sz="4" w:space="0"/>
              <w:left w:val="single" w:color="auto" w:sz="4" w:space="0"/>
              <w:bottom w:val="single" w:color="auto" w:sz="4" w:space="0"/>
              <w:right w:val="single" w:color="auto" w:sz="4" w:space="0"/>
            </w:tcBorders>
          </w:tcPr>
          <w:p>
            <w:pPr>
              <w:widowControl/>
              <w:spacing w:line="360" w:lineRule="exact"/>
              <w:jc w:val="center"/>
              <w:rPr>
                <w:rFonts w:ascii="宋体" w:hAnsi="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70" w:hRule="atLeast"/>
          <w:jc w:val="center"/>
        </w:trPr>
        <w:tc>
          <w:tcPr>
            <w:tcW w:w="2661" w:type="dxa"/>
            <w:gridSpan w:val="3"/>
            <w:tcBorders>
              <w:top w:val="single" w:color="auto" w:sz="4" w:space="0"/>
              <w:left w:val="single" w:color="auto" w:sz="4" w:space="0"/>
              <w:bottom w:val="single" w:color="auto" w:sz="4" w:space="0"/>
              <w:right w:val="single" w:color="auto" w:sz="4" w:space="0"/>
            </w:tcBorders>
          </w:tcPr>
          <w:p>
            <w:pPr>
              <w:widowControl/>
              <w:spacing w:line="360" w:lineRule="exact"/>
              <w:jc w:val="center"/>
              <w:rPr>
                <w:rFonts w:ascii="宋体" w:hAnsi="宋体"/>
                <w:kern w:val="0"/>
                <w:sz w:val="28"/>
                <w:szCs w:val="28"/>
              </w:rPr>
            </w:pPr>
          </w:p>
        </w:tc>
        <w:tc>
          <w:tcPr>
            <w:tcW w:w="907" w:type="dxa"/>
            <w:tcBorders>
              <w:top w:val="single" w:color="auto" w:sz="4" w:space="0"/>
              <w:left w:val="single" w:color="auto" w:sz="4" w:space="0"/>
              <w:bottom w:val="single" w:color="auto" w:sz="4" w:space="0"/>
              <w:right w:val="single" w:color="auto" w:sz="4" w:space="0"/>
            </w:tcBorders>
          </w:tcPr>
          <w:p>
            <w:pPr>
              <w:widowControl/>
              <w:spacing w:line="360" w:lineRule="exact"/>
              <w:jc w:val="center"/>
              <w:rPr>
                <w:rFonts w:ascii="宋体" w:hAnsi="宋体"/>
                <w:kern w:val="0"/>
                <w:sz w:val="28"/>
                <w:szCs w:val="28"/>
              </w:rPr>
            </w:pPr>
          </w:p>
        </w:tc>
        <w:tc>
          <w:tcPr>
            <w:tcW w:w="1125" w:type="dxa"/>
            <w:tcBorders>
              <w:top w:val="single" w:color="auto" w:sz="4" w:space="0"/>
              <w:left w:val="single" w:color="auto" w:sz="4" w:space="0"/>
              <w:bottom w:val="single" w:color="auto" w:sz="4" w:space="0"/>
              <w:right w:val="single" w:color="auto" w:sz="4" w:space="0"/>
            </w:tcBorders>
          </w:tcPr>
          <w:p>
            <w:pPr>
              <w:widowControl/>
              <w:spacing w:line="360" w:lineRule="exact"/>
              <w:jc w:val="center"/>
              <w:rPr>
                <w:rFonts w:ascii="宋体" w:hAnsi="宋体"/>
                <w:kern w:val="0"/>
                <w:sz w:val="28"/>
                <w:szCs w:val="28"/>
              </w:rPr>
            </w:pPr>
          </w:p>
        </w:tc>
        <w:tc>
          <w:tcPr>
            <w:tcW w:w="1290" w:type="dxa"/>
            <w:tcBorders>
              <w:top w:val="single" w:color="auto" w:sz="4" w:space="0"/>
              <w:left w:val="single" w:color="auto" w:sz="4" w:space="0"/>
              <w:bottom w:val="single" w:color="auto" w:sz="4" w:space="0"/>
              <w:right w:val="single" w:color="auto" w:sz="4" w:space="0"/>
            </w:tcBorders>
          </w:tcPr>
          <w:p>
            <w:pPr>
              <w:widowControl/>
              <w:spacing w:line="360" w:lineRule="exact"/>
              <w:jc w:val="center"/>
              <w:rPr>
                <w:rFonts w:ascii="宋体" w:hAnsi="宋体"/>
                <w:kern w:val="0"/>
                <w:sz w:val="28"/>
                <w:szCs w:val="28"/>
              </w:rPr>
            </w:pPr>
          </w:p>
        </w:tc>
        <w:tc>
          <w:tcPr>
            <w:tcW w:w="2355" w:type="dxa"/>
            <w:gridSpan w:val="4"/>
            <w:tcBorders>
              <w:top w:val="single" w:color="auto" w:sz="4" w:space="0"/>
              <w:left w:val="single" w:color="auto" w:sz="4" w:space="0"/>
              <w:bottom w:val="single" w:color="auto" w:sz="4" w:space="0"/>
              <w:right w:val="single" w:color="auto" w:sz="4" w:space="0"/>
            </w:tcBorders>
          </w:tcPr>
          <w:p>
            <w:pPr>
              <w:widowControl/>
              <w:spacing w:line="360" w:lineRule="exact"/>
              <w:jc w:val="center"/>
              <w:rPr>
                <w:rFonts w:ascii="宋体" w:hAnsi="宋体"/>
                <w:kern w:val="0"/>
                <w:sz w:val="28"/>
                <w:szCs w:val="28"/>
              </w:rPr>
            </w:pPr>
          </w:p>
        </w:tc>
        <w:tc>
          <w:tcPr>
            <w:tcW w:w="1949" w:type="dxa"/>
            <w:gridSpan w:val="2"/>
            <w:tcBorders>
              <w:top w:val="single" w:color="auto" w:sz="4" w:space="0"/>
              <w:left w:val="single" w:color="auto" w:sz="4" w:space="0"/>
              <w:bottom w:val="single" w:color="auto" w:sz="4" w:space="0"/>
              <w:right w:val="single" w:color="auto" w:sz="4" w:space="0"/>
            </w:tcBorders>
          </w:tcPr>
          <w:p>
            <w:pPr>
              <w:widowControl/>
              <w:spacing w:line="360" w:lineRule="exact"/>
              <w:jc w:val="center"/>
              <w:rPr>
                <w:rFonts w:ascii="宋体" w:hAnsi="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70" w:hRule="atLeast"/>
          <w:jc w:val="center"/>
        </w:trPr>
        <w:tc>
          <w:tcPr>
            <w:tcW w:w="2661" w:type="dxa"/>
            <w:gridSpan w:val="3"/>
            <w:tcBorders>
              <w:top w:val="single" w:color="auto" w:sz="4" w:space="0"/>
              <w:left w:val="single" w:color="auto" w:sz="4" w:space="0"/>
              <w:bottom w:val="single" w:color="auto" w:sz="4" w:space="0"/>
              <w:right w:val="single" w:color="auto" w:sz="4" w:space="0"/>
            </w:tcBorders>
          </w:tcPr>
          <w:p>
            <w:pPr>
              <w:widowControl/>
              <w:spacing w:line="360" w:lineRule="exact"/>
              <w:jc w:val="center"/>
              <w:rPr>
                <w:rFonts w:ascii="宋体" w:hAnsi="宋体"/>
                <w:kern w:val="0"/>
                <w:sz w:val="28"/>
                <w:szCs w:val="28"/>
              </w:rPr>
            </w:pPr>
          </w:p>
        </w:tc>
        <w:tc>
          <w:tcPr>
            <w:tcW w:w="907" w:type="dxa"/>
            <w:tcBorders>
              <w:top w:val="single" w:color="auto" w:sz="4" w:space="0"/>
              <w:left w:val="single" w:color="auto" w:sz="4" w:space="0"/>
              <w:bottom w:val="single" w:color="auto" w:sz="4" w:space="0"/>
              <w:right w:val="single" w:color="auto" w:sz="4" w:space="0"/>
            </w:tcBorders>
          </w:tcPr>
          <w:p>
            <w:pPr>
              <w:widowControl/>
              <w:spacing w:line="360" w:lineRule="exact"/>
              <w:jc w:val="center"/>
              <w:rPr>
                <w:rFonts w:ascii="宋体" w:hAnsi="宋体"/>
                <w:kern w:val="0"/>
                <w:sz w:val="28"/>
                <w:szCs w:val="28"/>
              </w:rPr>
            </w:pPr>
          </w:p>
        </w:tc>
        <w:tc>
          <w:tcPr>
            <w:tcW w:w="1125" w:type="dxa"/>
            <w:tcBorders>
              <w:top w:val="single" w:color="auto" w:sz="4" w:space="0"/>
              <w:left w:val="single" w:color="auto" w:sz="4" w:space="0"/>
              <w:bottom w:val="single" w:color="auto" w:sz="4" w:space="0"/>
              <w:right w:val="single" w:color="auto" w:sz="4" w:space="0"/>
            </w:tcBorders>
          </w:tcPr>
          <w:p>
            <w:pPr>
              <w:widowControl/>
              <w:spacing w:line="360" w:lineRule="exact"/>
              <w:jc w:val="center"/>
              <w:rPr>
                <w:rFonts w:ascii="宋体" w:hAnsi="宋体"/>
                <w:kern w:val="0"/>
                <w:sz w:val="28"/>
                <w:szCs w:val="28"/>
              </w:rPr>
            </w:pPr>
          </w:p>
        </w:tc>
        <w:tc>
          <w:tcPr>
            <w:tcW w:w="1290" w:type="dxa"/>
            <w:tcBorders>
              <w:top w:val="single" w:color="auto" w:sz="4" w:space="0"/>
              <w:left w:val="single" w:color="auto" w:sz="4" w:space="0"/>
              <w:bottom w:val="single" w:color="auto" w:sz="4" w:space="0"/>
              <w:right w:val="single" w:color="auto" w:sz="4" w:space="0"/>
            </w:tcBorders>
          </w:tcPr>
          <w:p>
            <w:pPr>
              <w:widowControl/>
              <w:spacing w:line="360" w:lineRule="exact"/>
              <w:jc w:val="center"/>
              <w:rPr>
                <w:rFonts w:ascii="宋体" w:hAnsi="宋体"/>
                <w:kern w:val="0"/>
                <w:sz w:val="28"/>
                <w:szCs w:val="28"/>
              </w:rPr>
            </w:pPr>
          </w:p>
        </w:tc>
        <w:tc>
          <w:tcPr>
            <w:tcW w:w="2355" w:type="dxa"/>
            <w:gridSpan w:val="4"/>
            <w:tcBorders>
              <w:top w:val="single" w:color="auto" w:sz="4" w:space="0"/>
              <w:left w:val="single" w:color="auto" w:sz="4" w:space="0"/>
              <w:bottom w:val="single" w:color="auto" w:sz="4" w:space="0"/>
              <w:right w:val="single" w:color="auto" w:sz="4" w:space="0"/>
            </w:tcBorders>
          </w:tcPr>
          <w:p>
            <w:pPr>
              <w:widowControl/>
              <w:spacing w:line="360" w:lineRule="exact"/>
              <w:jc w:val="center"/>
              <w:rPr>
                <w:rFonts w:ascii="宋体" w:hAnsi="宋体"/>
                <w:kern w:val="0"/>
                <w:sz w:val="28"/>
                <w:szCs w:val="28"/>
              </w:rPr>
            </w:pPr>
          </w:p>
        </w:tc>
        <w:tc>
          <w:tcPr>
            <w:tcW w:w="1949" w:type="dxa"/>
            <w:gridSpan w:val="2"/>
            <w:tcBorders>
              <w:top w:val="single" w:color="auto" w:sz="4" w:space="0"/>
              <w:left w:val="single" w:color="auto" w:sz="4" w:space="0"/>
              <w:bottom w:val="single" w:color="auto" w:sz="4" w:space="0"/>
              <w:right w:val="single" w:color="auto" w:sz="4" w:space="0"/>
            </w:tcBorders>
          </w:tcPr>
          <w:p>
            <w:pPr>
              <w:widowControl/>
              <w:spacing w:line="360" w:lineRule="exact"/>
              <w:jc w:val="center"/>
              <w:rPr>
                <w:rFonts w:ascii="宋体" w:hAnsi="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97" w:hRule="atLeast"/>
          <w:jc w:val="center"/>
        </w:trPr>
        <w:tc>
          <w:tcPr>
            <w:tcW w:w="2661" w:type="dxa"/>
            <w:gridSpan w:val="3"/>
            <w:tcBorders>
              <w:top w:val="single" w:color="auto" w:sz="4" w:space="0"/>
              <w:left w:val="single" w:color="auto" w:sz="4" w:space="0"/>
              <w:bottom w:val="single" w:color="auto" w:sz="4" w:space="0"/>
              <w:right w:val="single" w:color="auto" w:sz="4" w:space="0"/>
            </w:tcBorders>
          </w:tcPr>
          <w:p>
            <w:pPr>
              <w:widowControl/>
              <w:spacing w:line="360" w:lineRule="exact"/>
              <w:jc w:val="center"/>
              <w:rPr>
                <w:rFonts w:ascii="宋体" w:hAnsi="宋体"/>
                <w:kern w:val="0"/>
                <w:sz w:val="28"/>
                <w:szCs w:val="28"/>
              </w:rPr>
            </w:pPr>
          </w:p>
        </w:tc>
        <w:tc>
          <w:tcPr>
            <w:tcW w:w="907" w:type="dxa"/>
            <w:tcBorders>
              <w:top w:val="single" w:color="auto" w:sz="4" w:space="0"/>
              <w:left w:val="single" w:color="auto" w:sz="4" w:space="0"/>
              <w:bottom w:val="single" w:color="auto" w:sz="4" w:space="0"/>
              <w:right w:val="single" w:color="auto" w:sz="4" w:space="0"/>
            </w:tcBorders>
          </w:tcPr>
          <w:p>
            <w:pPr>
              <w:widowControl/>
              <w:spacing w:line="360" w:lineRule="exact"/>
              <w:jc w:val="center"/>
              <w:rPr>
                <w:rFonts w:ascii="宋体" w:hAnsi="宋体"/>
                <w:kern w:val="0"/>
                <w:sz w:val="28"/>
                <w:szCs w:val="28"/>
              </w:rPr>
            </w:pPr>
          </w:p>
        </w:tc>
        <w:tc>
          <w:tcPr>
            <w:tcW w:w="1125" w:type="dxa"/>
            <w:tcBorders>
              <w:top w:val="single" w:color="auto" w:sz="4" w:space="0"/>
              <w:left w:val="single" w:color="auto" w:sz="4" w:space="0"/>
              <w:bottom w:val="single" w:color="auto" w:sz="4" w:space="0"/>
              <w:right w:val="single" w:color="auto" w:sz="4" w:space="0"/>
            </w:tcBorders>
          </w:tcPr>
          <w:p>
            <w:pPr>
              <w:widowControl/>
              <w:spacing w:line="360" w:lineRule="exact"/>
              <w:jc w:val="center"/>
              <w:rPr>
                <w:rFonts w:ascii="宋体" w:hAnsi="宋体"/>
                <w:kern w:val="0"/>
                <w:sz w:val="28"/>
                <w:szCs w:val="28"/>
              </w:rPr>
            </w:pPr>
          </w:p>
        </w:tc>
        <w:tc>
          <w:tcPr>
            <w:tcW w:w="1290" w:type="dxa"/>
            <w:tcBorders>
              <w:top w:val="single" w:color="auto" w:sz="4" w:space="0"/>
              <w:left w:val="single" w:color="auto" w:sz="4" w:space="0"/>
              <w:bottom w:val="single" w:color="auto" w:sz="4" w:space="0"/>
              <w:right w:val="single" w:color="auto" w:sz="4" w:space="0"/>
            </w:tcBorders>
          </w:tcPr>
          <w:p>
            <w:pPr>
              <w:widowControl/>
              <w:spacing w:line="360" w:lineRule="exact"/>
              <w:jc w:val="center"/>
              <w:rPr>
                <w:rFonts w:ascii="宋体" w:hAnsi="宋体"/>
                <w:kern w:val="0"/>
                <w:sz w:val="28"/>
                <w:szCs w:val="28"/>
              </w:rPr>
            </w:pPr>
          </w:p>
        </w:tc>
        <w:tc>
          <w:tcPr>
            <w:tcW w:w="2355" w:type="dxa"/>
            <w:gridSpan w:val="4"/>
            <w:tcBorders>
              <w:top w:val="single" w:color="auto" w:sz="4" w:space="0"/>
              <w:left w:val="single" w:color="auto" w:sz="4" w:space="0"/>
              <w:bottom w:val="single" w:color="auto" w:sz="4" w:space="0"/>
              <w:right w:val="single" w:color="auto" w:sz="4" w:space="0"/>
            </w:tcBorders>
          </w:tcPr>
          <w:p>
            <w:pPr>
              <w:widowControl/>
              <w:spacing w:line="360" w:lineRule="exact"/>
              <w:jc w:val="center"/>
              <w:rPr>
                <w:rFonts w:ascii="宋体" w:hAnsi="宋体"/>
                <w:kern w:val="0"/>
                <w:sz w:val="28"/>
                <w:szCs w:val="28"/>
              </w:rPr>
            </w:pPr>
          </w:p>
        </w:tc>
        <w:tc>
          <w:tcPr>
            <w:tcW w:w="1949" w:type="dxa"/>
            <w:gridSpan w:val="2"/>
            <w:tcBorders>
              <w:top w:val="single" w:color="auto" w:sz="4" w:space="0"/>
              <w:left w:val="single" w:color="auto" w:sz="4" w:space="0"/>
              <w:bottom w:val="single" w:color="auto" w:sz="4" w:space="0"/>
              <w:right w:val="single" w:color="auto" w:sz="4" w:space="0"/>
            </w:tcBorders>
          </w:tcPr>
          <w:p>
            <w:pPr>
              <w:widowControl/>
              <w:spacing w:line="360" w:lineRule="exact"/>
              <w:jc w:val="center"/>
              <w:rPr>
                <w:rFonts w:ascii="宋体" w:hAnsi="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1" w:hRule="atLeast"/>
          <w:jc w:val="center"/>
        </w:trPr>
        <w:tc>
          <w:tcPr>
            <w:tcW w:w="1678"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kern w:val="0"/>
                <w:sz w:val="24"/>
              </w:rPr>
            </w:pPr>
            <w:r>
              <w:rPr>
                <w:rFonts w:hint="eastAsia" w:ascii="宋体" w:hAnsi="宋体"/>
                <w:kern w:val="0"/>
                <w:sz w:val="24"/>
              </w:rPr>
              <w:t>是否住宿</w:t>
            </w:r>
          </w:p>
        </w:tc>
        <w:tc>
          <w:tcPr>
            <w:tcW w:w="3015"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kern w:val="0"/>
                <w:sz w:val="24"/>
              </w:rPr>
            </w:pPr>
            <w:r>
              <w:rPr>
                <w:rFonts w:hint="eastAsia" w:ascii="宋体" w:hAnsi="宋体"/>
                <w:kern w:val="0"/>
                <w:sz w:val="24"/>
              </w:rPr>
              <w:t>□是     □否</w:t>
            </w:r>
          </w:p>
        </w:tc>
        <w:tc>
          <w:tcPr>
            <w:tcW w:w="129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kern w:val="0"/>
                <w:sz w:val="24"/>
              </w:rPr>
            </w:pPr>
            <w:r>
              <w:rPr>
                <w:rFonts w:hint="eastAsia" w:ascii="宋体" w:hAnsi="宋体"/>
                <w:kern w:val="0"/>
                <w:sz w:val="24"/>
              </w:rPr>
              <w:t>住宿要求</w:t>
            </w:r>
          </w:p>
        </w:tc>
        <w:tc>
          <w:tcPr>
            <w:tcW w:w="4304" w:type="dxa"/>
            <w:gridSpan w:val="6"/>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kern w:val="0"/>
                <w:sz w:val="24"/>
              </w:rPr>
            </w:pPr>
            <w:r>
              <w:rPr>
                <w:rFonts w:hint="eastAsia" w:ascii="宋体" w:hAnsi="宋体"/>
                <w:kern w:val="0"/>
                <w:sz w:val="24"/>
              </w:rPr>
              <w:t>□单住(需另补床位费)□合住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36" w:hRule="atLeast"/>
          <w:jc w:val="center"/>
        </w:trPr>
        <w:tc>
          <w:tcPr>
            <w:tcW w:w="1678"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kern w:val="0"/>
                <w:sz w:val="24"/>
              </w:rPr>
            </w:pPr>
            <w:r>
              <w:rPr>
                <w:rFonts w:hint="eastAsia" w:ascii="宋体" w:hAnsi="宋体"/>
                <w:kern w:val="0"/>
                <w:sz w:val="24"/>
              </w:rPr>
              <w:t>费用选择</w:t>
            </w:r>
          </w:p>
        </w:tc>
        <w:tc>
          <w:tcPr>
            <w:tcW w:w="8609" w:type="dxa"/>
            <w:gridSpan w:val="10"/>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kern w:val="0"/>
                <w:sz w:val="24"/>
              </w:rPr>
            </w:pPr>
            <w:r>
              <w:rPr>
                <w:rFonts w:hint="eastAsia" w:ascii="宋体" w:hAnsi="宋体"/>
                <w:kern w:val="0"/>
                <w:sz w:val="24"/>
              </w:rPr>
              <w:t>□A：2800             □B：4980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36" w:hRule="atLeast"/>
          <w:jc w:val="center"/>
        </w:trPr>
        <w:tc>
          <w:tcPr>
            <w:tcW w:w="1678"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kern w:val="0"/>
                <w:sz w:val="24"/>
              </w:rPr>
            </w:pPr>
            <w:r>
              <w:rPr>
                <w:rFonts w:hint="eastAsia" w:ascii="宋体" w:hAnsi="宋体"/>
                <w:kern w:val="0"/>
                <w:sz w:val="24"/>
              </w:rPr>
              <w:t>参加地点</w:t>
            </w:r>
          </w:p>
        </w:tc>
        <w:tc>
          <w:tcPr>
            <w:tcW w:w="8609" w:type="dxa"/>
            <w:gridSpan w:val="10"/>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25" w:hRule="atLeast"/>
          <w:jc w:val="center"/>
        </w:trPr>
        <w:tc>
          <w:tcPr>
            <w:tcW w:w="1678" w:type="dxa"/>
            <w:gridSpan w:val="2"/>
            <w:tcBorders>
              <w:top w:val="single" w:color="auto" w:sz="4" w:space="0"/>
              <w:left w:val="single" w:color="auto" w:sz="4" w:space="0"/>
              <w:bottom w:val="single" w:color="auto" w:sz="4" w:space="0"/>
              <w:right w:val="single" w:color="auto" w:sz="4" w:space="0"/>
            </w:tcBorders>
          </w:tcPr>
          <w:p>
            <w:pPr>
              <w:widowControl/>
              <w:spacing w:line="360" w:lineRule="exact"/>
              <w:jc w:val="center"/>
              <w:rPr>
                <w:rFonts w:ascii="宋体" w:hAnsi="宋体"/>
                <w:kern w:val="0"/>
                <w:sz w:val="24"/>
              </w:rPr>
            </w:pPr>
            <w:r>
              <w:rPr>
                <w:rFonts w:hint="eastAsia" w:ascii="宋体" w:hAnsi="宋体"/>
                <w:kern w:val="0"/>
                <w:sz w:val="24"/>
              </w:rPr>
              <w:t>开票信息</w:t>
            </w:r>
          </w:p>
        </w:tc>
        <w:tc>
          <w:tcPr>
            <w:tcW w:w="8609" w:type="dxa"/>
            <w:gridSpan w:val="10"/>
            <w:tcBorders>
              <w:top w:val="single" w:color="auto" w:sz="4" w:space="0"/>
              <w:left w:val="single" w:color="auto" w:sz="4" w:space="0"/>
              <w:bottom w:val="single" w:color="auto" w:sz="4" w:space="0"/>
              <w:right w:val="single" w:color="auto" w:sz="4" w:space="0"/>
            </w:tcBorders>
          </w:tcPr>
          <w:p>
            <w:pPr>
              <w:widowControl/>
              <w:spacing w:line="360" w:lineRule="exact"/>
              <w:jc w:val="center"/>
              <w:rPr>
                <w:rFonts w:ascii="宋体" w:hAnsi="宋体"/>
                <w:kern w:val="0"/>
                <w:sz w:val="24"/>
              </w:rPr>
            </w:pPr>
            <w:r>
              <w:rPr>
                <w:rFonts w:hint="eastAsia" w:ascii="宋体" w:hAnsi="宋体"/>
                <w:kern w:val="0"/>
                <w:sz w:val="24"/>
              </w:rPr>
              <w:t xml:space="preserve">    □增值税专用发票            □增值税普票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98" w:hRule="atLeast"/>
          <w:jc w:val="center"/>
        </w:trPr>
        <w:tc>
          <w:tcPr>
            <w:tcW w:w="1678"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kern w:val="0"/>
                <w:sz w:val="24"/>
              </w:rPr>
            </w:pPr>
            <w:r>
              <w:rPr>
                <w:rFonts w:hint="eastAsia" w:ascii="宋体" w:hAnsi="宋体"/>
                <w:kern w:val="0"/>
                <w:sz w:val="24"/>
              </w:rPr>
              <w:t>单位名称</w:t>
            </w:r>
          </w:p>
        </w:tc>
        <w:tc>
          <w:tcPr>
            <w:tcW w:w="8609" w:type="dxa"/>
            <w:gridSpan w:val="10"/>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48" w:hRule="atLeast"/>
          <w:jc w:val="center"/>
        </w:trPr>
        <w:tc>
          <w:tcPr>
            <w:tcW w:w="1678"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kern w:val="0"/>
                <w:sz w:val="24"/>
              </w:rPr>
            </w:pPr>
            <w:r>
              <w:rPr>
                <w:rFonts w:hint="eastAsia" w:ascii="宋体" w:hAnsi="宋体"/>
                <w:kern w:val="0"/>
                <w:sz w:val="24"/>
              </w:rPr>
              <w:t>纳税人识别号</w:t>
            </w:r>
          </w:p>
        </w:tc>
        <w:tc>
          <w:tcPr>
            <w:tcW w:w="8609" w:type="dxa"/>
            <w:gridSpan w:val="10"/>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30" w:hRule="atLeast"/>
          <w:jc w:val="center"/>
        </w:trPr>
        <w:tc>
          <w:tcPr>
            <w:tcW w:w="1678"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kern w:val="0"/>
                <w:sz w:val="24"/>
              </w:rPr>
            </w:pPr>
            <w:r>
              <w:rPr>
                <w:rFonts w:hint="eastAsia" w:ascii="宋体" w:hAnsi="宋体"/>
                <w:kern w:val="0"/>
                <w:sz w:val="24"/>
              </w:rPr>
              <w:t>地址、电话</w:t>
            </w:r>
          </w:p>
        </w:tc>
        <w:tc>
          <w:tcPr>
            <w:tcW w:w="8609" w:type="dxa"/>
            <w:gridSpan w:val="10"/>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10" w:hRule="atLeast"/>
          <w:jc w:val="center"/>
        </w:trPr>
        <w:tc>
          <w:tcPr>
            <w:tcW w:w="1678"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kern w:val="0"/>
                <w:sz w:val="24"/>
              </w:rPr>
            </w:pPr>
            <w:r>
              <w:rPr>
                <w:rFonts w:hint="eastAsia" w:ascii="宋体" w:hAnsi="宋体"/>
                <w:kern w:val="0"/>
                <w:sz w:val="24"/>
              </w:rPr>
              <w:t>开户行、账号</w:t>
            </w:r>
          </w:p>
        </w:tc>
        <w:tc>
          <w:tcPr>
            <w:tcW w:w="8609" w:type="dxa"/>
            <w:gridSpan w:val="10"/>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010" w:hRule="atLeast"/>
          <w:jc w:val="center"/>
        </w:trPr>
        <w:tc>
          <w:tcPr>
            <w:tcW w:w="1678" w:type="dxa"/>
            <w:gridSpan w:val="2"/>
            <w:tcBorders>
              <w:top w:val="single" w:color="auto" w:sz="4" w:space="0"/>
              <w:left w:val="single" w:color="auto" w:sz="4" w:space="0"/>
              <w:bottom w:val="single" w:color="auto" w:sz="4" w:space="0"/>
              <w:right w:val="single" w:color="auto" w:sz="4" w:space="0"/>
            </w:tcBorders>
          </w:tcPr>
          <w:p>
            <w:pPr>
              <w:widowControl/>
              <w:spacing w:line="360" w:lineRule="exact"/>
              <w:jc w:val="center"/>
              <w:rPr>
                <w:rFonts w:ascii="宋体" w:hAnsi="宋体"/>
                <w:kern w:val="0"/>
                <w:sz w:val="24"/>
              </w:rPr>
            </w:pPr>
          </w:p>
          <w:p>
            <w:pPr>
              <w:widowControl/>
              <w:spacing w:line="360" w:lineRule="exact"/>
              <w:jc w:val="center"/>
              <w:rPr>
                <w:rFonts w:ascii="宋体" w:hAnsi="宋体"/>
                <w:kern w:val="0"/>
                <w:sz w:val="24"/>
              </w:rPr>
            </w:pPr>
            <w:r>
              <w:rPr>
                <w:rFonts w:hint="eastAsia" w:ascii="宋体" w:hAnsi="宋体"/>
                <w:kern w:val="0"/>
                <w:sz w:val="24"/>
              </w:rPr>
              <w:t>收款帐户</w:t>
            </w:r>
          </w:p>
        </w:tc>
        <w:tc>
          <w:tcPr>
            <w:tcW w:w="8609" w:type="dxa"/>
            <w:gridSpan w:val="10"/>
            <w:tcBorders>
              <w:top w:val="single" w:color="auto" w:sz="4" w:space="0"/>
              <w:left w:val="single" w:color="auto" w:sz="4" w:space="0"/>
              <w:bottom w:val="single" w:color="auto" w:sz="4" w:space="0"/>
              <w:right w:val="single" w:color="auto" w:sz="4" w:space="0"/>
            </w:tcBorders>
          </w:tcPr>
          <w:p>
            <w:pPr>
              <w:spacing w:line="360" w:lineRule="exact"/>
              <w:ind w:right="-147" w:rightChars="-70"/>
              <w:rPr>
                <w:rFonts w:ascii="仿宋_GB2312" w:eastAsia="仿宋_GB2312"/>
                <w:b/>
                <w:bCs/>
                <w:sz w:val="28"/>
                <w:szCs w:val="28"/>
              </w:rPr>
            </w:pPr>
            <w:r>
              <w:rPr>
                <w:rFonts w:hint="eastAsia" w:ascii="仿宋_GB2312" w:eastAsia="仿宋_GB2312"/>
                <w:b/>
                <w:bCs/>
                <w:sz w:val="28"/>
                <w:szCs w:val="28"/>
              </w:rPr>
              <w:t xml:space="preserve">单位全称: 北京中企海德信息咨询中心 </w:t>
            </w:r>
          </w:p>
          <w:p>
            <w:pPr>
              <w:spacing w:line="360" w:lineRule="exact"/>
              <w:ind w:right="-147" w:rightChars="-70"/>
              <w:rPr>
                <w:rFonts w:ascii="仿宋_GB2312" w:eastAsia="仿宋_GB2312"/>
                <w:b/>
                <w:bCs/>
                <w:sz w:val="28"/>
                <w:szCs w:val="28"/>
              </w:rPr>
            </w:pPr>
            <w:r>
              <w:rPr>
                <w:rFonts w:hint="eastAsia" w:ascii="仿宋_GB2312" w:eastAsia="仿宋_GB2312"/>
                <w:b/>
                <w:bCs/>
                <w:sz w:val="28"/>
                <w:szCs w:val="28"/>
              </w:rPr>
              <w:t xml:space="preserve">开 户 行：建行北京恩济支行营业部 </w:t>
            </w:r>
          </w:p>
          <w:p>
            <w:pPr>
              <w:spacing w:line="360" w:lineRule="exact"/>
              <w:ind w:right="-147" w:rightChars="-70"/>
              <w:rPr>
                <w:rFonts w:ascii="仿宋_GB2312" w:eastAsia="仿宋_GB2312"/>
                <w:b/>
                <w:bCs/>
                <w:sz w:val="28"/>
                <w:szCs w:val="28"/>
              </w:rPr>
            </w:pPr>
            <w:r>
              <w:rPr>
                <w:rFonts w:hint="eastAsia" w:ascii="仿宋_GB2312" w:eastAsia="仿宋_GB2312"/>
                <w:b/>
                <w:bCs/>
                <w:sz w:val="28"/>
                <w:szCs w:val="28"/>
              </w:rPr>
              <w:t>帐    户：</w:t>
            </w:r>
            <w:r>
              <w:rPr>
                <w:rFonts w:ascii="仿宋_GB2312" w:eastAsia="仿宋_GB2312"/>
                <w:b/>
                <w:bCs/>
                <w:sz w:val="28"/>
                <w:szCs w:val="28"/>
              </w:rPr>
              <w:t xml:space="preserve"> 11050164520000000324 </w:t>
            </w:r>
          </w:p>
          <w:p>
            <w:pPr>
              <w:widowControl/>
              <w:spacing w:line="360" w:lineRule="exact"/>
              <w:rPr>
                <w:rFonts w:ascii="宋体" w:hAnsi="宋体"/>
                <w:kern w:val="0"/>
                <w:sz w:val="24"/>
                <w:lang w:val="zh-CN"/>
              </w:rPr>
            </w:pPr>
            <w:r>
              <w:rPr>
                <w:rFonts w:hint="eastAsia" w:ascii="仿宋_GB2312" w:eastAsia="仿宋_GB2312"/>
                <w:b/>
                <w:bCs/>
                <w:sz w:val="28"/>
                <w:szCs w:val="28"/>
              </w:rPr>
              <w:t>行    号:  105100006056</w:t>
            </w:r>
            <w:r>
              <w:rPr>
                <w:rFonts w:hint="eastAsia" w:ascii="宋体" w:hAnsi="宋体"/>
                <w:b/>
                <w:bCs/>
                <w:spacing w:val="-1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461" w:hRule="exact"/>
          <w:jc w:val="center"/>
        </w:trPr>
        <w:tc>
          <w:tcPr>
            <w:tcW w:w="1678" w:type="dxa"/>
            <w:gridSpan w:val="2"/>
            <w:tcBorders>
              <w:top w:val="single" w:color="auto" w:sz="4" w:space="0"/>
              <w:left w:val="single" w:color="auto" w:sz="4" w:space="0"/>
              <w:bottom w:val="single" w:color="auto" w:sz="4" w:space="0"/>
              <w:right w:val="single" w:color="auto" w:sz="4" w:space="0"/>
            </w:tcBorders>
          </w:tcPr>
          <w:p>
            <w:pPr>
              <w:widowControl/>
              <w:spacing w:line="360" w:lineRule="exact"/>
              <w:jc w:val="center"/>
              <w:rPr>
                <w:rFonts w:ascii="宋体" w:hAnsi="宋体"/>
                <w:kern w:val="0"/>
                <w:sz w:val="24"/>
              </w:rPr>
            </w:pPr>
          </w:p>
          <w:p>
            <w:pPr>
              <w:widowControl/>
              <w:spacing w:line="360" w:lineRule="exact"/>
              <w:jc w:val="center"/>
              <w:rPr>
                <w:rFonts w:ascii="宋体" w:hAnsi="宋体"/>
                <w:kern w:val="0"/>
                <w:sz w:val="24"/>
              </w:rPr>
            </w:pPr>
          </w:p>
          <w:p>
            <w:pPr>
              <w:widowControl/>
              <w:spacing w:line="360" w:lineRule="exact"/>
              <w:jc w:val="center"/>
              <w:rPr>
                <w:rFonts w:ascii="宋体" w:hAnsi="宋体"/>
                <w:kern w:val="0"/>
                <w:sz w:val="24"/>
              </w:rPr>
            </w:pPr>
            <w:r>
              <w:rPr>
                <w:rFonts w:hint="eastAsia" w:ascii="宋体" w:hAnsi="宋体"/>
                <w:kern w:val="0"/>
                <w:sz w:val="24"/>
              </w:rPr>
              <w:t>备注</w:t>
            </w:r>
          </w:p>
        </w:tc>
        <w:tc>
          <w:tcPr>
            <w:tcW w:w="5876" w:type="dxa"/>
            <w:gridSpan w:val="6"/>
            <w:tcBorders>
              <w:top w:val="single" w:color="auto" w:sz="4" w:space="0"/>
              <w:left w:val="single" w:color="auto" w:sz="4" w:space="0"/>
              <w:bottom w:val="single" w:color="auto" w:sz="4" w:space="0"/>
              <w:right w:val="single" w:color="auto" w:sz="4" w:space="0"/>
            </w:tcBorders>
          </w:tcPr>
          <w:p>
            <w:pPr>
              <w:widowControl/>
              <w:spacing w:line="360" w:lineRule="exact"/>
              <w:jc w:val="center"/>
              <w:rPr>
                <w:rFonts w:ascii="宋体" w:hAnsi="宋体"/>
                <w:kern w:val="0"/>
                <w:sz w:val="24"/>
                <w:lang w:val="zh-CN"/>
              </w:rPr>
            </w:pPr>
            <w:r>
              <w:rPr>
                <w:rFonts w:hint="eastAsia" w:ascii="宋体" w:hAnsi="宋体"/>
                <w:kern w:val="0"/>
                <w:sz w:val="24"/>
                <w:lang w:val="zh-CN"/>
              </w:rPr>
              <w:t>参训单位订好人员后及时将回执表回传或E-mail至</w:t>
            </w:r>
            <w:r>
              <w:rPr>
                <w:rFonts w:hint="eastAsia" w:ascii="宋体" w:hAnsi="宋体"/>
                <w:kern w:val="0"/>
                <w:sz w:val="24"/>
              </w:rPr>
              <w:t>会</w:t>
            </w:r>
            <w:r>
              <w:rPr>
                <w:rFonts w:hint="eastAsia" w:ascii="宋体" w:hAnsi="宋体"/>
                <w:kern w:val="0"/>
                <w:sz w:val="24"/>
                <w:lang w:val="zh-CN"/>
              </w:rPr>
              <w:t>务组，在报名5日内将费用通过银行转账付款，会务组确认到款后即发《报到通知》，其中将详细注明报到时间、报到详细地点等具体安排事项，各参训学员凭证入场。</w:t>
            </w:r>
          </w:p>
        </w:tc>
        <w:tc>
          <w:tcPr>
            <w:tcW w:w="2733" w:type="dxa"/>
            <w:gridSpan w:val="4"/>
            <w:tcBorders>
              <w:top w:val="single" w:color="auto" w:sz="4" w:space="0"/>
              <w:left w:val="single" w:color="auto" w:sz="4" w:space="0"/>
              <w:bottom w:val="single" w:color="auto" w:sz="4" w:space="0"/>
              <w:right w:val="single" w:color="auto" w:sz="4" w:space="0"/>
            </w:tcBorders>
          </w:tcPr>
          <w:p>
            <w:pPr>
              <w:widowControl/>
              <w:spacing w:line="360" w:lineRule="exact"/>
              <w:rPr>
                <w:rFonts w:ascii="宋体" w:hAnsi="宋体"/>
                <w:kern w:val="0"/>
                <w:sz w:val="24"/>
                <w:lang w:val="zh-CN"/>
              </w:rPr>
            </w:pPr>
          </w:p>
          <w:p>
            <w:pPr>
              <w:widowControl/>
              <w:spacing w:line="360" w:lineRule="exact"/>
              <w:jc w:val="center"/>
              <w:rPr>
                <w:rFonts w:ascii="宋体" w:hAnsi="宋体"/>
                <w:kern w:val="0"/>
                <w:sz w:val="24"/>
                <w:lang w:val="zh-CN"/>
              </w:rPr>
            </w:pPr>
            <w:r>
              <w:rPr>
                <w:rFonts w:hint="eastAsia" w:ascii="宋体" w:hAnsi="宋体"/>
                <w:kern w:val="0"/>
                <w:sz w:val="24"/>
                <w:lang w:val="zh-CN"/>
              </w:rPr>
              <w:t>单位印章</w:t>
            </w:r>
          </w:p>
          <w:p>
            <w:pPr>
              <w:widowControl/>
              <w:spacing w:line="360" w:lineRule="exact"/>
              <w:jc w:val="center"/>
              <w:rPr>
                <w:rFonts w:ascii="宋体" w:hAnsi="宋体"/>
                <w:kern w:val="0"/>
                <w:sz w:val="24"/>
                <w:lang w:val="zh-CN"/>
              </w:rPr>
            </w:pPr>
          </w:p>
          <w:p>
            <w:pPr>
              <w:widowControl/>
              <w:spacing w:line="360" w:lineRule="exact"/>
              <w:jc w:val="center"/>
              <w:rPr>
                <w:rFonts w:ascii="宋体" w:hAnsi="宋体"/>
                <w:kern w:val="0"/>
                <w:sz w:val="24"/>
                <w:lang w:val="zh-CN"/>
              </w:rPr>
            </w:pPr>
            <w:r>
              <w:rPr>
                <w:rFonts w:hint="eastAsia" w:ascii="宋体" w:hAnsi="宋体"/>
                <w:kern w:val="0"/>
                <w:sz w:val="24"/>
                <w:lang w:val="zh-CN"/>
              </w:rPr>
              <w:t>二○一</w:t>
            </w:r>
            <w:r>
              <w:rPr>
                <w:rFonts w:hint="eastAsia" w:ascii="宋体" w:hAnsi="宋体"/>
                <w:kern w:val="0"/>
                <w:sz w:val="24"/>
              </w:rPr>
              <w:t>九</w:t>
            </w:r>
            <w:r>
              <w:rPr>
                <w:rFonts w:hint="eastAsia" w:ascii="宋体" w:hAnsi="宋体"/>
                <w:kern w:val="0"/>
                <w:sz w:val="24"/>
                <w:lang w:val="zh-CN"/>
              </w:rPr>
              <w:t>年</w:t>
            </w:r>
            <w:r>
              <w:rPr>
                <w:rFonts w:hint="eastAsia" w:ascii="宋体" w:hAnsi="宋体"/>
                <w:kern w:val="0"/>
                <w:sz w:val="24"/>
              </w:rPr>
              <w:t xml:space="preserve"> </w:t>
            </w:r>
            <w:r>
              <w:rPr>
                <w:rFonts w:hint="eastAsia" w:ascii="宋体" w:hAnsi="宋体"/>
                <w:kern w:val="0"/>
                <w:sz w:val="24"/>
                <w:lang w:val="zh-CN"/>
              </w:rPr>
              <w:t xml:space="preserve"> 月 </w:t>
            </w:r>
            <w:r>
              <w:rPr>
                <w:rFonts w:hint="eastAsia" w:ascii="宋体" w:hAnsi="宋体"/>
                <w:kern w:val="0"/>
                <w:sz w:val="24"/>
              </w:rPr>
              <w:t xml:space="preserve"> </w:t>
            </w:r>
            <w:r>
              <w:rPr>
                <w:rFonts w:hint="eastAsia" w:ascii="宋体" w:hAnsi="宋体"/>
                <w:kern w:val="0"/>
                <w:sz w:val="24"/>
                <w:lang w:val="zh-CN"/>
              </w:rPr>
              <w:t>日</w:t>
            </w:r>
          </w:p>
        </w:tc>
      </w:tr>
    </w:tbl>
    <w:p>
      <w:pPr>
        <w:widowControl/>
        <w:spacing w:line="360" w:lineRule="exact"/>
        <w:rPr>
          <w:rFonts w:ascii="宋体" w:hAnsi="宋体"/>
          <w:kern w:val="0"/>
          <w:sz w:val="24"/>
        </w:rPr>
      </w:pPr>
      <w:r>
        <w:rPr>
          <w:rFonts w:hint="eastAsia" w:ascii="宋体" w:hAnsi="宋体"/>
          <w:kern w:val="0"/>
          <w:sz w:val="24"/>
        </w:rPr>
        <w:t>备注：1、为保证培训质量,培训班名额有限,额满为止,请确定人员后及早报名；</w:t>
      </w:r>
    </w:p>
    <w:p>
      <w:pPr>
        <w:widowControl/>
        <w:spacing w:line="360" w:lineRule="exact"/>
        <w:ind w:firstLine="720" w:firstLineChars="300"/>
        <w:rPr>
          <w:rFonts w:ascii="宋体" w:hAnsi="宋体"/>
          <w:kern w:val="0"/>
          <w:sz w:val="24"/>
        </w:rPr>
      </w:pPr>
      <w:r>
        <w:rPr>
          <w:rFonts w:hint="eastAsia" w:ascii="宋体" w:hAnsi="宋体"/>
          <w:kern w:val="0"/>
          <w:sz w:val="24"/>
        </w:rPr>
        <w:t>2、此表可复制，填好后加盖公章有效；通知文件有限，请协助转发；</w:t>
      </w:r>
    </w:p>
    <w:p>
      <w:pPr>
        <w:widowControl/>
        <w:spacing w:line="360" w:lineRule="exact"/>
        <w:ind w:firstLine="720" w:firstLineChars="300"/>
        <w:rPr>
          <w:rFonts w:ascii="宋体" w:hAnsi="宋体"/>
          <w:kern w:val="0"/>
          <w:sz w:val="24"/>
        </w:rPr>
      </w:pPr>
      <w:r>
        <w:rPr>
          <w:rFonts w:hint="eastAsia" w:ascii="宋体" w:hAnsi="宋体"/>
          <w:kern w:val="0"/>
          <w:sz w:val="24"/>
        </w:rPr>
        <w:t>3、本次培训内容及相关法规、标准等新政策均可赴企业提供</w:t>
      </w:r>
      <w:r>
        <w:rPr>
          <w:rFonts w:hint="eastAsia" w:ascii="宋体" w:hAnsi="宋体"/>
          <w:b/>
          <w:bCs/>
          <w:kern w:val="0"/>
          <w:sz w:val="24"/>
        </w:rPr>
        <w:t>内训和咨询</w:t>
      </w:r>
      <w:r>
        <w:rPr>
          <w:rFonts w:hint="eastAsia" w:ascii="宋体" w:hAnsi="宋体"/>
          <w:kern w:val="0"/>
          <w:sz w:val="24"/>
        </w:rPr>
        <w:t>服务。</w:t>
      </w:r>
    </w:p>
    <w:p>
      <w:pPr>
        <w:spacing w:line="340" w:lineRule="exact"/>
        <w:ind w:firstLine="720" w:firstLineChars="300"/>
        <w:rPr>
          <w:rFonts w:hint="eastAsia" w:ascii="宋体" w:hAnsi="宋体"/>
          <w:b/>
          <w:color w:val="000000"/>
          <w:sz w:val="24"/>
        </w:rPr>
      </w:pPr>
      <w:r>
        <w:rPr>
          <w:rFonts w:hint="eastAsia" w:ascii="宋体" w:hAnsi="宋体"/>
          <w:kern w:val="0"/>
          <w:sz w:val="24"/>
        </w:rPr>
        <w:t>4、</w:t>
      </w:r>
      <w:r>
        <w:rPr>
          <w:rFonts w:hint="eastAsia" w:ascii="宋体" w:hAnsi="宋体"/>
          <w:b/>
          <w:color w:val="000000"/>
          <w:sz w:val="24"/>
          <w:lang w:eastAsia="zh-CN"/>
        </w:rPr>
        <w:t>报名</w:t>
      </w:r>
      <w:r>
        <w:rPr>
          <w:rFonts w:hint="eastAsia" w:ascii="宋体" w:hAnsi="宋体"/>
          <w:b/>
          <w:color w:val="000000"/>
          <w:sz w:val="24"/>
        </w:rPr>
        <w:t xml:space="preserve">联系人：聂红军 </w:t>
      </w:r>
      <w:r>
        <w:rPr>
          <w:rFonts w:hint="eastAsia" w:ascii="宋体" w:hAnsi="宋体"/>
          <w:b/>
          <w:color w:val="000000"/>
          <w:sz w:val="24"/>
          <w:lang w:eastAsia="zh-CN"/>
        </w:rPr>
        <w:t>主任</w:t>
      </w:r>
      <w:r>
        <w:rPr>
          <w:rFonts w:hint="eastAsia" w:ascii="宋体" w:hAnsi="宋体"/>
          <w:b/>
          <w:color w:val="000000"/>
          <w:sz w:val="24"/>
        </w:rPr>
        <w:t xml:space="preserve"> 18211071700（微信）   邮  箱：zqgphwz@126.com</w:t>
      </w:r>
    </w:p>
    <w:p>
      <w:pPr>
        <w:spacing w:line="340" w:lineRule="exact"/>
        <w:ind w:firstLine="964" w:firstLineChars="400"/>
        <w:rPr>
          <w:rFonts w:hint="eastAsia" w:ascii="宋体" w:hAnsi="宋体"/>
          <w:b/>
          <w:color w:val="000000"/>
          <w:sz w:val="24"/>
        </w:rPr>
      </w:pPr>
      <w:r>
        <w:rPr>
          <w:rFonts w:hint="eastAsia" w:ascii="宋体" w:hAnsi="宋体"/>
          <w:b/>
          <w:color w:val="000000"/>
          <w:sz w:val="24"/>
        </w:rPr>
        <w:t xml:space="preserve">电话（传真）：010-87697580                     qq咨询：3177524020   </w:t>
      </w:r>
    </w:p>
    <w:p>
      <w:pPr>
        <w:widowControl/>
        <w:spacing w:line="360" w:lineRule="exact"/>
        <w:ind w:firstLine="964" w:firstLineChars="400"/>
        <w:rPr>
          <w:rFonts w:ascii="宋体" w:hAnsi="宋体"/>
          <w:kern w:val="0"/>
          <w:sz w:val="24"/>
        </w:rPr>
      </w:pPr>
      <w:bookmarkStart w:id="0" w:name="_GoBack"/>
      <w:bookmarkEnd w:id="0"/>
      <w:r>
        <w:rPr>
          <w:rFonts w:hint="eastAsia" w:ascii="宋体" w:hAnsi="宋体" w:cs="宋体"/>
          <w:b/>
          <w:color w:val="000000"/>
          <w:sz w:val="24"/>
          <w:shd w:val="clear" w:color="auto" w:fill="FFFFFF"/>
          <w:lang w:val="en-US" w:eastAsia="zh-CN"/>
        </w:rPr>
        <w:t>网址查询：</w:t>
      </w:r>
      <w:r>
        <w:rPr>
          <w:rFonts w:hint="eastAsia" w:ascii="宋体" w:hAnsi="宋体" w:cs="宋体"/>
          <w:b/>
          <w:color w:val="000000"/>
          <w:sz w:val="24"/>
          <w:shd w:val="clear" w:color="auto" w:fill="FFFFFF"/>
          <w:lang w:val="en-US" w:eastAsia="zh-CN"/>
        </w:rPr>
        <w:fldChar w:fldCharType="begin"/>
      </w:r>
      <w:r>
        <w:rPr>
          <w:rFonts w:hint="eastAsia" w:ascii="宋体" w:hAnsi="宋体" w:cs="宋体"/>
          <w:b/>
          <w:color w:val="000000"/>
          <w:sz w:val="24"/>
          <w:shd w:val="clear" w:color="auto" w:fill="FFFFFF"/>
          <w:lang w:val="en-US" w:eastAsia="zh-CN"/>
        </w:rPr>
        <w:instrText xml:space="preserve"> HYPERLINK "http://www.zqgpchina.cn/" </w:instrText>
      </w:r>
      <w:r>
        <w:rPr>
          <w:rFonts w:hint="eastAsia" w:ascii="宋体" w:hAnsi="宋体" w:cs="宋体"/>
          <w:b/>
          <w:color w:val="000000"/>
          <w:sz w:val="24"/>
          <w:shd w:val="clear" w:color="auto" w:fill="FFFFFF"/>
          <w:lang w:val="en-US" w:eastAsia="zh-CN"/>
        </w:rPr>
        <w:fldChar w:fldCharType="separate"/>
      </w:r>
      <w:r>
        <w:rPr>
          <w:rStyle w:val="13"/>
          <w:rFonts w:hint="eastAsia" w:ascii="宋体" w:hAnsi="宋体" w:cs="宋体"/>
          <w:b/>
          <w:sz w:val="24"/>
          <w:shd w:val="clear" w:color="auto" w:fill="FFFFFF"/>
          <w:lang w:val="en-US" w:eastAsia="zh-CN"/>
        </w:rPr>
        <w:t>http://www.zqgpchina.cn/</w:t>
      </w:r>
      <w:r>
        <w:rPr>
          <w:rFonts w:hint="eastAsia" w:ascii="宋体" w:hAnsi="宋体" w:cs="宋体"/>
          <w:b/>
          <w:color w:val="000000"/>
          <w:sz w:val="24"/>
          <w:shd w:val="clear" w:color="auto" w:fill="FFFFFF"/>
          <w:lang w:val="en-US" w:eastAsia="zh-CN"/>
        </w:rPr>
        <w:fldChar w:fldCharType="end"/>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华文中宋">
    <w:panose1 w:val="02010600040101010101"/>
    <w:charset w:val="86"/>
    <w:family w:val="auto"/>
    <w:pitch w:val="default"/>
    <w:sig w:usb0="00000287" w:usb1="080F0000" w:usb2="00000000" w:usb3="00000000" w:csb0="0004009F" w:csb1="DFD70000"/>
  </w:font>
  <w:font w:name="方正小标宋简体">
    <w:altName w:val="黑体"/>
    <w:panose1 w:val="00000000000000000000"/>
    <w:charset w:val="86"/>
    <w:family w:val="script"/>
    <w:pitch w:val="default"/>
    <w:sig w:usb0="00000000" w:usb1="00000000" w:usb2="00000010" w:usb3="00000000" w:csb0="00040000" w:csb1="00000000"/>
  </w:font>
  <w:font w:name="Arial">
    <w:panose1 w:val="020B0604020202020204"/>
    <w:charset w:val="00"/>
    <w:family w:val="swiss"/>
    <w:pitch w:val="default"/>
    <w:sig w:usb0="00007A87" w:usb1="80000000" w:usb2="00000008" w:usb3="00000000" w:csb0="400001FF" w:csb1="FFFF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0F3C52" w:usb2="00000016" w:usb3="00000000" w:csb0="0004001F" w:csb1="00000000"/>
  </w:font>
  <w:font w:name="仿宋">
    <w:altName w:val="Arial Unicode MS"/>
    <w:panose1 w:val="02010609060101010101"/>
    <w:charset w:val="86"/>
    <w:family w:val="modern"/>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AD3"/>
    <w:rsid w:val="00000F87"/>
    <w:rsid w:val="0000359C"/>
    <w:rsid w:val="000232DE"/>
    <w:rsid w:val="000308AF"/>
    <w:rsid w:val="000342DF"/>
    <w:rsid w:val="00046647"/>
    <w:rsid w:val="00056A27"/>
    <w:rsid w:val="00074E1A"/>
    <w:rsid w:val="000C066B"/>
    <w:rsid w:val="000C7A80"/>
    <w:rsid w:val="00103FE5"/>
    <w:rsid w:val="00117A73"/>
    <w:rsid w:val="00130DE1"/>
    <w:rsid w:val="00147186"/>
    <w:rsid w:val="001511A0"/>
    <w:rsid w:val="001542EE"/>
    <w:rsid w:val="0019052F"/>
    <w:rsid w:val="001C57FA"/>
    <w:rsid w:val="001F19FD"/>
    <w:rsid w:val="00224B28"/>
    <w:rsid w:val="002406D9"/>
    <w:rsid w:val="002811AE"/>
    <w:rsid w:val="002815F5"/>
    <w:rsid w:val="002A360A"/>
    <w:rsid w:val="002B26B3"/>
    <w:rsid w:val="002B4033"/>
    <w:rsid w:val="002C4C8C"/>
    <w:rsid w:val="00301501"/>
    <w:rsid w:val="0030751E"/>
    <w:rsid w:val="0032074D"/>
    <w:rsid w:val="003262A3"/>
    <w:rsid w:val="003317EA"/>
    <w:rsid w:val="00331E3C"/>
    <w:rsid w:val="00340CE5"/>
    <w:rsid w:val="003803B9"/>
    <w:rsid w:val="003860F6"/>
    <w:rsid w:val="003C33F0"/>
    <w:rsid w:val="003D112D"/>
    <w:rsid w:val="003F2132"/>
    <w:rsid w:val="003F5394"/>
    <w:rsid w:val="004008E1"/>
    <w:rsid w:val="00422C30"/>
    <w:rsid w:val="00441C2A"/>
    <w:rsid w:val="00457F0B"/>
    <w:rsid w:val="00465F9B"/>
    <w:rsid w:val="00470934"/>
    <w:rsid w:val="004738EA"/>
    <w:rsid w:val="004A4FF4"/>
    <w:rsid w:val="004B0ECD"/>
    <w:rsid w:val="004B15E2"/>
    <w:rsid w:val="004F6A68"/>
    <w:rsid w:val="00550319"/>
    <w:rsid w:val="0059259C"/>
    <w:rsid w:val="005960A9"/>
    <w:rsid w:val="005B728E"/>
    <w:rsid w:val="006043A3"/>
    <w:rsid w:val="0061057E"/>
    <w:rsid w:val="0061060F"/>
    <w:rsid w:val="0063196E"/>
    <w:rsid w:val="00660ECA"/>
    <w:rsid w:val="00673B2F"/>
    <w:rsid w:val="006932E8"/>
    <w:rsid w:val="006D4FCF"/>
    <w:rsid w:val="006E28D9"/>
    <w:rsid w:val="006E4A26"/>
    <w:rsid w:val="006E5EC1"/>
    <w:rsid w:val="00720BC2"/>
    <w:rsid w:val="00732767"/>
    <w:rsid w:val="00733AA0"/>
    <w:rsid w:val="007740D3"/>
    <w:rsid w:val="00777879"/>
    <w:rsid w:val="00797AA1"/>
    <w:rsid w:val="007A27FA"/>
    <w:rsid w:val="007A45EF"/>
    <w:rsid w:val="007B49DF"/>
    <w:rsid w:val="007C2681"/>
    <w:rsid w:val="007F2DDA"/>
    <w:rsid w:val="007F5AA6"/>
    <w:rsid w:val="00802300"/>
    <w:rsid w:val="008036E9"/>
    <w:rsid w:val="00836499"/>
    <w:rsid w:val="00857FD9"/>
    <w:rsid w:val="0088357D"/>
    <w:rsid w:val="008D037D"/>
    <w:rsid w:val="00901B54"/>
    <w:rsid w:val="00906D0E"/>
    <w:rsid w:val="009075F7"/>
    <w:rsid w:val="00934272"/>
    <w:rsid w:val="009365FA"/>
    <w:rsid w:val="009369A3"/>
    <w:rsid w:val="009377C7"/>
    <w:rsid w:val="0094650A"/>
    <w:rsid w:val="00974BD0"/>
    <w:rsid w:val="00991068"/>
    <w:rsid w:val="009A2D1D"/>
    <w:rsid w:val="009A59DC"/>
    <w:rsid w:val="009B798B"/>
    <w:rsid w:val="009E2B88"/>
    <w:rsid w:val="009E4166"/>
    <w:rsid w:val="00A435CF"/>
    <w:rsid w:val="00A64DAD"/>
    <w:rsid w:val="00A8540E"/>
    <w:rsid w:val="00A85F8A"/>
    <w:rsid w:val="00A9550D"/>
    <w:rsid w:val="00AA0AAD"/>
    <w:rsid w:val="00AA16D6"/>
    <w:rsid w:val="00AB5AD3"/>
    <w:rsid w:val="00AD2089"/>
    <w:rsid w:val="00AD535B"/>
    <w:rsid w:val="00B07DE6"/>
    <w:rsid w:val="00B350D1"/>
    <w:rsid w:val="00B46AA3"/>
    <w:rsid w:val="00B7364D"/>
    <w:rsid w:val="00B869E9"/>
    <w:rsid w:val="00B86BB9"/>
    <w:rsid w:val="00B92FA8"/>
    <w:rsid w:val="00BB3624"/>
    <w:rsid w:val="00BC7BDD"/>
    <w:rsid w:val="00BD6444"/>
    <w:rsid w:val="00BF185A"/>
    <w:rsid w:val="00C03ECC"/>
    <w:rsid w:val="00C11786"/>
    <w:rsid w:val="00C204E4"/>
    <w:rsid w:val="00C30A83"/>
    <w:rsid w:val="00C42E7E"/>
    <w:rsid w:val="00C57D45"/>
    <w:rsid w:val="00C8130A"/>
    <w:rsid w:val="00C83028"/>
    <w:rsid w:val="00C9437E"/>
    <w:rsid w:val="00CA0162"/>
    <w:rsid w:val="00CB06DF"/>
    <w:rsid w:val="00CB746D"/>
    <w:rsid w:val="00CC4E7C"/>
    <w:rsid w:val="00D104CF"/>
    <w:rsid w:val="00D2111E"/>
    <w:rsid w:val="00D47FE5"/>
    <w:rsid w:val="00D5439B"/>
    <w:rsid w:val="00D90FE1"/>
    <w:rsid w:val="00DB68D0"/>
    <w:rsid w:val="00DF3E0F"/>
    <w:rsid w:val="00DF7B46"/>
    <w:rsid w:val="00E05D46"/>
    <w:rsid w:val="00E6168E"/>
    <w:rsid w:val="00E72088"/>
    <w:rsid w:val="00E86258"/>
    <w:rsid w:val="00EB3CAE"/>
    <w:rsid w:val="00EC2F79"/>
    <w:rsid w:val="00EF2191"/>
    <w:rsid w:val="00F111BD"/>
    <w:rsid w:val="00F2132C"/>
    <w:rsid w:val="00F37322"/>
    <w:rsid w:val="00F4480A"/>
    <w:rsid w:val="00F45A97"/>
    <w:rsid w:val="00F55056"/>
    <w:rsid w:val="00F74E65"/>
    <w:rsid w:val="00FE379E"/>
    <w:rsid w:val="0969152B"/>
    <w:rsid w:val="0D187FC1"/>
    <w:rsid w:val="12D560A8"/>
    <w:rsid w:val="13736A80"/>
    <w:rsid w:val="142253C7"/>
    <w:rsid w:val="14A817C7"/>
    <w:rsid w:val="172C21CC"/>
    <w:rsid w:val="1743790C"/>
    <w:rsid w:val="21E265C3"/>
    <w:rsid w:val="4F1A6A36"/>
    <w:rsid w:val="5E3527FF"/>
    <w:rsid w:val="61310BC7"/>
    <w:rsid w:val="65BA2AD4"/>
    <w:rsid w:val="6DD0135D"/>
    <w:rsid w:val="718A219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99" w:semiHidden="0" w:name="Emphasis"/>
    <w:lsdException w:qFormat="1" w:unhideWhenUsed="0"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link w:val="15"/>
    <w:qFormat/>
    <w:uiPriority w:val="99"/>
    <w:pPr>
      <w:widowControl/>
      <w:spacing w:before="100" w:beforeAutospacing="1" w:after="100" w:afterAutospacing="1"/>
      <w:jc w:val="left"/>
      <w:outlineLvl w:val="0"/>
    </w:pPr>
    <w:rPr>
      <w:rFonts w:ascii="宋体" w:hAnsi="宋体"/>
      <w:b/>
      <w:bCs/>
      <w:kern w:val="36"/>
      <w:sz w:val="48"/>
      <w:szCs w:val="48"/>
    </w:rPr>
  </w:style>
  <w:style w:type="character" w:default="1" w:styleId="9">
    <w:name w:val="Default Paragraph Font"/>
    <w:semiHidden/>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3">
    <w:name w:val="Document Map"/>
    <w:basedOn w:val="1"/>
    <w:link w:val="16"/>
    <w:semiHidden/>
    <w:qFormat/>
    <w:uiPriority w:val="99"/>
    <w:rPr>
      <w:rFonts w:ascii="宋体"/>
      <w:sz w:val="18"/>
      <w:szCs w:val="18"/>
    </w:rPr>
  </w:style>
  <w:style w:type="paragraph" w:styleId="4">
    <w:name w:val="Balloon Text"/>
    <w:basedOn w:val="1"/>
    <w:link w:val="17"/>
    <w:qFormat/>
    <w:uiPriority w:val="99"/>
    <w:rPr>
      <w:sz w:val="18"/>
      <w:szCs w:val="18"/>
    </w:rPr>
  </w:style>
  <w:style w:type="paragraph" w:styleId="5">
    <w:name w:val="footer"/>
    <w:basedOn w:val="1"/>
    <w:link w:val="18"/>
    <w:qFormat/>
    <w:uiPriority w:val="99"/>
    <w:pPr>
      <w:tabs>
        <w:tab w:val="center" w:pos="4153"/>
        <w:tab w:val="right" w:pos="8306"/>
      </w:tabs>
      <w:snapToGrid w:val="0"/>
      <w:jc w:val="left"/>
    </w:pPr>
    <w:rPr>
      <w:sz w:val="18"/>
      <w:szCs w:val="18"/>
    </w:rPr>
  </w:style>
  <w:style w:type="paragraph" w:styleId="6">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spacing w:beforeAutospacing="1" w:afterAutospacing="1"/>
      <w:jc w:val="left"/>
    </w:pPr>
    <w:rPr>
      <w:rFonts w:cs="Times New Roman"/>
      <w:kern w:val="0"/>
      <w:sz w:val="24"/>
    </w:rPr>
  </w:style>
  <w:style w:type="character" w:styleId="10">
    <w:name w:val="Strong"/>
    <w:basedOn w:val="9"/>
    <w:qFormat/>
    <w:uiPriority w:val="99"/>
    <w:rPr>
      <w:rFonts w:cs="Times New Roman"/>
      <w:b/>
      <w:bCs/>
    </w:rPr>
  </w:style>
  <w:style w:type="character" w:styleId="11">
    <w:name w:val="page number"/>
    <w:basedOn w:val="9"/>
    <w:qFormat/>
    <w:uiPriority w:val="0"/>
  </w:style>
  <w:style w:type="character" w:styleId="12">
    <w:name w:val="Emphasis"/>
    <w:basedOn w:val="9"/>
    <w:qFormat/>
    <w:uiPriority w:val="99"/>
    <w:rPr>
      <w:rFonts w:cs="Times New Roman"/>
      <w:i/>
      <w:iCs/>
    </w:rPr>
  </w:style>
  <w:style w:type="character" w:styleId="13">
    <w:name w:val="Hyperlink"/>
    <w:basedOn w:val="9"/>
    <w:qFormat/>
    <w:uiPriority w:val="99"/>
    <w:rPr>
      <w:rFonts w:cs="Times New Roman"/>
      <w:color w:val="444444"/>
      <w:u w:val="none"/>
    </w:rPr>
  </w:style>
  <w:style w:type="paragraph" w:customStyle="1" w:styleId="14">
    <w:name w:val="Char Char Char Char Char Char Char"/>
    <w:basedOn w:val="1"/>
    <w:qFormat/>
    <w:uiPriority w:val="0"/>
    <w:pPr>
      <w:widowControl/>
      <w:spacing w:after="160" w:line="240" w:lineRule="exact"/>
      <w:jc w:val="left"/>
    </w:pPr>
  </w:style>
  <w:style w:type="character" w:customStyle="1" w:styleId="15">
    <w:name w:val="标题 1 Char"/>
    <w:basedOn w:val="9"/>
    <w:link w:val="2"/>
    <w:qFormat/>
    <w:locked/>
    <w:uiPriority w:val="99"/>
    <w:rPr>
      <w:rFonts w:ascii="宋体" w:eastAsia="宋体" w:cs="宋体"/>
      <w:b/>
      <w:bCs/>
      <w:kern w:val="36"/>
      <w:sz w:val="48"/>
      <w:szCs w:val="48"/>
    </w:rPr>
  </w:style>
  <w:style w:type="character" w:customStyle="1" w:styleId="16">
    <w:name w:val="文档结构图 Char"/>
    <w:basedOn w:val="9"/>
    <w:link w:val="3"/>
    <w:semiHidden/>
    <w:qFormat/>
    <w:locked/>
    <w:uiPriority w:val="99"/>
    <w:rPr>
      <w:rFonts w:ascii="宋体" w:hAnsi="Calibri" w:cs="宋体"/>
      <w:kern w:val="2"/>
      <w:sz w:val="18"/>
      <w:szCs w:val="18"/>
    </w:rPr>
  </w:style>
  <w:style w:type="character" w:customStyle="1" w:styleId="17">
    <w:name w:val="批注框文本 Char"/>
    <w:basedOn w:val="9"/>
    <w:link w:val="4"/>
    <w:qFormat/>
    <w:locked/>
    <w:uiPriority w:val="99"/>
    <w:rPr>
      <w:rFonts w:ascii="Calibri" w:hAnsi="Calibri" w:eastAsia="宋体" w:cs="宋体"/>
      <w:kern w:val="2"/>
      <w:sz w:val="18"/>
      <w:szCs w:val="18"/>
    </w:rPr>
  </w:style>
  <w:style w:type="character" w:customStyle="1" w:styleId="18">
    <w:name w:val="页脚 Char"/>
    <w:basedOn w:val="9"/>
    <w:link w:val="5"/>
    <w:qFormat/>
    <w:locked/>
    <w:uiPriority w:val="99"/>
    <w:rPr>
      <w:rFonts w:ascii="Calibri" w:hAnsi="Calibri" w:eastAsia="宋体" w:cs="宋体"/>
      <w:kern w:val="2"/>
      <w:sz w:val="18"/>
      <w:szCs w:val="18"/>
    </w:rPr>
  </w:style>
  <w:style w:type="character" w:customStyle="1" w:styleId="19">
    <w:name w:val="页眉 Char"/>
    <w:basedOn w:val="9"/>
    <w:link w:val="6"/>
    <w:qFormat/>
    <w:locked/>
    <w:uiPriority w:val="99"/>
    <w:rPr>
      <w:rFonts w:ascii="Calibri" w:hAnsi="Calibri" w:eastAsia="宋体" w:cs="宋体"/>
      <w:kern w:val="2"/>
      <w:sz w:val="18"/>
      <w:szCs w:val="18"/>
    </w:rPr>
  </w:style>
  <w:style w:type="paragraph" w:styleId="20">
    <w:name w:val="List Paragraph"/>
    <w:basedOn w:val="1"/>
    <w:qFormat/>
    <w:uiPriority w:val="99"/>
    <w:pPr>
      <w:ind w:firstLine="420" w:firstLineChars="200"/>
    </w:pPr>
  </w:style>
  <w:style w:type="paragraph" w:customStyle="1" w:styleId="21">
    <w:name w:val="列出段落1"/>
    <w:basedOn w:val="1"/>
    <w:uiPriority w:val="99"/>
    <w:pPr>
      <w:ind w:firstLine="420" w:firstLineChars="200"/>
    </w:pPr>
    <w:rPr>
      <w:rFonts w:cs="Times New Roman"/>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Sinopec</Company>
  <Pages>5</Pages>
  <Words>625</Words>
  <Characters>3566</Characters>
  <Lines>29</Lines>
  <Paragraphs>8</Paragraphs>
  <TotalTime>1</TotalTime>
  <ScaleCrop>false</ScaleCrop>
  <LinksUpToDate>false</LinksUpToDate>
  <CharactersWithSpaces>4183</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2019-03-28T04:09:00Z</dcterms:created>
  <dc:creator>lenovo</dc:creator>
  <cp:lastModifiedBy>Administrator</cp:lastModifiedBy>
  <dcterms:modified xsi:type="dcterms:W3CDTF">2019-03-28T06:14:32Z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