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adjustRightInd/>
        <w:spacing w:line="300" w:lineRule="exact"/>
        <w:jc w:val="both"/>
        <w:rPr>
          <w:rFonts w:hint="eastAsia" w:cs="方正大标宋简体" w:asciiTheme="majorEastAsia" w:hAnsiTheme="majorEastAsia" w:eastAsiaTheme="majorEastAsia"/>
          <w:b/>
          <w:color w:val="262626" w:themeColor="text2" w:themeTint="D9"/>
          <w:spacing w:val="13"/>
          <w:sz w:val="24"/>
          <w:szCs w:val="24"/>
          <w14:textFill>
            <w14:solidFill>
              <w14:schemeClr w14:val="tx2">
                <w14:lumMod w14:val="85000"/>
                <w14:lumOff w14:val="15000"/>
              </w14:schemeClr>
            </w14:solidFill>
          </w14:textFill>
        </w:rPr>
      </w:pPr>
      <w:r>
        <w:rPr>
          <w:rFonts w:ascii="华文中宋" w:hAnsi="华文中宋" w:eastAsia="华文中宋" w:cs="仿宋"/>
          <w:b/>
          <w:bCs/>
          <w:kern w:val="2"/>
          <w:sz w:val="24"/>
          <w:szCs w:val="24"/>
        </w:rPr>
        <w:drawing>
          <wp:anchor distT="0" distB="0" distL="114300" distR="114300" simplePos="0" relativeHeight="251659264" behindDoc="1" locked="0" layoutInCell="1" allowOverlap="1">
            <wp:simplePos x="0" y="0"/>
            <wp:positionH relativeFrom="column">
              <wp:posOffset>3165475</wp:posOffset>
            </wp:positionH>
            <wp:positionV relativeFrom="paragraph">
              <wp:posOffset>6926580</wp:posOffset>
            </wp:positionV>
            <wp:extent cx="3545840" cy="1965960"/>
            <wp:effectExtent l="0" t="0" r="0" b="0"/>
            <wp:wrapNone/>
            <wp:docPr id="4" name="图片 4" descr="C:\Users\Administrator\Desktop\111微信图片_2019051111271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11微信图片_20190511112710_副本.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46058" cy="1965960"/>
                    </a:xfrm>
                    <a:prstGeom prst="rect">
                      <a:avLst/>
                    </a:prstGeom>
                    <a:noFill/>
                    <a:ln>
                      <a:noFill/>
                    </a:ln>
                  </pic:spPr>
                </pic:pic>
              </a:graphicData>
            </a:graphic>
          </wp:anchor>
        </w:drawing>
      </w:r>
      <w:r>
        <w:rPr>
          <w:rFonts w:ascii="方正大标宋简体" w:hAnsi="方正大标宋简体" w:eastAsia="方正大标宋简体" w:cs="方正大标宋简体"/>
          <w:color w:val="FF0000"/>
          <w:spacing w:val="13"/>
          <w:sz w:val="24"/>
          <w:szCs w:val="24"/>
        </w:rPr>
        <w:drawing>
          <wp:anchor distT="0" distB="0" distL="114300" distR="114300" simplePos="0" relativeHeight="251658240" behindDoc="0" locked="0" layoutInCell="1" allowOverlap="1">
            <wp:simplePos x="0" y="0"/>
            <wp:positionH relativeFrom="column">
              <wp:posOffset>-685800</wp:posOffset>
            </wp:positionH>
            <wp:positionV relativeFrom="paragraph">
              <wp:posOffset>-899160</wp:posOffset>
            </wp:positionV>
            <wp:extent cx="7551420" cy="7886700"/>
            <wp:effectExtent l="0" t="0" r="0" b="0"/>
            <wp:wrapTopAndBottom/>
            <wp:docPr id="2" name="图片 2" descr="C:\Users\Administrator\Desktop\444微信图片_20190511123911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444微信图片_20190511123911_副本_副本.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551420" cy="7886700"/>
                    </a:xfrm>
                    <a:prstGeom prst="rect">
                      <a:avLst/>
                    </a:prstGeom>
                    <a:noFill/>
                    <a:ln>
                      <a:noFill/>
                    </a:ln>
                  </pic:spPr>
                </pic:pic>
              </a:graphicData>
            </a:graphic>
          </wp:anchor>
        </w:drawing>
      </w:r>
      <w:r>
        <w:rPr>
          <w:rFonts w:hint="eastAsia" w:cs="方正大标宋简体" w:asciiTheme="majorEastAsia" w:hAnsiTheme="majorEastAsia" w:eastAsiaTheme="majorEastAsia"/>
          <w:b/>
          <w:color w:val="262626" w:themeColor="text2" w:themeTint="D9"/>
          <w:spacing w:val="13"/>
          <w:sz w:val="24"/>
          <w:szCs w:val="24"/>
          <w14:textFill>
            <w14:solidFill>
              <w14:schemeClr w14:val="tx2">
                <w14:lumMod w14:val="85000"/>
                <w14:lumOff w14:val="15000"/>
              </w14:schemeClr>
            </w14:solidFill>
          </w14:textFill>
        </w:rPr>
        <w:t>报名联系人：聂红军 主任 18211071700（微信）   邮  箱：zqgphwz@126.com</w:t>
      </w:r>
    </w:p>
    <w:p>
      <w:pPr>
        <w:autoSpaceDE/>
        <w:autoSpaceDN/>
        <w:adjustRightInd/>
        <w:spacing w:line="300" w:lineRule="exact"/>
        <w:jc w:val="both"/>
        <w:rPr>
          <w:rFonts w:hint="eastAsia" w:cs="方正大标宋简体" w:asciiTheme="majorEastAsia" w:hAnsiTheme="majorEastAsia" w:eastAsiaTheme="majorEastAsia"/>
          <w:b/>
          <w:color w:val="262626" w:themeColor="text2" w:themeTint="D9"/>
          <w:spacing w:val="13"/>
          <w:sz w:val="24"/>
          <w:szCs w:val="24"/>
          <w14:textFill>
            <w14:solidFill>
              <w14:schemeClr w14:val="tx2">
                <w14:lumMod w14:val="85000"/>
                <w14:lumOff w14:val="15000"/>
              </w14:schemeClr>
            </w14:solidFill>
          </w14:textFill>
        </w:rPr>
      </w:pPr>
      <w:r>
        <w:rPr>
          <w:rFonts w:hint="eastAsia" w:cs="方正大标宋简体" w:asciiTheme="majorEastAsia" w:hAnsiTheme="majorEastAsia" w:eastAsiaTheme="majorEastAsia"/>
          <w:b/>
          <w:color w:val="262626" w:themeColor="text2" w:themeTint="D9"/>
          <w:spacing w:val="13"/>
          <w:sz w:val="24"/>
          <w:szCs w:val="24"/>
          <w14:textFill>
            <w14:solidFill>
              <w14:schemeClr w14:val="tx2">
                <w14:lumMod w14:val="85000"/>
                <w14:lumOff w14:val="15000"/>
              </w14:schemeClr>
            </w14:solidFill>
          </w14:textFill>
        </w:rPr>
        <w:t xml:space="preserve">电话（传真）：010-87697580                  qq咨询：3177524020   </w:t>
      </w:r>
    </w:p>
    <w:p>
      <w:pPr>
        <w:autoSpaceDE/>
        <w:autoSpaceDN/>
        <w:adjustRightInd/>
        <w:spacing w:line="300" w:lineRule="exact"/>
        <w:jc w:val="both"/>
        <w:rPr>
          <w:rFonts w:hint="default" w:cs="方正大标宋简体" w:asciiTheme="majorEastAsia" w:hAnsiTheme="majorEastAsia" w:eastAsiaTheme="majorEastAsia"/>
          <w:b/>
          <w:color w:val="262626" w:themeColor="text2" w:themeTint="D9"/>
          <w:spacing w:val="13"/>
          <w:sz w:val="21"/>
          <w:szCs w:val="21"/>
          <w14:textFill>
            <w14:solidFill>
              <w14:schemeClr w14:val="tx2">
                <w14:lumMod w14:val="85000"/>
                <w14:lumOff w14:val="15000"/>
              </w14:schemeClr>
            </w14:solidFill>
          </w14:textFill>
        </w:rPr>
      </w:pPr>
      <w:r>
        <w:rPr>
          <w:rFonts w:hint="eastAsia" w:cs="方正大标宋简体" w:asciiTheme="majorEastAsia" w:hAnsiTheme="majorEastAsia" w:eastAsiaTheme="majorEastAsia"/>
          <w:b/>
          <w:color w:val="262626" w:themeColor="text2" w:themeTint="D9"/>
          <w:spacing w:val="13"/>
          <w:sz w:val="24"/>
          <w:szCs w:val="24"/>
          <w14:textFill>
            <w14:solidFill>
              <w14:schemeClr w14:val="tx2">
                <w14:lumMod w14:val="85000"/>
                <w14:lumOff w14:val="15000"/>
              </w14:schemeClr>
            </w14:solidFill>
          </w14:textFill>
        </w:rPr>
        <w:t xml:space="preserve">网址查询：http://www.zqgpchina.cn/ </w:t>
      </w:r>
    </w:p>
    <w:p>
      <w:pPr>
        <w:autoSpaceDE/>
        <w:autoSpaceDN/>
        <w:adjustRightInd/>
        <w:spacing w:line="360" w:lineRule="exact"/>
        <w:jc w:val="both"/>
        <w:rPr>
          <w:rFonts w:hint="default" w:ascii="华文中宋" w:hAnsi="华文中宋" w:eastAsia="华文中宋" w:cs="仿宋"/>
          <w:b/>
          <w:bCs/>
          <w:kern w:val="2"/>
          <w:sz w:val="32"/>
          <w:szCs w:val="32"/>
        </w:rPr>
      </w:pPr>
    </w:p>
    <w:p>
      <w:pPr>
        <w:autoSpaceDE/>
        <w:autoSpaceDN/>
        <w:adjustRightInd/>
        <w:spacing w:line="360" w:lineRule="exact"/>
        <w:jc w:val="both"/>
        <w:rPr>
          <w:rFonts w:hint="default" w:ascii="华文中宋" w:hAnsi="华文中宋" w:eastAsia="华文中宋" w:cs="仿宋"/>
          <w:b/>
          <w:bCs/>
          <w:kern w:val="2"/>
          <w:sz w:val="32"/>
          <w:szCs w:val="32"/>
        </w:rPr>
      </w:pPr>
    </w:p>
    <w:p>
      <w:pPr>
        <w:autoSpaceDE/>
        <w:autoSpaceDN/>
        <w:adjustRightInd/>
        <w:spacing w:line="360" w:lineRule="exact"/>
        <w:jc w:val="both"/>
        <w:rPr>
          <w:rFonts w:hint="default" w:ascii="华文中宋" w:hAnsi="华文中宋" w:eastAsia="华文中宋" w:cs="仿宋"/>
          <w:b/>
          <w:bCs/>
          <w:kern w:val="2"/>
          <w:sz w:val="32"/>
          <w:szCs w:val="32"/>
        </w:rPr>
      </w:pPr>
    </w:p>
    <w:p>
      <w:pPr>
        <w:autoSpaceDE/>
        <w:autoSpaceDN/>
        <w:adjustRightInd/>
        <w:spacing w:line="360" w:lineRule="exact"/>
        <w:jc w:val="both"/>
        <w:rPr>
          <w:rFonts w:hint="default" w:ascii="华文中宋" w:hAnsi="华文中宋" w:eastAsia="华文中宋" w:cs="仿宋"/>
          <w:b/>
          <w:bCs/>
          <w:kern w:val="2"/>
          <w:sz w:val="32"/>
          <w:szCs w:val="32"/>
        </w:rPr>
      </w:pPr>
    </w:p>
    <w:p>
      <w:pPr>
        <w:autoSpaceDE/>
        <w:autoSpaceDN/>
        <w:adjustRightInd/>
        <w:spacing w:line="360" w:lineRule="exact"/>
        <w:jc w:val="both"/>
        <w:rPr>
          <w:rFonts w:hint="default" w:ascii="华文中宋" w:hAnsi="华文中宋" w:eastAsia="华文中宋" w:cs="仿宋"/>
          <w:b/>
          <w:bCs/>
          <w:kern w:val="2"/>
          <w:sz w:val="32"/>
          <w:szCs w:val="32"/>
        </w:rPr>
      </w:pPr>
    </w:p>
    <w:p>
      <w:pPr>
        <w:autoSpaceDE/>
        <w:autoSpaceDN/>
        <w:adjustRightInd/>
        <w:spacing w:line="360" w:lineRule="exact"/>
        <w:jc w:val="both"/>
        <w:rPr>
          <w:rFonts w:hint="default" w:ascii="仿宋" w:hAnsi="仿宋" w:eastAsia="仿宋" w:cs="仿宋"/>
          <w:bCs/>
          <w:kern w:val="2"/>
          <w:sz w:val="28"/>
          <w:szCs w:val="28"/>
        </w:rPr>
      </w:pPr>
      <w:r>
        <w:rPr>
          <w:rFonts w:ascii="华文中宋" w:hAnsi="华文中宋" w:eastAsia="华文中宋" w:cs="仿宋"/>
          <w:b/>
          <w:bCs/>
          <w:kern w:val="2"/>
          <w:sz w:val="32"/>
          <w:szCs w:val="32"/>
        </w:rPr>
        <w:t xml:space="preserve">一、培训内容 </w:t>
      </w:r>
    </w:p>
    <w:p>
      <w:pPr>
        <w:autoSpaceDE/>
        <w:autoSpaceDN/>
        <w:adjustRightInd/>
        <w:spacing w:line="360" w:lineRule="exact"/>
        <w:jc w:val="both"/>
        <w:rPr>
          <w:rFonts w:hint="default" w:ascii="仿宋" w:hAnsi="仿宋" w:eastAsia="仿宋" w:cs="仿宋"/>
          <w:b/>
          <w:bCs/>
          <w:kern w:val="2"/>
          <w:sz w:val="28"/>
          <w:szCs w:val="28"/>
        </w:rPr>
      </w:pPr>
      <w:r>
        <w:rPr>
          <w:rFonts w:ascii="仿宋" w:hAnsi="仿宋" w:eastAsia="仿宋" w:cs="仿宋"/>
          <w:b/>
          <w:bCs/>
          <w:kern w:val="2"/>
          <w:sz w:val="28"/>
          <w:szCs w:val="28"/>
        </w:rPr>
        <w:t>（一）</w:t>
      </w:r>
      <w:r>
        <w:rPr>
          <w:rFonts w:hint="default" w:ascii="仿宋" w:hAnsi="仿宋" w:eastAsia="仿宋" w:cs="仿宋"/>
          <w:b/>
          <w:bCs/>
          <w:kern w:val="2"/>
          <w:sz w:val="28"/>
          <w:szCs w:val="28"/>
        </w:rPr>
        <w:t>国有企业混合所有制及薪酬绩效管理体系改革政策解读</w:t>
      </w:r>
    </w:p>
    <w:p>
      <w:pPr>
        <w:widowControl/>
        <w:autoSpaceDE/>
        <w:autoSpaceDN/>
        <w:adjustRightInd/>
        <w:spacing w:line="360" w:lineRule="exact"/>
        <w:ind w:firstLine="560" w:firstLineChars="200"/>
        <w:rPr>
          <w:rFonts w:hint="default" w:ascii="仿宋" w:hAnsi="仿宋" w:eastAsia="仿宋" w:cs="宋体"/>
          <w:color w:val="000000"/>
          <w:sz w:val="28"/>
          <w:szCs w:val="28"/>
        </w:rPr>
      </w:pPr>
      <w:r>
        <w:rPr>
          <w:rFonts w:ascii="仿宋" w:hAnsi="仿宋" w:eastAsia="仿宋" w:cs="宋体"/>
          <w:color w:val="000000"/>
          <w:sz w:val="28"/>
          <w:szCs w:val="28"/>
        </w:rPr>
        <w:t>1．国资国企改革“1+N”系列政策文件的重点内容解读；</w:t>
      </w:r>
      <w:r>
        <w:rPr>
          <w:rFonts w:cs="宋体"/>
          <w:color w:val="000000"/>
          <w:sz w:val="28"/>
          <w:szCs w:val="28"/>
        </w:rPr>
        <w:t> </w:t>
      </w:r>
      <w:r>
        <w:rPr>
          <w:rFonts w:ascii="仿宋" w:hAnsi="仿宋" w:eastAsia="仿宋" w:cs="宋体"/>
          <w:color w:val="000000"/>
          <w:sz w:val="28"/>
          <w:szCs w:val="28"/>
        </w:rPr>
        <w:t xml:space="preserve"> </w:t>
      </w:r>
    </w:p>
    <w:p>
      <w:pPr>
        <w:widowControl/>
        <w:autoSpaceDE/>
        <w:autoSpaceDN/>
        <w:adjustRightInd/>
        <w:spacing w:line="360" w:lineRule="exact"/>
        <w:ind w:firstLine="140" w:firstLineChars="50"/>
        <w:rPr>
          <w:rFonts w:hint="default" w:ascii="仿宋" w:hAnsi="仿宋" w:eastAsia="仿宋" w:cs="宋体"/>
          <w:color w:val="000000"/>
          <w:sz w:val="28"/>
          <w:szCs w:val="28"/>
        </w:rPr>
      </w:pPr>
      <w:r>
        <w:rPr>
          <w:rFonts w:ascii="仿宋" w:hAnsi="仿宋" w:eastAsia="仿宋" w:cs="宋体"/>
          <w:color w:val="000000"/>
          <w:sz w:val="28"/>
          <w:szCs w:val="28"/>
        </w:rPr>
        <w:t xml:space="preserve">   2．习近平总书记有关国资国企改革的历次重要讲话和指示批示解读；</w:t>
      </w:r>
      <w:r>
        <w:rPr>
          <w:rFonts w:cs="宋体"/>
          <w:color w:val="000000"/>
          <w:sz w:val="28"/>
          <w:szCs w:val="28"/>
        </w:rPr>
        <w:t> </w:t>
      </w:r>
      <w:r>
        <w:rPr>
          <w:rFonts w:ascii="仿宋" w:hAnsi="仿宋" w:eastAsia="仿宋" w:cs="宋体"/>
          <w:color w:val="000000"/>
          <w:sz w:val="28"/>
          <w:szCs w:val="28"/>
        </w:rPr>
        <w:t xml:space="preserve">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xml:space="preserve">   </w:t>
      </w:r>
      <w:r>
        <w:rPr>
          <w:rFonts w:ascii="仿宋" w:hAnsi="仿宋" w:eastAsia="仿宋" w:cs="宋体"/>
          <w:bCs/>
          <w:color w:val="000000" w:themeColor="text1"/>
          <w:sz w:val="28"/>
          <w:szCs w:val="28"/>
          <w14:textFill>
            <w14:solidFill>
              <w14:schemeClr w14:val="tx1"/>
            </w14:solidFill>
          </w14:textFill>
        </w:rPr>
        <w:t>3．《国企改革“双百行动”工作方案》及相关政策精神全面解析；</w:t>
      </w:r>
      <w:r>
        <w:rPr>
          <w:rFonts w:ascii="仿宋" w:hAnsi="仿宋" w:eastAsia="仿宋" w:cs="宋体"/>
          <w:color w:val="000000"/>
          <w:sz w:val="28"/>
          <w:szCs w:val="28"/>
        </w:rPr>
        <w:t xml:space="preserve"> </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4</w:t>
      </w:r>
      <w:r>
        <w:rPr>
          <w:rFonts w:hint="default" w:ascii="仿宋" w:hAnsi="仿宋" w:eastAsia="仿宋" w:cs="仿宋"/>
          <w:bCs/>
          <w:kern w:val="2"/>
          <w:sz w:val="28"/>
          <w:szCs w:val="28"/>
        </w:rPr>
        <w:t>.混合所有制改革的主要思路、操纵模式</w:t>
      </w:r>
      <w:r>
        <w:rPr>
          <w:rFonts w:ascii="仿宋" w:hAnsi="仿宋" w:eastAsia="仿宋" w:cs="仿宋"/>
          <w:bCs/>
          <w:kern w:val="2"/>
          <w:sz w:val="28"/>
          <w:szCs w:val="28"/>
        </w:rPr>
        <w:t>及公司治理的难点</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5</w:t>
      </w:r>
      <w:r>
        <w:rPr>
          <w:rFonts w:hint="default" w:ascii="仿宋" w:hAnsi="仿宋" w:eastAsia="仿宋" w:cs="仿宋"/>
          <w:bCs/>
          <w:kern w:val="2"/>
          <w:sz w:val="28"/>
          <w:szCs w:val="28"/>
        </w:rPr>
        <w:t>.国有企业薪酬体系改革的政策解读</w:t>
      </w:r>
    </w:p>
    <w:p>
      <w:pPr>
        <w:autoSpaceDE/>
        <w:autoSpaceDN/>
        <w:adjustRightInd/>
        <w:spacing w:line="360" w:lineRule="exact"/>
        <w:ind w:firstLine="560" w:firstLineChars="200"/>
        <w:jc w:val="both"/>
        <w:rPr>
          <w:rFonts w:hint="default" w:ascii="仿宋" w:hAnsi="仿宋" w:eastAsia="仿宋" w:cs="宋体"/>
          <w:color w:val="000000"/>
          <w:sz w:val="28"/>
          <w:szCs w:val="28"/>
        </w:rPr>
      </w:pPr>
      <w:r>
        <w:rPr>
          <w:rFonts w:ascii="仿宋" w:hAnsi="仿宋" w:eastAsia="仿宋" w:cs="宋体"/>
          <w:color w:val="000000"/>
          <w:sz w:val="28"/>
          <w:szCs w:val="28"/>
        </w:rPr>
        <w:t xml:space="preserve">6．国务院国资委、国家发改委分别牵头的改革试点以及先进省市国企混改和员工持股试点的实际进展情况 </w:t>
      </w:r>
    </w:p>
    <w:p>
      <w:pPr>
        <w:autoSpaceDE/>
        <w:autoSpaceDN/>
        <w:adjustRightInd/>
        <w:spacing w:line="360" w:lineRule="exact"/>
        <w:ind w:firstLine="560" w:firstLineChars="200"/>
        <w:jc w:val="both"/>
        <w:rPr>
          <w:rFonts w:hint="default" w:ascii="仿宋" w:hAnsi="仿宋" w:eastAsia="仿宋" w:cs="宋体"/>
          <w:color w:val="000000"/>
          <w:sz w:val="28"/>
          <w:szCs w:val="28"/>
        </w:rPr>
      </w:pPr>
      <w:r>
        <w:rPr>
          <w:rFonts w:ascii="仿宋" w:hAnsi="仿宋" w:eastAsia="仿宋" w:cs="宋体"/>
          <w:color w:val="000000"/>
          <w:sz w:val="28"/>
          <w:szCs w:val="28"/>
        </w:rPr>
        <w:t>7.《改革国有资本授权经营体制方案的通知》国发【2019】9号文解读</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宋体"/>
          <w:color w:val="000000"/>
          <w:sz w:val="28"/>
          <w:szCs w:val="28"/>
        </w:rPr>
        <w:t>8.</w:t>
      </w:r>
      <w:r>
        <w:t xml:space="preserve"> </w:t>
      </w:r>
      <w:r>
        <w:rPr>
          <w:rFonts w:ascii="仿宋" w:hAnsi="仿宋" w:eastAsia="仿宋" w:cs="宋体"/>
          <w:color w:val="000000"/>
          <w:sz w:val="28"/>
          <w:szCs w:val="28"/>
        </w:rPr>
        <w:t>改革国有资本授权经营体制要点解析</w:t>
      </w:r>
    </w:p>
    <w:p>
      <w:pPr>
        <w:widowControl/>
        <w:autoSpaceDE/>
        <w:autoSpaceDN/>
        <w:adjustRightInd/>
        <w:spacing w:line="360" w:lineRule="exact"/>
        <w:rPr>
          <w:rFonts w:hint="default" w:ascii="仿宋" w:hAnsi="仿宋" w:eastAsia="仿宋" w:cs="宋体"/>
          <w:color w:val="000000"/>
          <w:sz w:val="28"/>
          <w:szCs w:val="28"/>
        </w:rPr>
      </w:pPr>
      <w:r>
        <w:rPr>
          <w:rFonts w:ascii="仿宋" w:hAnsi="仿宋" w:eastAsia="仿宋" w:cs="宋体"/>
          <w:b/>
          <w:bCs/>
          <w:color w:val="000000"/>
          <w:sz w:val="28"/>
          <w:szCs w:val="28"/>
        </w:rPr>
        <w:t xml:space="preserve">（二）国企混合所有制改革的难点解析、操作模式及实战技术 </w:t>
      </w:r>
    </w:p>
    <w:p>
      <w:pPr>
        <w:widowControl/>
        <w:autoSpaceDE/>
        <w:autoSpaceDN/>
        <w:adjustRightInd/>
        <w:spacing w:line="360" w:lineRule="exact"/>
        <w:ind w:firstLine="560" w:firstLineChars="200"/>
        <w:rPr>
          <w:rFonts w:hint="default" w:ascii="仿宋" w:hAnsi="仿宋" w:eastAsia="仿宋" w:cs="宋体"/>
          <w:color w:val="000000"/>
          <w:sz w:val="28"/>
          <w:szCs w:val="28"/>
        </w:rPr>
      </w:pPr>
      <w:r>
        <w:rPr>
          <w:rFonts w:ascii="仿宋" w:hAnsi="仿宋" w:eastAsia="仿宋" w:cs="宋体"/>
          <w:color w:val="000000"/>
          <w:sz w:val="28"/>
          <w:szCs w:val="28"/>
        </w:rPr>
        <w:t xml:space="preserve">1．国企混改的经验教训总结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 xml:space="preserve">2．推行混合所有制改革的焦点和难点问题解析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xml:space="preserve">  </w:t>
      </w:r>
      <w:r>
        <w:rPr>
          <w:rFonts w:ascii="仿宋" w:hAnsi="仿宋" w:eastAsia="仿宋" w:cs="宋体"/>
          <w:color w:val="000000"/>
          <w:sz w:val="28"/>
          <w:szCs w:val="28"/>
        </w:rPr>
        <w:t xml:space="preserve"> 3．不同类型国有企业推行混改的操作模式以及可借鉴的典型案例</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 xml:space="preserve">4．国企混合所有制改革操作的权威指引详解（包含国企混改的基本流程、六大主要环节的操作要点等）  </w:t>
      </w:r>
    </w:p>
    <w:p>
      <w:pPr>
        <w:widowControl/>
        <w:autoSpaceDE/>
        <w:autoSpaceDN/>
        <w:adjustRightInd/>
        <w:spacing w:line="360" w:lineRule="exact"/>
        <w:ind w:firstLine="560" w:firstLineChars="200"/>
        <w:rPr>
          <w:rFonts w:hint="default" w:ascii="仿宋" w:hAnsi="仿宋" w:eastAsia="仿宋" w:cs="宋体"/>
          <w:color w:val="000000"/>
          <w:sz w:val="28"/>
          <w:szCs w:val="28"/>
        </w:rPr>
      </w:pPr>
      <w:r>
        <w:rPr>
          <w:rFonts w:ascii="仿宋" w:hAnsi="仿宋" w:eastAsia="仿宋" w:cs="宋体"/>
          <w:color w:val="000000"/>
          <w:sz w:val="28"/>
          <w:szCs w:val="28"/>
        </w:rPr>
        <w:t>5．在混改筹划、实施过程中，如何将混改工作与企业转型发展、培育新兴产业、打造一流企业等战略性议题有效结合</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6．国企混改方案设计及组织实施疑难问题处理</w:t>
      </w:r>
    </w:p>
    <w:p>
      <w:pPr>
        <w:autoSpaceDE/>
        <w:autoSpaceDN/>
        <w:adjustRightInd/>
        <w:spacing w:line="360" w:lineRule="exact"/>
        <w:jc w:val="both"/>
        <w:rPr>
          <w:rFonts w:hint="default" w:ascii="仿宋" w:hAnsi="仿宋" w:eastAsia="仿宋" w:cs="仿宋"/>
          <w:b/>
          <w:bCs/>
          <w:kern w:val="2"/>
          <w:sz w:val="28"/>
          <w:szCs w:val="28"/>
        </w:rPr>
      </w:pPr>
      <w:r>
        <w:rPr>
          <w:rFonts w:ascii="仿宋" w:hAnsi="仿宋" w:eastAsia="仿宋" w:cs="仿宋"/>
          <w:b/>
          <w:bCs/>
          <w:kern w:val="2"/>
          <w:sz w:val="28"/>
          <w:szCs w:val="28"/>
        </w:rPr>
        <w:t>(三) 关于改革国有企业工资决定机制的意见与政策解读</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1.国有企业工资决定机制主要概念界定</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2.国资系统如何整体规划打造国企与干部员工的命运共同体</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3.国资委如何推动区域国企工资总额调整机制的建立</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4.企业分类确定工资效益联动指标</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5.国企如何利用一企一策改革个性化确定工资总额形成公式</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 xml:space="preserve">6.基于工资总额机制的内部差异化薪酬      </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7.国有企业工资分配监管体制</w:t>
      </w:r>
    </w:p>
    <w:p>
      <w:pPr>
        <w:autoSpaceDE/>
        <w:autoSpaceDN/>
        <w:adjustRightInd/>
        <w:spacing w:line="360" w:lineRule="exact"/>
        <w:jc w:val="both"/>
        <w:rPr>
          <w:rFonts w:hint="default" w:ascii="仿宋" w:hAnsi="仿宋" w:eastAsia="仿宋" w:cs="仿宋"/>
          <w:b/>
          <w:kern w:val="2"/>
          <w:sz w:val="28"/>
          <w:szCs w:val="28"/>
        </w:rPr>
      </w:pPr>
      <w:r>
        <w:rPr>
          <w:rFonts w:ascii="仿宋" w:hAnsi="仿宋" w:eastAsia="仿宋" w:cs="仿宋"/>
          <w:b/>
          <w:kern w:val="2"/>
          <w:sz w:val="28"/>
          <w:szCs w:val="28"/>
        </w:rPr>
        <w:t>(四) 国有企业人才管理机制及薪酬绩效管理体系改革</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1.国有企业薪酬体系改革的政策解读</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2.国有企业人才流动机制的建立与完善</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3.绩效管理的操作步骤、指标设计及管理模式</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4.国有企业改革中建立以绩效为导向和市场接轨的薪酬体系</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5.国有企业绩效考核的难点及解决思路</w:t>
      </w:r>
    </w:p>
    <w:p>
      <w:pPr>
        <w:autoSpaceDE/>
        <w:autoSpaceDN/>
        <w:adjustRightInd/>
        <w:spacing w:line="360" w:lineRule="exact"/>
        <w:ind w:firstLine="560" w:firstLineChars="200"/>
        <w:jc w:val="both"/>
        <w:rPr>
          <w:rFonts w:hint="default" w:ascii="仿宋" w:hAnsi="仿宋" w:eastAsia="仿宋" w:cs="宋体"/>
          <w:color w:val="000000"/>
          <w:sz w:val="28"/>
          <w:szCs w:val="28"/>
        </w:rPr>
      </w:pPr>
      <w:r>
        <w:rPr>
          <w:rFonts w:ascii="仿宋" w:hAnsi="仿宋" w:eastAsia="仿宋" w:cs="仿宋"/>
          <w:bCs/>
          <w:kern w:val="2"/>
          <w:sz w:val="28"/>
          <w:szCs w:val="28"/>
        </w:rPr>
        <w:t>6.国企三项制度改革</w:t>
      </w:r>
      <w:r>
        <w:rPr>
          <w:rFonts w:ascii="仿宋" w:hAnsi="仿宋" w:eastAsia="仿宋" w:cs="宋体"/>
          <w:color w:val="000000"/>
          <w:sz w:val="28"/>
          <w:szCs w:val="28"/>
        </w:rPr>
        <w:t>的重点、难点问题解析</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宋体"/>
          <w:color w:val="000000"/>
          <w:sz w:val="28"/>
          <w:szCs w:val="28"/>
        </w:rPr>
        <w:t>7. 三项制度改革的推进策略、实施路径及典型成功案例解析</w:t>
      </w:r>
    </w:p>
    <w:p>
      <w:pPr>
        <w:autoSpaceDE/>
        <w:autoSpaceDN/>
        <w:adjustRightInd/>
        <w:spacing w:line="360" w:lineRule="exact"/>
        <w:jc w:val="both"/>
        <w:rPr>
          <w:rFonts w:hint="default" w:ascii="仿宋" w:hAnsi="仿宋" w:eastAsia="仿宋" w:cs="仿宋"/>
          <w:b/>
          <w:kern w:val="2"/>
          <w:sz w:val="28"/>
          <w:szCs w:val="28"/>
        </w:rPr>
      </w:pPr>
      <w:r>
        <w:rPr>
          <w:rFonts w:ascii="仿宋" w:hAnsi="仿宋" w:eastAsia="仿宋" w:cs="仿宋"/>
          <w:b/>
          <w:kern w:val="2"/>
          <w:sz w:val="28"/>
          <w:szCs w:val="28"/>
        </w:rPr>
        <w:t>(五) 国企薪酬改革、员工持股与长期激励机制设计</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1.薪酬体系构成与设计原则</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2.国企薪酬诊断分析与案例</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3.薪酬设计“6+1”</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4.国企不同级别员工的薪酬构成</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5.股权顶层设计--股权治理机制</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6.与薪酬体系匹配的激励方式</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7.股权激励机制的现状与设计模式</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8.国企长期激励实施的要点</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9.股权激励机制主要操作障碍</w:t>
      </w:r>
    </w:p>
    <w:p>
      <w:pPr>
        <w:widowControl/>
        <w:autoSpaceDE/>
        <w:autoSpaceDN/>
        <w:adjustRightInd/>
        <w:spacing w:line="360" w:lineRule="exact"/>
        <w:rPr>
          <w:rFonts w:hint="default" w:ascii="仿宋" w:hAnsi="仿宋" w:eastAsia="仿宋" w:cs="宋体"/>
          <w:color w:val="000000"/>
          <w:sz w:val="28"/>
          <w:szCs w:val="28"/>
        </w:rPr>
      </w:pPr>
      <w:r>
        <w:rPr>
          <w:rFonts w:ascii="仿宋" w:hAnsi="仿宋" w:eastAsia="仿宋" w:cs="宋体"/>
          <w:b/>
          <w:bCs/>
          <w:color w:val="000000"/>
          <w:sz w:val="28"/>
          <w:szCs w:val="28"/>
        </w:rPr>
        <w:t>（六）国企混改中职工持股、股权和分红激励的操作要点及实战技术</w:t>
      </w:r>
      <w:r>
        <w:rPr>
          <w:rFonts w:ascii="仿宋" w:hAnsi="仿宋" w:eastAsia="仿宋" w:cs="宋体"/>
          <w:color w:val="000000"/>
          <w:sz w:val="28"/>
          <w:szCs w:val="28"/>
        </w:rPr>
        <w:t xml:space="preserve">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1．国企职工持股的经验教训总结</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 xml:space="preserve">2．不同类型国有企业推行骨干职工持股的操作模式及可借鉴的典型案例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 xml:space="preserve">3．职工持股的可选载体及其适用性、利弊分析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 xml:space="preserve">4．国企混改中预留股权的操作方法与技巧（注：预留股权常用于吸引和激励优秀人才）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xml:space="preserve">  </w:t>
      </w:r>
      <w:r>
        <w:rPr>
          <w:rFonts w:ascii="仿宋" w:hAnsi="仿宋" w:eastAsia="仿宋" w:cs="宋体"/>
          <w:color w:val="000000"/>
          <w:sz w:val="28"/>
          <w:szCs w:val="28"/>
        </w:rPr>
        <w:t xml:space="preserve"> 5．目前尚不符合职工持股试点意见所要求条件的国企，如何创新设计改革方式和操作路径，依法依规分步推进混改和职工持股工作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 xml:space="preserve">6．国有企业股权和分红激励的适用范围、操作模式及可借鉴的典型案例 </w:t>
      </w:r>
    </w:p>
    <w:p>
      <w:pPr>
        <w:widowControl/>
        <w:autoSpaceDE/>
        <w:autoSpaceDN/>
        <w:adjustRightInd/>
        <w:spacing w:line="360" w:lineRule="exact"/>
        <w:rPr>
          <w:rFonts w:hint="default" w:ascii="仿宋" w:hAnsi="仿宋" w:eastAsia="仿宋" w:cs="宋体"/>
          <w:color w:val="000000"/>
          <w:sz w:val="28"/>
          <w:szCs w:val="28"/>
        </w:rPr>
      </w:pPr>
      <w:r>
        <w:rPr>
          <w:rFonts w:cs="宋体"/>
          <w:color w:val="000000"/>
          <w:sz w:val="28"/>
          <w:szCs w:val="28"/>
        </w:rPr>
        <w:t>  </w:t>
      </w:r>
      <w:r>
        <w:rPr>
          <w:rFonts w:ascii="仿宋" w:hAnsi="仿宋" w:eastAsia="仿宋" w:cs="宋体"/>
          <w:color w:val="000000"/>
          <w:sz w:val="28"/>
          <w:szCs w:val="28"/>
        </w:rPr>
        <w:t xml:space="preserve">7．国企混改中职工持股方案、股权和分红激励方案的设计及实施疑难问题处理 </w:t>
      </w:r>
    </w:p>
    <w:p>
      <w:pPr>
        <w:autoSpaceDE/>
        <w:autoSpaceDN/>
        <w:adjustRightInd/>
        <w:spacing w:line="360" w:lineRule="exact"/>
        <w:jc w:val="both"/>
        <w:rPr>
          <w:rFonts w:hint="default" w:ascii="仿宋" w:hAnsi="仿宋" w:eastAsia="仿宋" w:cs="仿宋"/>
          <w:b/>
          <w:kern w:val="2"/>
          <w:sz w:val="28"/>
          <w:szCs w:val="28"/>
        </w:rPr>
      </w:pPr>
      <w:r>
        <w:rPr>
          <w:rFonts w:ascii="仿宋" w:hAnsi="仿宋" w:eastAsia="仿宋" w:cs="仿宋"/>
          <w:b/>
          <w:kern w:val="2"/>
          <w:sz w:val="28"/>
          <w:szCs w:val="28"/>
        </w:rPr>
        <w:t>(七) 市场化选聘经营管理者与职业经理人</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 《关于开展市场化选聘和管理国有企业经营管理者试点工作的意见》解读</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2</w:t>
      </w:r>
      <w:r>
        <w:rPr>
          <w:rFonts w:hint="default" w:ascii="仿宋" w:hAnsi="仿宋" w:eastAsia="仿宋" w:cs="仿宋"/>
          <w:bCs/>
          <w:kern w:val="2"/>
          <w:sz w:val="28"/>
          <w:szCs w:val="28"/>
        </w:rPr>
        <w:t>.</w:t>
      </w:r>
      <w:r>
        <w:rPr>
          <w:rFonts w:ascii="仿宋" w:hAnsi="仿宋" w:eastAsia="仿宋" w:cs="仿宋"/>
          <w:bCs/>
          <w:kern w:val="2"/>
          <w:sz w:val="28"/>
          <w:szCs w:val="28"/>
        </w:rPr>
        <w:t>中国特色现代企业治理机制</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3</w:t>
      </w:r>
      <w:r>
        <w:rPr>
          <w:rFonts w:hint="default" w:ascii="仿宋" w:hAnsi="仿宋" w:eastAsia="仿宋" w:cs="仿宋"/>
          <w:bCs/>
          <w:kern w:val="2"/>
          <w:sz w:val="28"/>
          <w:szCs w:val="28"/>
        </w:rPr>
        <w:t>.</w:t>
      </w:r>
      <w:r>
        <w:rPr>
          <w:rFonts w:ascii="仿宋" w:hAnsi="仿宋" w:eastAsia="仿宋" w:cs="仿宋"/>
          <w:bCs/>
          <w:kern w:val="2"/>
          <w:sz w:val="28"/>
          <w:szCs w:val="28"/>
        </w:rPr>
        <w:t>董事会职权落实</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4.市场化选聘经营管理者</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5.分类改革与分类治理</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6.“管资本”模式下国有出资人的职责履行</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7.市场化选聘模式分析</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 xml:space="preserve">8.契约制和聘用制                                          </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9.推行职业经理人制度的总体要求</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10.职业经理人制度建设相关政策分析</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11.职业经理人制度体系建设与实施的经验借鉴</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12.职业经理人制度与国企党建的重要工作</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13.案例分析:职业经理人选聘、薪酬机制模式</w:t>
      </w:r>
    </w:p>
    <w:p>
      <w:pPr>
        <w:pStyle w:val="5"/>
        <w:spacing w:before="0" w:beforeAutospacing="0" w:after="0" w:afterAutospacing="0" w:line="360" w:lineRule="exact"/>
        <w:ind w:firstLine="140" w:firstLineChars="50"/>
        <w:textAlignment w:val="baseline"/>
        <w:rPr>
          <w:rFonts w:ascii="仿宋" w:hAnsi="仿宋" w:eastAsia="仿宋" w:cstheme="minorBidi"/>
          <w:b/>
          <w:bCs/>
          <w:kern w:val="24"/>
          <w:sz w:val="28"/>
          <w:szCs w:val="28"/>
        </w:rPr>
      </w:pPr>
      <w:r>
        <w:rPr>
          <w:rFonts w:hint="eastAsia" w:ascii="仿宋" w:hAnsi="仿宋" w:eastAsia="仿宋" w:cstheme="minorBidi"/>
          <w:b/>
          <w:bCs/>
          <w:kern w:val="24"/>
          <w:sz w:val="28"/>
          <w:szCs w:val="28"/>
        </w:rPr>
        <w:t>（八）债转股的背景与相关政策解读</w:t>
      </w:r>
    </w:p>
    <w:p>
      <w:pPr>
        <w:pStyle w:val="5"/>
        <w:spacing w:before="0" w:beforeAutospacing="0" w:after="0" w:afterAutospacing="0" w:line="360" w:lineRule="exact"/>
        <w:ind w:firstLine="560" w:firstLineChars="200"/>
        <w:textAlignment w:val="baseline"/>
        <w:rPr>
          <w:rFonts w:ascii="仿宋" w:hAnsi="仿宋" w:eastAsia="仿宋" w:cs="华文中宋"/>
          <w:bCs/>
          <w:kern w:val="24"/>
          <w:sz w:val="28"/>
          <w:szCs w:val="28"/>
        </w:rPr>
      </w:pPr>
      <w:r>
        <w:rPr>
          <w:rFonts w:hint="eastAsia" w:ascii="仿宋" w:hAnsi="仿宋" w:eastAsia="仿宋"/>
          <w:sz w:val="28"/>
          <w:szCs w:val="28"/>
        </w:rPr>
        <w:t>1．</w:t>
      </w:r>
      <w:r>
        <w:rPr>
          <w:rFonts w:hint="eastAsia" w:ascii="仿宋" w:hAnsi="仿宋" w:eastAsia="仿宋" w:cs="华文中宋"/>
          <w:bCs/>
          <w:kern w:val="24"/>
          <w:sz w:val="28"/>
          <w:szCs w:val="28"/>
        </w:rPr>
        <w:t>债转股定义及背景</w:t>
      </w:r>
    </w:p>
    <w:p>
      <w:pPr>
        <w:pStyle w:val="5"/>
        <w:spacing w:before="0" w:beforeAutospacing="0" w:after="0" w:afterAutospacing="0" w:line="360" w:lineRule="exact"/>
        <w:ind w:firstLine="560" w:firstLineChars="200"/>
        <w:textAlignment w:val="baseline"/>
        <w:rPr>
          <w:rFonts w:ascii="仿宋" w:hAnsi="仿宋" w:eastAsia="仿宋" w:cs="华文中宋"/>
          <w:bCs/>
          <w:kern w:val="24"/>
          <w:sz w:val="28"/>
          <w:szCs w:val="28"/>
        </w:rPr>
      </w:pPr>
      <w:r>
        <w:rPr>
          <w:rFonts w:hint="eastAsia" w:ascii="仿宋" w:hAnsi="仿宋" w:eastAsia="仿宋" w:cs="华文中宋"/>
          <w:bCs/>
          <w:kern w:val="24"/>
          <w:sz w:val="28"/>
          <w:szCs w:val="28"/>
        </w:rPr>
        <w:t>2．两轮债转股的差异对比</w:t>
      </w:r>
    </w:p>
    <w:p>
      <w:pPr>
        <w:pStyle w:val="5"/>
        <w:spacing w:before="0" w:beforeAutospacing="0" w:after="0" w:afterAutospacing="0" w:line="360" w:lineRule="exact"/>
        <w:ind w:firstLine="560" w:firstLineChars="200"/>
        <w:textAlignment w:val="baseline"/>
        <w:rPr>
          <w:rFonts w:ascii="仿宋" w:hAnsi="仿宋" w:eastAsia="仿宋" w:cstheme="minorBidi"/>
          <w:bCs/>
          <w:kern w:val="24"/>
          <w:sz w:val="28"/>
          <w:szCs w:val="28"/>
        </w:rPr>
      </w:pPr>
      <w:r>
        <w:rPr>
          <w:rFonts w:hint="eastAsia" w:ascii="仿宋" w:hAnsi="仿宋" w:eastAsia="仿宋" w:cs="华文中宋"/>
          <w:bCs/>
          <w:kern w:val="24"/>
          <w:sz w:val="28"/>
          <w:szCs w:val="28"/>
        </w:rPr>
        <w:t>3．</w:t>
      </w:r>
      <w:r>
        <w:rPr>
          <w:rFonts w:hint="eastAsia" w:ascii="仿宋" w:hAnsi="仿宋" w:eastAsia="仿宋" w:cstheme="minorBidi"/>
          <w:bCs/>
          <w:kern w:val="24"/>
          <w:sz w:val="28"/>
          <w:szCs w:val="28"/>
        </w:rPr>
        <w:t>市场化债转股的实施情况</w:t>
      </w:r>
    </w:p>
    <w:p>
      <w:pPr>
        <w:pStyle w:val="5"/>
        <w:spacing w:before="0" w:beforeAutospacing="0" w:after="0" w:afterAutospacing="0" w:line="360" w:lineRule="exact"/>
        <w:ind w:firstLine="560" w:firstLineChars="200"/>
        <w:textAlignment w:val="baseline"/>
        <w:rPr>
          <w:rFonts w:ascii="仿宋" w:hAnsi="仿宋" w:eastAsia="仿宋" w:cs="Arial"/>
          <w:sz w:val="28"/>
          <w:szCs w:val="28"/>
        </w:rPr>
      </w:pPr>
      <w:r>
        <w:rPr>
          <w:rFonts w:hint="eastAsia" w:ascii="仿宋" w:hAnsi="仿宋" w:eastAsia="仿宋" w:cstheme="minorBidi"/>
          <w:bCs/>
          <w:kern w:val="24"/>
          <w:sz w:val="28"/>
          <w:szCs w:val="28"/>
        </w:rPr>
        <w:t>4．</w:t>
      </w:r>
      <w:r>
        <w:rPr>
          <w:rFonts w:ascii="仿宋" w:hAnsi="仿宋" w:eastAsia="仿宋" w:cs="Arial"/>
          <w:sz w:val="28"/>
          <w:szCs w:val="28"/>
        </w:rPr>
        <w:t>国务院《关于积极稳妥降低企业杠杆率的意见》（国发［2016］54号）及其配套文件《关于市场化银行债权转股权的指导意见》</w:t>
      </w:r>
      <w:r>
        <w:rPr>
          <w:rFonts w:hint="eastAsia" w:ascii="仿宋" w:hAnsi="仿宋" w:eastAsia="仿宋" w:cs="Arial"/>
          <w:sz w:val="28"/>
          <w:szCs w:val="28"/>
        </w:rPr>
        <w:t>、《</w:t>
      </w:r>
      <w:r>
        <w:rPr>
          <w:rFonts w:hint="eastAsia" w:ascii="仿宋" w:hAnsi="仿宋" w:eastAsia="仿宋"/>
          <w:bCs/>
          <w:sz w:val="28"/>
          <w:szCs w:val="28"/>
        </w:rPr>
        <w:t>关于市场化银行债权转股权实施中有关具体政策问题的通知</w:t>
      </w:r>
      <w:r>
        <w:rPr>
          <w:rFonts w:hint="eastAsia" w:ascii="仿宋" w:hAnsi="仿宋" w:eastAsia="仿宋" w:cs="Arial"/>
          <w:sz w:val="28"/>
          <w:szCs w:val="28"/>
        </w:rPr>
        <w:t>》解读</w:t>
      </w:r>
    </w:p>
    <w:p>
      <w:pPr>
        <w:autoSpaceDE/>
        <w:autoSpaceDN/>
        <w:adjustRightInd/>
        <w:spacing w:line="360" w:lineRule="exact"/>
        <w:ind w:firstLine="560" w:firstLineChars="200"/>
        <w:jc w:val="both"/>
        <w:rPr>
          <w:rFonts w:hint="default" w:ascii="仿宋" w:hAnsi="仿宋" w:eastAsia="仿宋" w:cstheme="minorBidi"/>
          <w:bCs/>
          <w:color w:val="000000" w:themeColor="text1"/>
          <w:kern w:val="24"/>
          <w:sz w:val="28"/>
          <w:szCs w:val="28"/>
          <w14:textFill>
            <w14:solidFill>
              <w14:schemeClr w14:val="tx1"/>
            </w14:solidFill>
          </w14:textFill>
        </w:rPr>
      </w:pPr>
      <w:r>
        <w:rPr>
          <w:rFonts w:ascii="仿宋" w:hAnsi="仿宋" w:eastAsia="仿宋" w:cs="Arial"/>
          <w:sz w:val="28"/>
          <w:szCs w:val="28"/>
        </w:rPr>
        <w:t>5．2018年，七部委《关于市场化银行债权转股权实施中有关具体政策问题的通知》及</w:t>
      </w:r>
      <w:r>
        <w:rPr>
          <w:rFonts w:ascii="仿宋" w:hAnsi="仿宋" w:eastAsia="仿宋" w:cstheme="minorBidi"/>
          <w:bCs/>
          <w:color w:val="000000" w:themeColor="text1"/>
          <w:kern w:val="24"/>
          <w:sz w:val="28"/>
          <w:szCs w:val="28"/>
          <w14:textFill>
            <w14:solidFill>
              <w14:schemeClr w14:val="tx1"/>
            </w14:solidFill>
          </w14:textFill>
        </w:rPr>
        <w:t>五部委《关于鼓励相关机构参与市场化债转股的通知》等相关政策解读</w:t>
      </w:r>
    </w:p>
    <w:p>
      <w:pPr>
        <w:widowControl/>
        <w:autoSpaceDE/>
        <w:autoSpaceDN/>
        <w:adjustRightInd/>
        <w:spacing w:line="360" w:lineRule="exact"/>
        <w:ind w:firstLine="140" w:firstLineChars="50"/>
        <w:textAlignment w:val="baseline"/>
        <w:rPr>
          <w:rFonts w:hint="default" w:ascii="仿宋" w:hAnsi="仿宋" w:eastAsia="仿宋" w:cs="宋体"/>
          <w:b/>
          <w:sz w:val="28"/>
          <w:szCs w:val="28"/>
        </w:rPr>
      </w:pPr>
      <w:r>
        <w:rPr>
          <w:rFonts w:ascii="仿宋" w:hAnsi="仿宋" w:eastAsia="仿宋" w:cs="宋体"/>
          <w:b/>
          <w:sz w:val="28"/>
          <w:szCs w:val="28"/>
        </w:rPr>
        <w:t>（九）</w:t>
      </w:r>
      <w:r>
        <w:rPr>
          <w:rFonts w:ascii="仿宋" w:hAnsi="仿宋" w:eastAsia="仿宋" w:cstheme="minorBidi"/>
          <w:b/>
          <w:bCs/>
          <w:kern w:val="24"/>
          <w:sz w:val="28"/>
          <w:szCs w:val="28"/>
        </w:rPr>
        <w:t>债转股对象、条件及实施难点和破题路径</w:t>
      </w:r>
    </w:p>
    <w:p>
      <w:pPr>
        <w:widowControl/>
        <w:autoSpaceDE/>
        <w:autoSpaceDN/>
        <w:adjustRightInd/>
        <w:spacing w:line="360" w:lineRule="exact"/>
        <w:ind w:firstLine="560" w:firstLineChars="200"/>
        <w:textAlignment w:val="baseline"/>
        <w:rPr>
          <w:rFonts w:hint="default" w:ascii="仿宋" w:hAnsi="仿宋" w:eastAsia="仿宋" w:cstheme="minorBidi"/>
          <w:bCs/>
          <w:kern w:val="24"/>
          <w:sz w:val="28"/>
          <w:szCs w:val="28"/>
        </w:rPr>
      </w:pPr>
      <w:r>
        <w:rPr>
          <w:rFonts w:ascii="仿宋" w:hAnsi="仿宋" w:eastAsia="仿宋" w:cs="宋体"/>
          <w:sz w:val="28"/>
          <w:szCs w:val="28"/>
        </w:rPr>
        <w:t>1．</w:t>
      </w:r>
      <w:r>
        <w:rPr>
          <w:rFonts w:ascii="仿宋" w:hAnsi="仿宋" w:eastAsia="仿宋" w:cstheme="minorBidi"/>
          <w:bCs/>
          <w:kern w:val="24"/>
          <w:sz w:val="28"/>
          <w:szCs w:val="28"/>
        </w:rPr>
        <w:t>企业选择标准</w:t>
      </w:r>
    </w:p>
    <w:p>
      <w:pPr>
        <w:widowControl/>
        <w:autoSpaceDE/>
        <w:autoSpaceDN/>
        <w:adjustRightInd/>
        <w:spacing w:line="360" w:lineRule="exact"/>
        <w:ind w:firstLine="560" w:firstLineChars="200"/>
        <w:textAlignment w:val="baseline"/>
        <w:rPr>
          <w:rFonts w:hint="default" w:ascii="仿宋" w:hAnsi="仿宋" w:eastAsia="仿宋" w:cs="宋体"/>
          <w:sz w:val="28"/>
          <w:szCs w:val="28"/>
        </w:rPr>
      </w:pPr>
      <w:r>
        <w:rPr>
          <w:rFonts w:ascii="仿宋" w:hAnsi="仿宋" w:eastAsia="仿宋" w:cstheme="minorBidi"/>
          <w:bCs/>
          <w:kern w:val="24"/>
          <w:sz w:val="28"/>
          <w:szCs w:val="28"/>
        </w:rPr>
        <w:t>2．债权选择标准</w:t>
      </w:r>
    </w:p>
    <w:p>
      <w:pPr>
        <w:pStyle w:val="5"/>
        <w:spacing w:before="0" w:beforeAutospacing="0" w:after="0" w:afterAutospacing="0" w:line="360" w:lineRule="exact"/>
        <w:ind w:firstLine="560" w:firstLineChars="200"/>
        <w:textAlignment w:val="baseline"/>
        <w:rPr>
          <w:rFonts w:ascii="仿宋" w:hAnsi="仿宋" w:eastAsia="仿宋" w:cstheme="minorBidi"/>
          <w:bCs/>
          <w:kern w:val="24"/>
          <w:sz w:val="28"/>
          <w:szCs w:val="28"/>
        </w:rPr>
      </w:pPr>
      <w:r>
        <w:rPr>
          <w:rFonts w:hint="eastAsia" w:ascii="仿宋" w:hAnsi="仿宋" w:eastAsia="仿宋" w:cstheme="minorBidi"/>
          <w:bCs/>
          <w:kern w:val="24"/>
          <w:sz w:val="28"/>
          <w:szCs w:val="28"/>
        </w:rPr>
        <w:t>3．资金寻找问题</w:t>
      </w:r>
    </w:p>
    <w:p>
      <w:pPr>
        <w:autoSpaceDE/>
        <w:autoSpaceDN/>
        <w:adjustRightInd/>
        <w:spacing w:line="360" w:lineRule="exact"/>
        <w:ind w:firstLine="560" w:firstLineChars="200"/>
        <w:jc w:val="both"/>
        <w:rPr>
          <w:rFonts w:hint="default" w:ascii="仿宋" w:hAnsi="仿宋" w:eastAsia="仿宋" w:cstheme="minorBidi"/>
          <w:bCs/>
          <w:color w:val="000000" w:themeColor="text1"/>
          <w:kern w:val="24"/>
          <w:sz w:val="28"/>
          <w:szCs w:val="28"/>
          <w14:textFill>
            <w14:solidFill>
              <w14:schemeClr w14:val="tx1"/>
            </w14:solidFill>
          </w14:textFill>
        </w:rPr>
      </w:pPr>
      <w:r>
        <w:rPr>
          <w:rFonts w:ascii="仿宋" w:hAnsi="仿宋" w:eastAsia="仿宋" w:cstheme="minorBidi"/>
          <w:bCs/>
          <w:color w:val="000000" w:themeColor="text1"/>
          <w:kern w:val="24"/>
          <w:sz w:val="28"/>
          <w:szCs w:val="28"/>
          <w14:textFill>
            <w14:solidFill>
              <w14:schemeClr w14:val="tx1"/>
            </w14:solidFill>
          </w14:textFill>
        </w:rPr>
        <w:t>4．</w:t>
      </w:r>
      <w:r>
        <w:rPr>
          <w:rFonts w:hint="default" w:ascii="仿宋" w:hAnsi="仿宋" w:eastAsia="仿宋" w:cstheme="minorBidi"/>
          <w:bCs/>
          <w:color w:val="000000" w:themeColor="text1"/>
          <w:kern w:val="24"/>
          <w:sz w:val="28"/>
          <w:szCs w:val="28"/>
          <w14:textFill>
            <w14:solidFill>
              <w14:schemeClr w14:val="tx1"/>
            </w14:solidFill>
          </w14:textFill>
        </w:rPr>
        <w:t>债转股如何实施</w:t>
      </w:r>
    </w:p>
    <w:p>
      <w:pPr>
        <w:autoSpaceDE/>
        <w:autoSpaceDN/>
        <w:adjustRightInd/>
        <w:spacing w:line="360" w:lineRule="exact"/>
        <w:ind w:firstLine="560" w:firstLineChars="200"/>
        <w:jc w:val="both"/>
        <w:rPr>
          <w:rFonts w:hint="default" w:ascii="仿宋" w:hAnsi="仿宋" w:eastAsia="仿宋" w:cstheme="minorBidi"/>
          <w:bCs/>
          <w:color w:val="000000" w:themeColor="text1"/>
          <w:kern w:val="24"/>
          <w:sz w:val="28"/>
          <w:szCs w:val="28"/>
          <w14:textFill>
            <w14:solidFill>
              <w14:schemeClr w14:val="tx1"/>
            </w14:solidFill>
          </w14:textFill>
        </w:rPr>
      </w:pPr>
      <w:r>
        <w:rPr>
          <w:rFonts w:ascii="仿宋" w:hAnsi="仿宋" w:eastAsia="仿宋" w:cstheme="minorBidi"/>
          <w:bCs/>
          <w:color w:val="000000" w:themeColor="text1"/>
          <w:kern w:val="24"/>
          <w:sz w:val="28"/>
          <w:szCs w:val="28"/>
          <w14:textFill>
            <w14:solidFill>
              <w14:schemeClr w14:val="tx1"/>
            </w14:solidFill>
          </w14:textFill>
        </w:rPr>
        <w:t>5．</w:t>
      </w:r>
      <w:r>
        <w:rPr>
          <w:rFonts w:hint="default" w:ascii="仿宋" w:hAnsi="仿宋" w:eastAsia="仿宋" w:cstheme="minorBidi"/>
          <w:bCs/>
          <w:color w:val="000000" w:themeColor="text1"/>
          <w:kern w:val="24"/>
          <w:sz w:val="28"/>
          <w:szCs w:val="28"/>
          <w14:textFill>
            <w14:solidFill>
              <w14:schemeClr w14:val="tx1"/>
            </w14:solidFill>
          </w14:textFill>
        </w:rPr>
        <w:t xml:space="preserve">利益相关方的谈判 </w:t>
      </w:r>
    </w:p>
    <w:p>
      <w:pPr>
        <w:autoSpaceDE/>
        <w:autoSpaceDN/>
        <w:adjustRightInd/>
        <w:spacing w:line="360" w:lineRule="exact"/>
        <w:ind w:firstLine="560" w:firstLineChars="200"/>
        <w:jc w:val="both"/>
        <w:rPr>
          <w:rFonts w:hint="default" w:ascii="仿宋" w:hAnsi="仿宋" w:eastAsia="仿宋" w:cstheme="minorBidi"/>
          <w:bCs/>
          <w:color w:val="000000" w:themeColor="text1"/>
          <w:kern w:val="24"/>
          <w:sz w:val="28"/>
          <w:szCs w:val="28"/>
          <w14:textFill>
            <w14:solidFill>
              <w14:schemeClr w14:val="tx1"/>
            </w14:solidFill>
          </w14:textFill>
        </w:rPr>
      </w:pPr>
      <w:r>
        <w:rPr>
          <w:rFonts w:ascii="仿宋" w:hAnsi="仿宋" w:eastAsia="仿宋" w:cstheme="minorBidi"/>
          <w:bCs/>
          <w:color w:val="000000" w:themeColor="text1"/>
          <w:kern w:val="24"/>
          <w:sz w:val="28"/>
          <w:szCs w:val="28"/>
          <w14:textFill>
            <w14:solidFill>
              <w14:schemeClr w14:val="tx1"/>
            </w14:solidFill>
          </w14:textFill>
        </w:rPr>
        <w:t>6．</w:t>
      </w:r>
      <w:r>
        <w:rPr>
          <w:rFonts w:hint="default" w:ascii="仿宋" w:hAnsi="仿宋" w:eastAsia="仿宋" w:cstheme="minorBidi"/>
          <w:bCs/>
          <w:color w:val="000000" w:themeColor="text1"/>
          <w:kern w:val="24"/>
          <w:sz w:val="28"/>
          <w:szCs w:val="28"/>
          <w14:textFill>
            <w14:solidFill>
              <w14:schemeClr w14:val="tx1"/>
            </w14:solidFill>
          </w14:textFill>
        </w:rPr>
        <w:t>债转股后如何管理和退出</w:t>
      </w:r>
    </w:p>
    <w:p>
      <w:pPr>
        <w:autoSpaceDE/>
        <w:autoSpaceDN/>
        <w:adjustRightInd/>
        <w:spacing w:line="360" w:lineRule="exact"/>
        <w:ind w:firstLine="560" w:firstLineChars="200"/>
        <w:jc w:val="both"/>
        <w:rPr>
          <w:rFonts w:hint="default" w:ascii="仿宋" w:hAnsi="仿宋" w:eastAsia="仿宋" w:cstheme="minorBidi"/>
          <w:bCs/>
          <w:color w:val="000000" w:themeColor="text1"/>
          <w:kern w:val="24"/>
          <w:sz w:val="28"/>
          <w:szCs w:val="28"/>
          <w14:textFill>
            <w14:solidFill>
              <w14:schemeClr w14:val="tx1"/>
            </w14:solidFill>
          </w14:textFill>
        </w:rPr>
      </w:pPr>
      <w:r>
        <w:rPr>
          <w:rFonts w:ascii="仿宋" w:hAnsi="仿宋" w:eastAsia="仿宋" w:cstheme="minorBidi"/>
          <w:bCs/>
          <w:color w:val="000000" w:themeColor="text1"/>
          <w:kern w:val="24"/>
          <w:sz w:val="28"/>
          <w:szCs w:val="28"/>
          <w14:textFill>
            <w14:solidFill>
              <w14:schemeClr w14:val="tx1"/>
            </w14:solidFill>
          </w14:textFill>
        </w:rPr>
        <w:t>7．</w:t>
      </w:r>
      <w:r>
        <w:rPr>
          <w:rFonts w:hint="default" w:ascii="仿宋" w:hAnsi="仿宋" w:eastAsia="仿宋" w:cstheme="minorBidi"/>
          <w:bCs/>
          <w:color w:val="000000" w:themeColor="text1"/>
          <w:kern w:val="24"/>
          <w:sz w:val="28"/>
          <w:szCs w:val="28"/>
          <w14:textFill>
            <w14:solidFill>
              <w14:schemeClr w14:val="tx1"/>
            </w14:solidFill>
          </w14:textFill>
        </w:rPr>
        <w:t>后续资金的支持</w:t>
      </w:r>
    </w:p>
    <w:p>
      <w:pPr>
        <w:pStyle w:val="5"/>
        <w:spacing w:before="0" w:beforeAutospacing="0" w:after="0" w:afterAutospacing="0" w:line="360" w:lineRule="exact"/>
        <w:ind w:firstLine="560" w:firstLineChars="200"/>
        <w:textAlignment w:val="baseline"/>
        <w:rPr>
          <w:rFonts w:ascii="仿宋" w:hAnsi="仿宋" w:eastAsia="仿宋"/>
          <w:sz w:val="28"/>
          <w:szCs w:val="28"/>
        </w:rPr>
      </w:pPr>
      <w:r>
        <w:rPr>
          <w:rFonts w:hint="eastAsia" w:ascii="仿宋" w:hAnsi="仿宋" w:eastAsia="仿宋" w:cstheme="minorBidi"/>
          <w:bCs/>
          <w:kern w:val="24"/>
          <w:sz w:val="28"/>
          <w:szCs w:val="28"/>
        </w:rPr>
        <w:t>8．</w:t>
      </w:r>
      <w:r>
        <w:rPr>
          <w:rFonts w:hint="eastAsia" w:ascii="仿宋" w:hAnsi="仿宋" w:eastAsia="仿宋"/>
          <w:spacing w:val="8"/>
          <w:sz w:val="28"/>
          <w:szCs w:val="28"/>
        </w:rPr>
        <w:t>债转股业务的收益及风险分析</w:t>
      </w:r>
    </w:p>
    <w:p>
      <w:pPr>
        <w:pStyle w:val="5"/>
        <w:spacing w:before="0" w:beforeAutospacing="0" w:after="0" w:afterAutospacing="0" w:line="360" w:lineRule="exact"/>
        <w:ind w:firstLine="560" w:firstLineChars="200"/>
        <w:textAlignment w:val="baseline"/>
        <w:rPr>
          <w:rFonts w:ascii="仿宋" w:hAnsi="仿宋" w:eastAsia="仿宋" w:cstheme="minorBidi"/>
          <w:bCs/>
          <w:kern w:val="24"/>
          <w:sz w:val="28"/>
          <w:szCs w:val="28"/>
        </w:rPr>
      </w:pPr>
      <w:r>
        <w:rPr>
          <w:rFonts w:hint="eastAsia" w:ascii="仿宋" w:hAnsi="仿宋" w:eastAsia="仿宋" w:cstheme="minorBidi"/>
          <w:bCs/>
          <w:kern w:val="24"/>
          <w:sz w:val="28"/>
          <w:szCs w:val="28"/>
        </w:rPr>
        <w:t>9．银行主导的债转股及案例分析</w:t>
      </w:r>
    </w:p>
    <w:p>
      <w:pPr>
        <w:pStyle w:val="5"/>
        <w:spacing w:before="0" w:beforeAutospacing="0" w:after="0" w:afterAutospacing="0" w:line="360" w:lineRule="exact"/>
        <w:ind w:firstLine="560" w:firstLineChars="200"/>
        <w:textAlignment w:val="baseline"/>
        <w:rPr>
          <w:rFonts w:ascii="仿宋" w:hAnsi="仿宋" w:eastAsia="仿宋"/>
          <w:sz w:val="28"/>
          <w:szCs w:val="28"/>
        </w:rPr>
      </w:pPr>
      <w:r>
        <w:rPr>
          <w:rFonts w:hint="eastAsia" w:ascii="仿宋" w:hAnsi="仿宋" w:eastAsia="仿宋"/>
          <w:sz w:val="28"/>
          <w:szCs w:val="28"/>
        </w:rPr>
        <w:t>10．</w:t>
      </w:r>
      <w:r>
        <w:rPr>
          <w:rFonts w:hint="eastAsia" w:ascii="仿宋" w:hAnsi="仿宋" w:eastAsia="仿宋" w:cstheme="minorBidi"/>
          <w:bCs/>
          <w:kern w:val="24"/>
          <w:sz w:val="28"/>
          <w:szCs w:val="28"/>
        </w:rPr>
        <w:t>非银金融机构主导的债转股案例分析</w:t>
      </w:r>
    </w:p>
    <w:p>
      <w:pPr>
        <w:autoSpaceDE/>
        <w:autoSpaceDN/>
        <w:adjustRightInd/>
        <w:spacing w:line="360" w:lineRule="exact"/>
        <w:jc w:val="both"/>
        <w:rPr>
          <w:rFonts w:hint="default" w:ascii="仿宋" w:hAnsi="仿宋" w:eastAsia="仿宋" w:cs="仿宋"/>
          <w:b/>
          <w:kern w:val="2"/>
          <w:sz w:val="28"/>
          <w:szCs w:val="28"/>
        </w:rPr>
      </w:pPr>
      <w:r>
        <w:rPr>
          <w:rFonts w:ascii="仿宋" w:hAnsi="仿宋" w:eastAsia="仿宋" w:cs="仿宋"/>
          <w:b/>
          <w:kern w:val="2"/>
          <w:sz w:val="28"/>
          <w:szCs w:val="28"/>
        </w:rPr>
        <w:t>二、参加人员</w:t>
      </w:r>
    </w:p>
    <w:p>
      <w:pPr>
        <w:autoSpaceDE/>
        <w:autoSpaceDN/>
        <w:adjustRightInd/>
        <w:spacing w:line="360" w:lineRule="exact"/>
        <w:ind w:left="480" w:leftChars="200"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中央及地方相关政府机构，国有企业高管、分管人力资源副总、人力资源总监、以及人力资源部(人事部)、综合部、劳资部、绩效/薪酬管理人员、劳动关系主管等人力资源管理相关人员，相关金融机构等。</w:t>
      </w:r>
    </w:p>
    <w:p>
      <w:pPr>
        <w:autoSpaceDE/>
        <w:autoSpaceDN/>
        <w:adjustRightInd/>
        <w:spacing w:line="360" w:lineRule="exact"/>
        <w:jc w:val="both"/>
        <w:rPr>
          <w:rFonts w:hint="default" w:ascii="仿宋" w:hAnsi="仿宋" w:eastAsia="仿宋" w:cs="仿宋"/>
          <w:bCs/>
          <w:kern w:val="2"/>
          <w:sz w:val="28"/>
          <w:szCs w:val="28"/>
        </w:rPr>
      </w:pPr>
      <w:r>
        <w:rPr>
          <w:rFonts w:ascii="仿宋" w:hAnsi="仿宋" w:eastAsia="仿宋" w:cs="仿宋"/>
          <w:b/>
          <w:kern w:val="2"/>
          <w:sz w:val="28"/>
          <w:szCs w:val="28"/>
        </w:rPr>
        <w:t xml:space="preserve">三、主讲专家  </w:t>
      </w:r>
      <w:r>
        <w:rPr>
          <w:rFonts w:ascii="仿宋" w:hAnsi="仿宋" w:eastAsia="仿宋" w:cs="仿宋"/>
          <w:bCs/>
          <w:kern w:val="2"/>
          <w:sz w:val="28"/>
          <w:szCs w:val="28"/>
        </w:rPr>
        <w:t xml:space="preserve">              </w:t>
      </w:r>
    </w:p>
    <w:p>
      <w:pPr>
        <w:autoSpaceDE/>
        <w:autoSpaceDN/>
        <w:adjustRightInd/>
        <w:spacing w:line="360" w:lineRule="exact"/>
        <w:ind w:left="480" w:leftChars="200"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拟邀请国务院国资委主管部门所属单位、 中国人事科学研究院、中国财政科学研究院等单位的领导专家授课, 并组织交流与研讨。</w:t>
      </w:r>
    </w:p>
    <w:p>
      <w:pPr>
        <w:numPr>
          <w:ilvl w:val="0"/>
          <w:numId w:val="1"/>
        </w:numPr>
        <w:autoSpaceDE/>
        <w:autoSpaceDN/>
        <w:adjustRightInd/>
        <w:spacing w:line="360" w:lineRule="exact"/>
        <w:jc w:val="both"/>
        <w:rPr>
          <w:rFonts w:hint="default" w:ascii="仿宋" w:hAnsi="仿宋" w:eastAsia="仿宋" w:cs="仿宋"/>
          <w:b/>
          <w:kern w:val="2"/>
          <w:sz w:val="28"/>
          <w:szCs w:val="28"/>
        </w:rPr>
      </w:pPr>
      <w:r>
        <w:rPr>
          <w:rFonts w:ascii="仿宋" w:hAnsi="仿宋" w:eastAsia="仿宋" w:cs="仿宋"/>
          <w:b/>
          <w:kern w:val="2"/>
          <w:sz w:val="28"/>
          <w:szCs w:val="28"/>
        </w:rPr>
        <w:t>培训时间及地点</w:t>
      </w:r>
    </w:p>
    <w:p>
      <w:pPr>
        <w:widowControl/>
        <w:spacing w:line="360" w:lineRule="exact"/>
        <w:ind w:firstLine="560" w:firstLineChars="200"/>
        <w:rPr>
          <w:rFonts w:hint="default" w:ascii="仿宋" w:hAnsi="仿宋" w:eastAsia="仿宋" w:cs="仿宋"/>
          <w:bCs/>
          <w:kern w:val="2"/>
          <w:sz w:val="28"/>
          <w:szCs w:val="28"/>
        </w:rPr>
      </w:pPr>
      <w:r>
        <w:rPr>
          <w:rFonts w:hint="default" w:ascii="仿宋" w:hAnsi="仿宋" w:eastAsia="仿宋" w:cs="仿宋"/>
          <w:bCs/>
          <w:kern w:val="2"/>
          <w:sz w:val="28"/>
          <w:szCs w:val="28"/>
        </w:rPr>
        <w:t>2019年6月14日—6月1</w:t>
      </w:r>
      <w:r>
        <w:rPr>
          <w:rFonts w:ascii="仿宋" w:hAnsi="仿宋" w:eastAsia="仿宋" w:cs="仿宋"/>
          <w:bCs/>
          <w:kern w:val="2"/>
          <w:sz w:val="28"/>
          <w:szCs w:val="28"/>
        </w:rPr>
        <w:t>7</w:t>
      </w:r>
      <w:r>
        <w:rPr>
          <w:rFonts w:hint="default" w:ascii="仿宋" w:hAnsi="仿宋" w:eastAsia="仿宋" w:cs="仿宋"/>
          <w:bCs/>
          <w:kern w:val="2"/>
          <w:sz w:val="28"/>
          <w:szCs w:val="28"/>
        </w:rPr>
        <w:t>日（14日全天报到）青岛市</w:t>
      </w:r>
    </w:p>
    <w:p>
      <w:pPr>
        <w:widowControl/>
        <w:spacing w:line="360" w:lineRule="exact"/>
        <w:ind w:firstLine="560" w:firstLineChars="200"/>
        <w:rPr>
          <w:rFonts w:hint="default" w:ascii="仿宋" w:hAnsi="仿宋" w:eastAsia="仿宋" w:cs="仿宋"/>
          <w:bCs/>
          <w:kern w:val="2"/>
          <w:sz w:val="28"/>
          <w:szCs w:val="28"/>
        </w:rPr>
      </w:pPr>
      <w:r>
        <w:rPr>
          <w:rFonts w:hint="default" w:ascii="仿宋" w:hAnsi="仿宋" w:eastAsia="仿宋" w:cs="仿宋"/>
          <w:bCs/>
          <w:kern w:val="2"/>
          <w:sz w:val="28"/>
          <w:szCs w:val="28"/>
        </w:rPr>
        <w:t>2019年6月20日—6月2</w:t>
      </w:r>
      <w:r>
        <w:rPr>
          <w:rFonts w:ascii="仿宋" w:hAnsi="仿宋" w:eastAsia="仿宋" w:cs="仿宋"/>
          <w:bCs/>
          <w:kern w:val="2"/>
          <w:sz w:val="28"/>
          <w:szCs w:val="28"/>
        </w:rPr>
        <w:t>3</w:t>
      </w:r>
      <w:r>
        <w:rPr>
          <w:rFonts w:hint="default" w:ascii="仿宋" w:hAnsi="仿宋" w:eastAsia="仿宋" w:cs="仿宋"/>
          <w:bCs/>
          <w:kern w:val="2"/>
          <w:sz w:val="28"/>
          <w:szCs w:val="28"/>
        </w:rPr>
        <w:t>日（20日全天报到）呼和浩特市</w:t>
      </w:r>
    </w:p>
    <w:p>
      <w:pPr>
        <w:widowControl/>
        <w:spacing w:line="360" w:lineRule="exact"/>
        <w:ind w:firstLine="560" w:firstLineChars="200"/>
        <w:rPr>
          <w:rFonts w:hint="default" w:ascii="仿宋" w:hAnsi="仿宋" w:eastAsia="仿宋" w:cs="仿宋"/>
          <w:bCs/>
          <w:kern w:val="2"/>
          <w:sz w:val="28"/>
          <w:szCs w:val="28"/>
        </w:rPr>
      </w:pPr>
      <w:r>
        <w:rPr>
          <w:rFonts w:hint="default" w:ascii="仿宋" w:hAnsi="仿宋" w:eastAsia="仿宋" w:cs="仿宋"/>
          <w:bCs/>
          <w:kern w:val="2"/>
          <w:sz w:val="28"/>
          <w:szCs w:val="28"/>
        </w:rPr>
        <w:t>2019年7月12日—7月1</w:t>
      </w:r>
      <w:r>
        <w:rPr>
          <w:rFonts w:ascii="仿宋" w:hAnsi="仿宋" w:eastAsia="仿宋" w:cs="仿宋"/>
          <w:bCs/>
          <w:kern w:val="2"/>
          <w:sz w:val="28"/>
          <w:szCs w:val="28"/>
        </w:rPr>
        <w:t>5</w:t>
      </w:r>
      <w:r>
        <w:rPr>
          <w:rFonts w:hint="default" w:ascii="仿宋" w:hAnsi="仿宋" w:eastAsia="仿宋" w:cs="仿宋"/>
          <w:bCs/>
          <w:kern w:val="2"/>
          <w:sz w:val="28"/>
          <w:szCs w:val="28"/>
        </w:rPr>
        <w:t>日（12日全天报到）乌鲁木齐市</w:t>
      </w:r>
    </w:p>
    <w:p>
      <w:pPr>
        <w:widowControl/>
        <w:spacing w:line="360" w:lineRule="exact"/>
        <w:ind w:firstLine="560" w:firstLineChars="200"/>
        <w:rPr>
          <w:rFonts w:hint="default" w:ascii="仿宋" w:hAnsi="仿宋" w:eastAsia="仿宋" w:cs="仿宋"/>
          <w:bCs/>
          <w:kern w:val="2"/>
          <w:sz w:val="28"/>
          <w:szCs w:val="28"/>
        </w:rPr>
      </w:pPr>
      <w:r>
        <w:rPr>
          <w:rFonts w:hint="default" w:ascii="仿宋" w:hAnsi="仿宋" w:eastAsia="仿宋" w:cs="仿宋"/>
          <w:bCs/>
          <w:kern w:val="2"/>
          <w:sz w:val="28"/>
          <w:szCs w:val="28"/>
        </w:rPr>
        <w:t>2019年7月26日—7月</w:t>
      </w:r>
      <w:r>
        <w:rPr>
          <w:rFonts w:ascii="仿宋" w:hAnsi="仿宋" w:eastAsia="仿宋" w:cs="仿宋"/>
          <w:bCs/>
          <w:kern w:val="2"/>
          <w:sz w:val="28"/>
          <w:szCs w:val="28"/>
        </w:rPr>
        <w:t>29</w:t>
      </w:r>
      <w:r>
        <w:rPr>
          <w:rFonts w:hint="default" w:ascii="仿宋" w:hAnsi="仿宋" w:eastAsia="仿宋" w:cs="仿宋"/>
          <w:bCs/>
          <w:kern w:val="2"/>
          <w:sz w:val="28"/>
          <w:szCs w:val="28"/>
        </w:rPr>
        <w:t>日（26日全天报到）大连市</w:t>
      </w:r>
    </w:p>
    <w:p>
      <w:pPr>
        <w:widowControl/>
        <w:spacing w:line="360" w:lineRule="exact"/>
        <w:rPr>
          <w:rFonts w:hint="default" w:ascii="仿宋" w:hAnsi="仿宋" w:eastAsia="仿宋" w:cs="宋体"/>
          <w:b/>
          <w:color w:val="000000"/>
          <w:sz w:val="28"/>
          <w:szCs w:val="28"/>
        </w:rPr>
      </w:pPr>
      <w:r>
        <w:rPr>
          <w:rFonts w:ascii="仿宋" w:hAnsi="仿宋" w:eastAsia="仿宋" w:cs="宋体"/>
          <w:b/>
          <w:color w:val="000000"/>
          <w:sz w:val="28"/>
          <w:szCs w:val="28"/>
        </w:rPr>
        <w:t>五、收费标准（A/B请选择）</w:t>
      </w:r>
    </w:p>
    <w:p>
      <w:pPr>
        <w:widowControl/>
        <w:spacing w:line="360" w:lineRule="exact"/>
        <w:ind w:firstLine="560"/>
        <w:rPr>
          <w:rFonts w:hint="default" w:ascii="仿宋" w:hAnsi="仿宋" w:eastAsia="仿宋" w:cs="宋体"/>
          <w:color w:val="000000"/>
          <w:sz w:val="28"/>
          <w:szCs w:val="28"/>
        </w:rPr>
      </w:pPr>
      <w:r>
        <w:rPr>
          <w:rFonts w:ascii="仿宋" w:hAnsi="仿宋" w:eastAsia="仿宋" w:cs="宋体"/>
          <w:color w:val="000000"/>
          <w:sz w:val="28"/>
          <w:szCs w:val="28"/>
        </w:rPr>
        <w:t>2800元/人（含培训、资料、电子课件、场地、专家等），食宿统一安排，费用自理。</w:t>
      </w:r>
    </w:p>
    <w:p>
      <w:pPr>
        <w:autoSpaceDE/>
        <w:autoSpaceDN/>
        <w:adjustRightInd/>
        <w:spacing w:line="360" w:lineRule="exact"/>
        <w:jc w:val="both"/>
        <w:rPr>
          <w:rFonts w:hint="default" w:ascii="仿宋" w:hAnsi="仿宋" w:eastAsia="仿宋" w:cs="仿宋"/>
          <w:b/>
          <w:kern w:val="2"/>
          <w:sz w:val="28"/>
          <w:szCs w:val="28"/>
        </w:rPr>
      </w:pPr>
      <w:r>
        <w:rPr>
          <w:rFonts w:ascii="仿宋" w:hAnsi="仿宋" w:eastAsia="仿宋" w:cs="仿宋"/>
          <w:b/>
          <w:kern w:val="2"/>
          <w:sz w:val="28"/>
          <w:szCs w:val="28"/>
        </w:rPr>
        <w:t>六、报名方式</w:t>
      </w:r>
    </w:p>
    <w:p>
      <w:pPr>
        <w:autoSpaceDE/>
        <w:autoSpaceDN/>
        <w:adjustRightInd/>
        <w:spacing w:line="360" w:lineRule="exact"/>
        <w:ind w:firstLine="560" w:firstLineChars="200"/>
        <w:jc w:val="both"/>
        <w:rPr>
          <w:rFonts w:hint="default" w:ascii="仿宋" w:hAnsi="仿宋" w:eastAsia="仿宋" w:cs="仿宋"/>
          <w:bCs/>
          <w:kern w:val="2"/>
          <w:sz w:val="28"/>
          <w:szCs w:val="28"/>
        </w:rPr>
      </w:pPr>
      <w:r>
        <w:rPr>
          <w:rFonts w:ascii="仿宋" w:hAnsi="仿宋" w:eastAsia="仿宋" w:cs="仿宋"/>
          <w:bCs/>
          <w:kern w:val="2"/>
          <w:sz w:val="28"/>
          <w:szCs w:val="28"/>
        </w:rPr>
        <w:t>请参加人员按要求认真填写报名表（附后），传真至会务组，我们将按报名先后传发报到通知。</w:t>
      </w:r>
    </w:p>
    <w:p>
      <w:pPr>
        <w:autoSpaceDE/>
        <w:autoSpaceDN/>
        <w:adjustRightInd/>
        <w:spacing w:line="400" w:lineRule="exact"/>
        <w:rPr>
          <w:rFonts w:hint="eastAsia" w:ascii="仿宋" w:hAnsi="仿宋" w:eastAsia="仿宋" w:cs="仿宋"/>
          <w:bCs/>
          <w:kern w:val="2"/>
          <w:sz w:val="28"/>
          <w:szCs w:val="28"/>
        </w:rPr>
      </w:pPr>
      <w:r>
        <w:rPr>
          <w:rFonts w:hint="eastAsia" w:ascii="仿宋" w:hAnsi="仿宋" w:eastAsia="仿宋" w:cs="仿宋"/>
          <w:bCs/>
          <w:kern w:val="2"/>
          <w:sz w:val="28"/>
          <w:szCs w:val="28"/>
        </w:rPr>
        <w:t>报名联系人：聂红军 主任 18211071700（微信）   邮  箱：zqgphwz@126.com</w:t>
      </w:r>
    </w:p>
    <w:p>
      <w:pPr>
        <w:autoSpaceDE/>
        <w:autoSpaceDN/>
        <w:adjustRightInd/>
        <w:spacing w:line="400" w:lineRule="exact"/>
        <w:rPr>
          <w:rFonts w:hint="eastAsia" w:ascii="仿宋" w:hAnsi="仿宋" w:eastAsia="仿宋" w:cs="仿宋"/>
          <w:bCs/>
          <w:kern w:val="2"/>
          <w:sz w:val="28"/>
          <w:szCs w:val="28"/>
        </w:rPr>
      </w:pPr>
      <w:r>
        <w:rPr>
          <w:rFonts w:hint="eastAsia" w:ascii="仿宋" w:hAnsi="仿宋" w:eastAsia="仿宋" w:cs="仿宋"/>
          <w:bCs/>
          <w:kern w:val="2"/>
          <w:sz w:val="28"/>
          <w:szCs w:val="28"/>
        </w:rPr>
        <w:t xml:space="preserve">电话（传真）：010-87697580                  qq咨询：3177524020   </w:t>
      </w:r>
    </w:p>
    <w:p>
      <w:pPr>
        <w:autoSpaceDE/>
        <w:autoSpaceDN/>
        <w:adjustRightInd/>
        <w:spacing w:line="400" w:lineRule="exact"/>
        <w:rPr>
          <w:rFonts w:hint="default" w:ascii="仿宋" w:hAnsi="仿宋" w:eastAsia="仿宋" w:cs="仿宋"/>
          <w:bCs/>
          <w:kern w:val="2"/>
          <w:sz w:val="28"/>
          <w:szCs w:val="28"/>
        </w:rPr>
      </w:pPr>
      <w:r>
        <w:rPr>
          <w:rFonts w:hint="eastAsia" w:ascii="仿宋" w:hAnsi="仿宋" w:eastAsia="仿宋" w:cs="仿宋"/>
          <w:bCs/>
          <w:kern w:val="2"/>
          <w:sz w:val="28"/>
          <w:szCs w:val="28"/>
        </w:rPr>
        <w:t xml:space="preserve">网址查询：http://www.zqgpchina.cn/ </w:t>
      </w:r>
      <w:r>
        <w:rPr>
          <w:rFonts w:ascii="仿宋_GB2312" w:hAnsi="Times New Roman" w:eastAsia="仿宋_GB2312"/>
          <w:kern w:val="2"/>
          <w:sz w:val="28"/>
          <w:szCs w:val="28"/>
        </w:rPr>
        <w:t>附件：</w:t>
      </w:r>
    </w:p>
    <w:p>
      <w:pPr>
        <w:autoSpaceDE/>
        <w:autoSpaceDN/>
        <w:adjustRightInd/>
        <w:spacing w:line="320" w:lineRule="exact"/>
        <w:jc w:val="center"/>
        <w:rPr>
          <w:rFonts w:hint="default" w:ascii="仿宋_GB2312" w:hAnsi="Times New Roman" w:eastAsia="仿宋_GB2312"/>
          <w:kern w:val="2"/>
          <w:sz w:val="28"/>
          <w:szCs w:val="28"/>
        </w:rPr>
      </w:pPr>
      <w:r>
        <w:rPr>
          <w:rFonts w:ascii="仿宋_GB2312" w:hAnsi="Times New Roman" w:eastAsia="仿宋_GB2312"/>
          <w:kern w:val="2"/>
          <w:sz w:val="28"/>
          <w:szCs w:val="28"/>
        </w:rPr>
        <w:t>国有企业混合所有制改革、债转股与《关于改革国有企业工资决定机制的意见》解析及国企薪酬绩效改革要点专题培训班报名回执表</w:t>
      </w:r>
    </w:p>
    <w:tbl>
      <w:tblPr>
        <w:tblStyle w:val="6"/>
        <w:tblpPr w:leftFromText="180" w:rightFromText="180" w:vertAnchor="page" w:horzAnchor="margin" w:tblpY="265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849"/>
        <w:gridCol w:w="1282"/>
        <w:gridCol w:w="1984"/>
        <w:gridCol w:w="157"/>
        <w:gridCol w:w="269"/>
        <w:gridCol w:w="418"/>
        <w:gridCol w:w="309"/>
        <w:gridCol w:w="541"/>
        <w:gridCol w:w="29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单位名称</w:t>
            </w:r>
          </w:p>
        </w:tc>
        <w:tc>
          <w:tcPr>
            <w:tcW w:w="4959" w:type="dxa"/>
            <w:gridSpan w:val="6"/>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p>
        </w:tc>
        <w:tc>
          <w:tcPr>
            <w:tcW w:w="850" w:type="dxa"/>
            <w:gridSpan w:val="2"/>
            <w:vAlign w:val="center"/>
          </w:tcPr>
          <w:p>
            <w:pPr>
              <w:autoSpaceDE/>
              <w:autoSpaceDN/>
              <w:adjustRightInd/>
              <w:spacing w:line="360" w:lineRule="exact"/>
              <w:ind w:right="-168" w:rightChars="-70"/>
              <w:jc w:val="both"/>
              <w:rPr>
                <w:rFonts w:hint="default" w:ascii="仿宋_GB2312" w:hAnsi="Times New Roman" w:eastAsia="仿宋_GB2312"/>
                <w:kern w:val="2"/>
                <w:szCs w:val="22"/>
              </w:rPr>
            </w:pPr>
            <w:r>
              <w:rPr>
                <w:rFonts w:ascii="仿宋_GB2312" w:hAnsi="Times New Roman" w:eastAsia="仿宋_GB2312"/>
                <w:kern w:val="2"/>
                <w:szCs w:val="22"/>
              </w:rPr>
              <w:t>邮编</w:t>
            </w:r>
          </w:p>
        </w:tc>
        <w:tc>
          <w:tcPr>
            <w:tcW w:w="2275" w:type="dxa"/>
            <w:gridSpan w:val="2"/>
            <w:vAlign w:val="center"/>
          </w:tcPr>
          <w:p>
            <w:pPr>
              <w:autoSpaceDE/>
              <w:autoSpaceDN/>
              <w:adjustRightInd/>
              <w:spacing w:line="360" w:lineRule="exact"/>
              <w:ind w:right="-168" w:rightChars="-70" w:firstLine="960"/>
              <w:jc w:val="center"/>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单位地址</w:t>
            </w:r>
          </w:p>
        </w:tc>
        <w:tc>
          <w:tcPr>
            <w:tcW w:w="8084" w:type="dxa"/>
            <w:gridSpan w:val="10"/>
            <w:vAlign w:val="center"/>
          </w:tcPr>
          <w:p>
            <w:pPr>
              <w:autoSpaceDE/>
              <w:autoSpaceDN/>
              <w:adjustRightInd/>
              <w:spacing w:line="360" w:lineRule="exact"/>
              <w:ind w:right="-168" w:rightChars="-70" w:firstLine="960"/>
              <w:jc w:val="center"/>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联系人</w:t>
            </w:r>
          </w:p>
        </w:tc>
        <w:tc>
          <w:tcPr>
            <w:tcW w:w="2131" w:type="dxa"/>
            <w:gridSpan w:val="2"/>
            <w:vAlign w:val="center"/>
          </w:tcPr>
          <w:p>
            <w:pPr>
              <w:autoSpaceDE/>
              <w:autoSpaceDN/>
              <w:adjustRightInd/>
              <w:spacing w:line="360" w:lineRule="exact"/>
              <w:ind w:right="-168" w:rightChars="-70" w:firstLine="960"/>
              <w:jc w:val="both"/>
              <w:rPr>
                <w:rFonts w:hint="default" w:ascii="仿宋_GB2312" w:hAnsi="Times New Roman" w:eastAsia="仿宋_GB2312"/>
                <w:kern w:val="2"/>
                <w:szCs w:val="22"/>
              </w:rPr>
            </w:pPr>
          </w:p>
        </w:tc>
        <w:tc>
          <w:tcPr>
            <w:tcW w:w="2410" w:type="dxa"/>
            <w:gridSpan w:val="3"/>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职位/岗位</w:t>
            </w:r>
          </w:p>
        </w:tc>
        <w:tc>
          <w:tcPr>
            <w:tcW w:w="3543" w:type="dxa"/>
            <w:gridSpan w:val="5"/>
            <w:vAlign w:val="center"/>
          </w:tcPr>
          <w:p>
            <w:pPr>
              <w:autoSpaceDE/>
              <w:autoSpaceDN/>
              <w:adjustRightInd/>
              <w:spacing w:line="360" w:lineRule="exact"/>
              <w:ind w:right="-168" w:rightChars="-70" w:firstLine="960"/>
              <w:jc w:val="center"/>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办公电话</w:t>
            </w:r>
          </w:p>
        </w:tc>
        <w:tc>
          <w:tcPr>
            <w:tcW w:w="2131" w:type="dxa"/>
            <w:gridSpan w:val="2"/>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2410" w:type="dxa"/>
            <w:gridSpan w:val="3"/>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手    机</w:t>
            </w:r>
          </w:p>
        </w:tc>
        <w:tc>
          <w:tcPr>
            <w:tcW w:w="3543" w:type="dxa"/>
            <w:gridSpan w:val="5"/>
            <w:vAlign w:val="center"/>
          </w:tcPr>
          <w:p>
            <w:pPr>
              <w:autoSpaceDE/>
              <w:autoSpaceDN/>
              <w:adjustRightInd/>
              <w:spacing w:line="360" w:lineRule="exact"/>
              <w:ind w:right="-168" w:rightChars="-70" w:firstLine="960"/>
              <w:jc w:val="center"/>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传   真</w:t>
            </w:r>
          </w:p>
        </w:tc>
        <w:tc>
          <w:tcPr>
            <w:tcW w:w="2131" w:type="dxa"/>
            <w:gridSpan w:val="2"/>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2410" w:type="dxa"/>
            <w:gridSpan w:val="3"/>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电子信箱</w:t>
            </w:r>
          </w:p>
        </w:tc>
        <w:tc>
          <w:tcPr>
            <w:tcW w:w="3543" w:type="dxa"/>
            <w:gridSpan w:val="5"/>
            <w:vAlign w:val="center"/>
          </w:tcPr>
          <w:p>
            <w:pPr>
              <w:autoSpaceDE/>
              <w:autoSpaceDN/>
              <w:adjustRightInd/>
              <w:spacing w:line="360" w:lineRule="exact"/>
              <w:ind w:right="-168" w:rightChars="-70" w:firstLine="960"/>
              <w:jc w:val="center"/>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参加培训人员</w:t>
            </w:r>
          </w:p>
        </w:tc>
        <w:tc>
          <w:tcPr>
            <w:tcW w:w="849"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性别</w:t>
            </w:r>
          </w:p>
        </w:tc>
        <w:tc>
          <w:tcPr>
            <w:tcW w:w="1282"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职务</w:t>
            </w:r>
          </w:p>
        </w:tc>
        <w:tc>
          <w:tcPr>
            <w:tcW w:w="1984"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电话</w:t>
            </w:r>
          </w:p>
        </w:tc>
        <w:tc>
          <w:tcPr>
            <w:tcW w:w="1985" w:type="dxa"/>
            <w:gridSpan w:val="6"/>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手机</w:t>
            </w:r>
          </w:p>
        </w:tc>
        <w:tc>
          <w:tcPr>
            <w:tcW w:w="1984"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63"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849"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282"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5" w:type="dxa"/>
            <w:gridSpan w:val="6"/>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63"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849"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282"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5" w:type="dxa"/>
            <w:gridSpan w:val="6"/>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63"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849"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282"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5" w:type="dxa"/>
            <w:gridSpan w:val="6"/>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63"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849"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282"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5" w:type="dxa"/>
            <w:gridSpan w:val="6"/>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63"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849"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282"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5" w:type="dxa"/>
            <w:gridSpan w:val="6"/>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63"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849"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282"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5" w:type="dxa"/>
            <w:gridSpan w:val="6"/>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c>
          <w:tcPr>
            <w:tcW w:w="1984" w:type="dxa"/>
            <w:vAlign w:val="center"/>
          </w:tcPr>
          <w:p>
            <w:pPr>
              <w:autoSpaceDE/>
              <w:autoSpaceDN/>
              <w:adjustRightInd/>
              <w:spacing w:line="360" w:lineRule="exact"/>
              <w:ind w:right="-168" w:rightChars="-70"/>
              <w:jc w:val="both"/>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b/>
                <w:bCs/>
                <w:kern w:val="2"/>
                <w:szCs w:val="22"/>
              </w:rPr>
            </w:pPr>
            <w:r>
              <w:rPr>
                <w:rFonts w:ascii="仿宋_GB2312" w:hAnsi="Times New Roman" w:eastAsia="仿宋_GB2312"/>
                <w:b/>
                <w:bCs/>
                <w:kern w:val="2"/>
                <w:szCs w:val="22"/>
              </w:rPr>
              <w:t>是否住宿</w:t>
            </w:r>
          </w:p>
        </w:tc>
        <w:tc>
          <w:tcPr>
            <w:tcW w:w="2131" w:type="dxa"/>
            <w:gridSpan w:val="2"/>
            <w:vAlign w:val="center"/>
          </w:tcPr>
          <w:p>
            <w:pPr>
              <w:widowControl/>
              <w:autoSpaceDE/>
              <w:autoSpaceDN/>
              <w:adjustRightInd/>
              <w:spacing w:line="360" w:lineRule="exact"/>
              <w:ind w:right="-168" w:rightChars="-70"/>
              <w:jc w:val="both"/>
              <w:rPr>
                <w:rFonts w:hint="default" w:ascii="仿宋_GB2312" w:hAnsi="Times New Roman" w:eastAsia="仿宋_GB2312"/>
                <w:kern w:val="2"/>
                <w:szCs w:val="22"/>
              </w:rPr>
            </w:pPr>
            <w:r>
              <w:rPr>
                <w:rFonts w:ascii="仿宋_GB2312" w:hAnsi="Times New Roman" w:eastAsia="仿宋_GB2312"/>
                <w:kern w:val="2"/>
                <w:szCs w:val="22"/>
              </w:rPr>
              <w:t>□是     □否</w:t>
            </w:r>
          </w:p>
        </w:tc>
        <w:tc>
          <w:tcPr>
            <w:tcW w:w="1984" w:type="dxa"/>
            <w:vAlign w:val="center"/>
          </w:tcPr>
          <w:p>
            <w:pPr>
              <w:widowControl/>
              <w:autoSpaceDE/>
              <w:autoSpaceDN/>
              <w:adjustRightInd/>
              <w:spacing w:line="360" w:lineRule="exact"/>
              <w:ind w:right="-168" w:rightChars="-70"/>
              <w:jc w:val="both"/>
              <w:rPr>
                <w:rFonts w:hint="default" w:ascii="仿宋_GB2312" w:hAnsi="Times New Roman" w:eastAsia="仿宋_GB2312"/>
                <w:kern w:val="2"/>
                <w:szCs w:val="22"/>
              </w:rPr>
            </w:pPr>
            <w:r>
              <w:rPr>
                <w:rFonts w:ascii="仿宋_GB2312" w:hAnsi="Times New Roman" w:eastAsia="仿宋_GB2312"/>
                <w:kern w:val="2"/>
                <w:szCs w:val="22"/>
              </w:rPr>
              <w:t>住宿标准</w:t>
            </w:r>
          </w:p>
        </w:tc>
        <w:tc>
          <w:tcPr>
            <w:tcW w:w="3969" w:type="dxa"/>
            <w:gridSpan w:val="7"/>
          </w:tcPr>
          <w:p>
            <w:pPr>
              <w:widowControl/>
              <w:autoSpaceDE/>
              <w:autoSpaceDN/>
              <w:adjustRightInd/>
              <w:spacing w:line="360" w:lineRule="exact"/>
              <w:ind w:right="-168" w:rightChars="-70"/>
              <w:jc w:val="both"/>
              <w:rPr>
                <w:rFonts w:hint="default" w:ascii="Times New Roman" w:hAnsi="Times New Roman"/>
                <w:kern w:val="2"/>
                <w:sz w:val="21"/>
                <w:szCs w:val="22"/>
              </w:rPr>
            </w:pPr>
            <w:r>
              <w:rPr>
                <w:rFonts w:ascii="仿宋_GB2312" w:hAnsi="Times New Roman" w:eastAsia="仿宋_GB2312"/>
                <w:kern w:val="2"/>
                <w:szCs w:val="22"/>
              </w:rPr>
              <w:t>□单住(需另补床位费) □合住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b/>
                <w:bCs/>
                <w:kern w:val="2"/>
                <w:szCs w:val="22"/>
              </w:rPr>
            </w:pPr>
            <w:r>
              <w:rPr>
                <w:rFonts w:ascii="仿宋_GB2312" w:hAnsi="Times New Roman" w:eastAsia="仿宋_GB2312"/>
                <w:b/>
                <w:bCs/>
                <w:kern w:val="2"/>
                <w:szCs w:val="22"/>
              </w:rPr>
              <w:t>参会地点</w:t>
            </w:r>
          </w:p>
        </w:tc>
        <w:tc>
          <w:tcPr>
            <w:tcW w:w="8084" w:type="dxa"/>
            <w:gridSpan w:val="10"/>
            <w:vAlign w:val="center"/>
          </w:tcPr>
          <w:p>
            <w:pPr>
              <w:autoSpaceDE/>
              <w:autoSpaceDN/>
              <w:adjustRightInd/>
              <w:spacing w:line="360" w:lineRule="exact"/>
              <w:ind w:right="-168" w:rightChars="-70"/>
              <w:rPr>
                <w:rFonts w:hint="default" w:ascii="仿宋_GB2312" w:hAnsi="Times New Roman" w:eastAsia="仿宋_GB2312"/>
                <w:color w:val="FF0000"/>
                <w:kern w:val="2"/>
                <w:szCs w:val="22"/>
              </w:rPr>
            </w:pPr>
            <w:r>
              <w:rPr>
                <w:rFonts w:ascii="仿宋_GB2312" w:hAnsi="Times New Roman" w:eastAsia="仿宋_GB2312"/>
                <w:b/>
                <w:bCs/>
                <w:kern w:val="2"/>
                <w:szCs w:val="22"/>
              </w:rPr>
              <w:t>青岛□  呼和浩特□  乌鲁木齐□  大连□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663" w:type="dxa"/>
          </w:tcPr>
          <w:p>
            <w:pPr>
              <w:autoSpaceDE/>
              <w:autoSpaceDN/>
              <w:adjustRightInd/>
              <w:spacing w:line="360" w:lineRule="exact"/>
              <w:ind w:right="-168" w:rightChars="-70"/>
              <w:jc w:val="center"/>
              <w:rPr>
                <w:rFonts w:hint="default" w:ascii="仿宋_GB2312" w:hAnsi="Times New Roman" w:eastAsia="仿宋_GB2312"/>
                <w:b/>
                <w:bCs/>
                <w:kern w:val="2"/>
                <w:szCs w:val="22"/>
              </w:rPr>
            </w:pPr>
            <w:r>
              <w:rPr>
                <w:rFonts w:ascii="仿宋_GB2312" w:hAnsi="Times New Roman" w:eastAsia="仿宋_GB2312"/>
                <w:b/>
                <w:bCs/>
                <w:kern w:val="2"/>
                <w:szCs w:val="22"/>
              </w:rPr>
              <w:t>付款方式</w:t>
            </w:r>
          </w:p>
        </w:tc>
        <w:tc>
          <w:tcPr>
            <w:tcW w:w="4272" w:type="dxa"/>
            <w:gridSpan w:val="4"/>
          </w:tcPr>
          <w:p>
            <w:pPr>
              <w:widowControl/>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 xml:space="preserve">□通过银行     □通过网银 </w:t>
            </w:r>
          </w:p>
        </w:tc>
        <w:tc>
          <w:tcPr>
            <w:tcW w:w="996" w:type="dxa"/>
            <w:gridSpan w:val="3"/>
          </w:tcPr>
          <w:p>
            <w:pPr>
              <w:widowControl/>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kern w:val="2"/>
                <w:szCs w:val="22"/>
              </w:rPr>
              <w:t>金额</w:t>
            </w:r>
          </w:p>
        </w:tc>
        <w:tc>
          <w:tcPr>
            <w:tcW w:w="2816" w:type="dxa"/>
            <w:gridSpan w:val="3"/>
          </w:tcPr>
          <w:p>
            <w:pPr>
              <w:widowControl/>
              <w:autoSpaceDE/>
              <w:autoSpaceDN/>
              <w:adjustRightInd/>
              <w:spacing w:line="360" w:lineRule="exact"/>
              <w:ind w:right="-168" w:rightChars="-70"/>
              <w:jc w:val="center"/>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1663" w:type="dxa"/>
          </w:tcPr>
          <w:p>
            <w:pPr>
              <w:autoSpaceDE/>
              <w:autoSpaceDN/>
              <w:adjustRightInd/>
              <w:spacing w:line="360" w:lineRule="exact"/>
              <w:ind w:right="-168" w:rightChars="-70"/>
              <w:jc w:val="both"/>
              <w:rPr>
                <w:rFonts w:hint="default" w:ascii="仿宋_GB2312" w:hAnsi="Times New Roman" w:eastAsia="仿宋_GB2312"/>
                <w:b/>
                <w:bCs/>
                <w:kern w:val="2"/>
                <w:szCs w:val="22"/>
              </w:rPr>
            </w:pPr>
            <w:r>
              <w:rPr>
                <w:rFonts w:ascii="仿宋_GB2312" w:hAnsi="Times New Roman" w:eastAsia="仿宋_GB2312"/>
                <w:b/>
                <w:bCs/>
                <w:kern w:val="2"/>
                <w:szCs w:val="22"/>
              </w:rPr>
              <w:t>需要与专家</w:t>
            </w:r>
          </w:p>
          <w:p>
            <w:pPr>
              <w:autoSpaceDE/>
              <w:autoSpaceDN/>
              <w:adjustRightInd/>
              <w:spacing w:line="360" w:lineRule="exact"/>
              <w:ind w:right="-168" w:rightChars="-70"/>
              <w:jc w:val="both"/>
              <w:rPr>
                <w:rFonts w:hint="default" w:ascii="仿宋_GB2312" w:hAnsi="Times New Roman" w:eastAsia="仿宋_GB2312"/>
                <w:b/>
                <w:bCs/>
                <w:kern w:val="2"/>
                <w:szCs w:val="22"/>
              </w:rPr>
            </w:pPr>
            <w:r>
              <w:rPr>
                <w:rFonts w:ascii="仿宋_GB2312" w:hAnsi="Times New Roman" w:eastAsia="仿宋_GB2312"/>
                <w:b/>
                <w:bCs/>
                <w:kern w:val="2"/>
                <w:szCs w:val="22"/>
              </w:rPr>
              <w:t>沟通的问题</w:t>
            </w:r>
          </w:p>
        </w:tc>
        <w:tc>
          <w:tcPr>
            <w:tcW w:w="8084" w:type="dxa"/>
            <w:gridSpan w:val="10"/>
          </w:tcPr>
          <w:p>
            <w:pPr>
              <w:widowControl/>
              <w:autoSpaceDE/>
              <w:autoSpaceDN/>
              <w:adjustRightInd/>
              <w:spacing w:line="360" w:lineRule="exact"/>
              <w:ind w:right="-168" w:rightChars="-70"/>
              <w:jc w:val="center"/>
              <w:rPr>
                <w:rFonts w:hint="default" w:ascii="仿宋_GB2312" w:hAnsi="Times New Roman" w:eastAsia="仿宋_GB2312"/>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kern w:val="2"/>
                <w:szCs w:val="22"/>
              </w:rPr>
            </w:pPr>
            <w:r>
              <w:rPr>
                <w:rFonts w:ascii="仿宋_GB2312" w:hAnsi="Times New Roman" w:eastAsia="仿宋_GB2312"/>
                <w:b/>
                <w:bCs/>
                <w:kern w:val="2"/>
                <w:szCs w:val="22"/>
              </w:rPr>
              <w:t>指定收款帐户</w:t>
            </w:r>
          </w:p>
        </w:tc>
        <w:tc>
          <w:tcPr>
            <w:tcW w:w="8084" w:type="dxa"/>
            <w:gridSpan w:val="10"/>
            <w:vAlign w:val="center"/>
          </w:tcPr>
          <w:p>
            <w:pPr>
              <w:autoSpaceDE/>
              <w:autoSpaceDN/>
              <w:adjustRightInd/>
              <w:spacing w:line="340" w:lineRule="exact"/>
              <w:jc w:val="both"/>
              <w:rPr>
                <w:rFonts w:hint="default" w:ascii="仿宋_GB2312" w:hAnsi="Times New Roman" w:eastAsia="仿宋_GB2312"/>
                <w:b/>
                <w:bCs/>
                <w:kern w:val="2"/>
                <w:sz w:val="28"/>
                <w:szCs w:val="28"/>
              </w:rPr>
            </w:pPr>
            <w:r>
              <w:rPr>
                <w:rFonts w:ascii="仿宋_GB2312" w:hAnsi="Times New Roman" w:eastAsia="仿宋_GB2312"/>
                <w:b/>
                <w:bCs/>
                <w:kern w:val="2"/>
                <w:sz w:val="28"/>
                <w:szCs w:val="28"/>
              </w:rPr>
              <w:t>单位全称</w:t>
            </w:r>
            <w:r>
              <w:rPr>
                <w:rFonts w:hint="default" w:ascii="仿宋_GB2312" w:hAnsi="Times New Roman" w:eastAsia="仿宋_GB2312"/>
                <w:b/>
                <w:bCs/>
                <w:kern w:val="2"/>
                <w:sz w:val="28"/>
                <w:szCs w:val="28"/>
              </w:rPr>
              <w:t xml:space="preserve">: 北京中企海德信息咨询中心 </w:t>
            </w:r>
          </w:p>
          <w:p>
            <w:pPr>
              <w:autoSpaceDE/>
              <w:autoSpaceDN/>
              <w:adjustRightInd/>
              <w:spacing w:line="340" w:lineRule="exact"/>
              <w:jc w:val="both"/>
              <w:rPr>
                <w:rFonts w:hint="default" w:ascii="仿宋_GB2312" w:hAnsi="Times New Roman" w:eastAsia="仿宋_GB2312"/>
                <w:b/>
                <w:bCs/>
                <w:kern w:val="2"/>
                <w:sz w:val="28"/>
                <w:szCs w:val="28"/>
              </w:rPr>
            </w:pPr>
            <w:r>
              <w:rPr>
                <w:rFonts w:hint="default" w:ascii="仿宋_GB2312" w:hAnsi="Times New Roman" w:eastAsia="仿宋_GB2312"/>
                <w:b/>
                <w:bCs/>
                <w:kern w:val="2"/>
                <w:sz w:val="28"/>
                <w:szCs w:val="28"/>
              </w:rPr>
              <w:t>开户行</w:t>
            </w:r>
            <w:r>
              <w:rPr>
                <w:rFonts w:ascii="仿宋_GB2312" w:hAnsi="Times New Roman" w:eastAsia="仿宋_GB2312"/>
                <w:b/>
                <w:bCs/>
                <w:kern w:val="2"/>
                <w:sz w:val="28"/>
                <w:szCs w:val="28"/>
              </w:rPr>
              <w:t>：</w:t>
            </w:r>
            <w:r>
              <w:rPr>
                <w:rFonts w:hint="default" w:ascii="仿宋_GB2312" w:hAnsi="Times New Roman" w:eastAsia="仿宋_GB2312"/>
                <w:b/>
                <w:bCs/>
                <w:kern w:val="2"/>
                <w:sz w:val="28"/>
                <w:szCs w:val="28"/>
              </w:rPr>
              <w:t xml:space="preserve">建行北京恩济支行营业部 </w:t>
            </w:r>
          </w:p>
          <w:p>
            <w:pPr>
              <w:autoSpaceDE/>
              <w:autoSpaceDN/>
              <w:adjustRightInd/>
              <w:spacing w:line="340" w:lineRule="exact"/>
              <w:jc w:val="both"/>
              <w:rPr>
                <w:rFonts w:hint="default" w:ascii="仿宋_GB2312" w:hAnsi="Times New Roman" w:eastAsia="仿宋_GB2312"/>
                <w:b/>
                <w:bCs/>
                <w:kern w:val="2"/>
                <w:sz w:val="28"/>
                <w:szCs w:val="28"/>
              </w:rPr>
            </w:pPr>
            <w:r>
              <w:rPr>
                <w:rFonts w:hint="default" w:ascii="仿宋_GB2312" w:hAnsi="Times New Roman" w:eastAsia="仿宋_GB2312"/>
                <w:b/>
                <w:bCs/>
                <w:kern w:val="2"/>
                <w:sz w:val="28"/>
                <w:szCs w:val="28"/>
              </w:rPr>
              <w:t>帐户</w:t>
            </w:r>
            <w:r>
              <w:rPr>
                <w:rFonts w:ascii="仿宋_GB2312" w:hAnsi="Times New Roman" w:eastAsia="仿宋_GB2312"/>
                <w:b/>
                <w:bCs/>
                <w:kern w:val="2"/>
                <w:sz w:val="28"/>
                <w:szCs w:val="28"/>
              </w:rPr>
              <w:t>：</w:t>
            </w:r>
            <w:r>
              <w:rPr>
                <w:rFonts w:hint="default" w:ascii="仿宋_GB2312" w:hAnsi="Times New Roman" w:eastAsia="仿宋_GB2312"/>
                <w:b/>
                <w:bCs/>
                <w:kern w:val="2"/>
                <w:sz w:val="28"/>
                <w:szCs w:val="28"/>
              </w:rPr>
              <w:t xml:space="preserve"> 11050164520000000324 </w:t>
            </w:r>
          </w:p>
          <w:p>
            <w:pPr>
              <w:autoSpaceDE/>
              <w:autoSpaceDN/>
              <w:adjustRightInd/>
              <w:spacing w:line="360" w:lineRule="exact"/>
              <w:ind w:right="-168" w:rightChars="-70"/>
              <w:jc w:val="both"/>
              <w:rPr>
                <w:rFonts w:hint="default" w:ascii="仿宋_GB2312" w:hAnsi="Times New Roman" w:eastAsia="仿宋_GB2312"/>
                <w:b/>
                <w:bCs/>
                <w:kern w:val="2"/>
                <w:sz w:val="28"/>
                <w:szCs w:val="28"/>
              </w:rPr>
            </w:pPr>
            <w:r>
              <w:rPr>
                <w:rFonts w:ascii="仿宋_GB2312" w:hAnsi="Times New Roman" w:eastAsia="仿宋_GB2312"/>
                <w:b/>
                <w:bCs/>
                <w:kern w:val="2"/>
                <w:sz w:val="28"/>
                <w:szCs w:val="28"/>
              </w:rPr>
              <w:t>行号</w:t>
            </w:r>
            <w:r>
              <w:rPr>
                <w:rFonts w:hint="default" w:ascii="仿宋_GB2312" w:hAnsi="Times New Roman" w:eastAsia="仿宋_GB2312"/>
                <w:b/>
                <w:bCs/>
                <w:kern w:val="2"/>
                <w:sz w:val="28"/>
                <w:szCs w:val="28"/>
              </w:rPr>
              <w:t>:  105100006056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6" w:hRule="atLeast"/>
        </w:trPr>
        <w:tc>
          <w:tcPr>
            <w:tcW w:w="1663" w:type="dxa"/>
            <w:vAlign w:val="center"/>
          </w:tcPr>
          <w:p>
            <w:pPr>
              <w:autoSpaceDE/>
              <w:autoSpaceDN/>
              <w:adjustRightInd/>
              <w:spacing w:line="360" w:lineRule="exact"/>
              <w:ind w:right="-168" w:rightChars="-70"/>
              <w:jc w:val="center"/>
              <w:rPr>
                <w:rFonts w:hint="default" w:ascii="仿宋_GB2312" w:hAnsi="Times New Roman" w:eastAsia="仿宋_GB2312"/>
                <w:b/>
                <w:bCs/>
                <w:kern w:val="2"/>
                <w:szCs w:val="22"/>
              </w:rPr>
            </w:pPr>
            <w:r>
              <w:rPr>
                <w:rFonts w:ascii="仿宋_GB2312" w:hAnsi="Times New Roman" w:eastAsia="仿宋_GB2312"/>
                <w:kern w:val="2"/>
                <w:szCs w:val="22"/>
              </w:rPr>
              <w:t>备注</w:t>
            </w:r>
          </w:p>
        </w:tc>
        <w:tc>
          <w:tcPr>
            <w:tcW w:w="4541" w:type="dxa"/>
            <w:gridSpan w:val="5"/>
            <w:vAlign w:val="center"/>
          </w:tcPr>
          <w:p>
            <w:pPr>
              <w:autoSpaceDE/>
              <w:autoSpaceDN/>
              <w:adjustRightInd/>
              <w:spacing w:line="360" w:lineRule="exact"/>
              <w:ind w:right="-168" w:rightChars="-70"/>
              <w:jc w:val="both"/>
              <w:rPr>
                <w:rFonts w:hint="default" w:ascii="仿宋_GB2312" w:hAnsi="Times New Roman" w:eastAsia="仿宋_GB2312"/>
                <w:kern w:val="2"/>
                <w:szCs w:val="22"/>
              </w:rPr>
            </w:pPr>
            <w:r>
              <w:rPr>
                <w:rFonts w:ascii="仿宋_GB2312" w:hAnsi="Times New Roman" w:eastAsia="仿宋_GB2312"/>
                <w:kern w:val="2"/>
                <w:szCs w:val="22"/>
              </w:rPr>
              <w:tab/>
            </w:r>
            <w:r>
              <w:rPr>
                <w:rFonts w:ascii="仿宋_GB2312" w:hAnsi="Times New Roman" w:eastAsia="仿宋_GB2312"/>
                <w:kern w:val="2"/>
                <w:szCs w:val="22"/>
              </w:rPr>
              <w:t>请将参会回执回传或E-mail至会务组，在报名3日内将培训费通过银行或邮局等方式付款，会务组确认到款后即发《参会凭证》，其中将详细注明报到时间、地点、等具体安排事项。各参会代表凭证入场。</w:t>
            </w:r>
          </w:p>
        </w:tc>
        <w:tc>
          <w:tcPr>
            <w:tcW w:w="3543" w:type="dxa"/>
            <w:gridSpan w:val="5"/>
            <w:vAlign w:val="center"/>
          </w:tcPr>
          <w:p>
            <w:pPr>
              <w:autoSpaceDE/>
              <w:autoSpaceDN/>
              <w:adjustRightInd/>
              <w:spacing w:line="360" w:lineRule="exact"/>
              <w:ind w:right="-168" w:rightChars="-70" w:firstLine="720" w:firstLineChars="300"/>
              <w:jc w:val="both"/>
              <w:rPr>
                <w:rFonts w:hint="default" w:ascii="仿宋_GB2312" w:hAnsi="Times New Roman" w:eastAsia="仿宋_GB2312"/>
                <w:kern w:val="2"/>
                <w:szCs w:val="22"/>
              </w:rPr>
            </w:pPr>
            <w:r>
              <w:rPr>
                <w:rFonts w:ascii="仿宋_GB2312" w:hAnsi="Times New Roman" w:eastAsia="仿宋_GB2312"/>
                <w:kern w:val="2"/>
                <w:szCs w:val="22"/>
              </w:rPr>
              <w:t>单位印章</w:t>
            </w:r>
          </w:p>
          <w:p>
            <w:pPr>
              <w:autoSpaceDE/>
              <w:autoSpaceDN/>
              <w:adjustRightInd/>
              <w:spacing w:line="360" w:lineRule="exact"/>
              <w:ind w:right="-168" w:rightChars="-70" w:firstLine="240" w:firstLineChars="100"/>
              <w:jc w:val="both"/>
              <w:rPr>
                <w:rFonts w:hint="default" w:ascii="仿宋_GB2312" w:hAnsi="Times New Roman" w:eastAsia="仿宋_GB2312"/>
                <w:kern w:val="2"/>
                <w:szCs w:val="22"/>
              </w:rPr>
            </w:pPr>
            <w:r>
              <w:rPr>
                <w:rFonts w:ascii="仿宋_GB2312" w:hAnsi="Times New Roman" w:eastAsia="仿宋_GB2312"/>
                <w:kern w:val="2"/>
                <w:szCs w:val="22"/>
              </w:rPr>
              <w:t>二○一九年  月  日</w:t>
            </w:r>
          </w:p>
        </w:tc>
      </w:tr>
    </w:tbl>
    <w:p>
      <w:pPr>
        <w:autoSpaceDE/>
        <w:autoSpaceDN/>
        <w:adjustRightInd/>
        <w:spacing w:line="400" w:lineRule="exact"/>
        <w:jc w:val="both"/>
        <w:rPr>
          <w:rFonts w:ascii="仿宋_GB2312" w:hAnsi="Times New Roman" w:eastAsia="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Times New Roman" w:eastAsia="仿宋_GB2312"/>
          <w:kern w:val="2"/>
          <w:sz w:val="28"/>
          <w:szCs w:val="28"/>
        </w:rPr>
      </w:pPr>
      <w:r>
        <w:rPr>
          <w:rFonts w:ascii="仿宋_GB2312" w:hAnsi="Times New Roman" w:eastAsia="仿宋_GB2312"/>
          <w:kern w:val="2"/>
          <w:sz w:val="28"/>
          <w:szCs w:val="28"/>
        </w:rPr>
        <w:t>备注：1.此表可复制，通知文件有限，请协助转发；</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Times New Roman" w:eastAsia="仿宋_GB2312"/>
          <w:kern w:val="2"/>
          <w:sz w:val="28"/>
          <w:szCs w:val="28"/>
        </w:rPr>
      </w:pPr>
      <w:r>
        <w:rPr>
          <w:rFonts w:hint="eastAsia" w:ascii="仿宋_GB2312" w:hAnsi="Times New Roman" w:eastAsia="仿宋_GB2312"/>
          <w:kern w:val="2"/>
          <w:sz w:val="28"/>
          <w:szCs w:val="28"/>
        </w:rPr>
        <w:t>报名联系人：聂红军 主任 18211071700（微信）      邮  箱：zqgphwz@126.com</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Times New Roman" w:eastAsia="仿宋_GB2312"/>
          <w:kern w:val="2"/>
          <w:sz w:val="28"/>
          <w:szCs w:val="28"/>
        </w:rPr>
      </w:pPr>
      <w:r>
        <w:rPr>
          <w:rFonts w:hint="eastAsia" w:ascii="仿宋_GB2312" w:hAnsi="Times New Roman" w:eastAsia="仿宋_GB2312"/>
          <w:kern w:val="2"/>
          <w:sz w:val="28"/>
          <w:szCs w:val="28"/>
        </w:rPr>
        <w:t xml:space="preserve">电话（传真）：010-87697580                      qq咨询：3177524020   </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Times New Roman" w:eastAsia="仿宋_GB2312"/>
          <w:kern w:val="2"/>
          <w:sz w:val="28"/>
          <w:szCs w:val="28"/>
        </w:rPr>
      </w:pPr>
      <w:r>
        <w:rPr>
          <w:rFonts w:hint="eastAsia" w:ascii="仿宋_GB2312" w:hAnsi="Times New Roman" w:eastAsia="仿宋_GB2312"/>
          <w:kern w:val="2"/>
          <w:sz w:val="28"/>
          <w:szCs w:val="28"/>
        </w:rPr>
        <w:t xml:space="preserve">网址查询：http://www.zqgpchina.cn/ </w:t>
      </w:r>
      <w:bookmarkStart w:id="0" w:name="_GoBack"/>
      <w:bookmarkEnd w:id="0"/>
    </w:p>
    <w:sectPr>
      <w:pgSz w:w="11906" w:h="16838"/>
      <w:pgMar w:top="1440" w:right="1080" w:bottom="1440" w:left="108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大标宋简体">
    <w:altName w:val="微软雅黑"/>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altName w:val="Arial Unicode MS"/>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A0667"/>
    <w:multiLevelType w:val="multilevel"/>
    <w:tmpl w:val="400A0667"/>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18"/>
    <w:rsid w:val="00067BD4"/>
    <w:rsid w:val="0009632B"/>
    <w:rsid w:val="000B5CF0"/>
    <w:rsid w:val="000D51EB"/>
    <w:rsid w:val="000E468A"/>
    <w:rsid w:val="00113964"/>
    <w:rsid w:val="001B15FC"/>
    <w:rsid w:val="001B5136"/>
    <w:rsid w:val="001B64FD"/>
    <w:rsid w:val="001D5820"/>
    <w:rsid w:val="001F266D"/>
    <w:rsid w:val="001F2CC6"/>
    <w:rsid w:val="002733FA"/>
    <w:rsid w:val="002B34D8"/>
    <w:rsid w:val="002C290D"/>
    <w:rsid w:val="003A4941"/>
    <w:rsid w:val="003C5EEF"/>
    <w:rsid w:val="003D04D4"/>
    <w:rsid w:val="00412431"/>
    <w:rsid w:val="004127EC"/>
    <w:rsid w:val="00444929"/>
    <w:rsid w:val="00480265"/>
    <w:rsid w:val="004C2C6B"/>
    <w:rsid w:val="004F1FC3"/>
    <w:rsid w:val="005D62EA"/>
    <w:rsid w:val="00605B40"/>
    <w:rsid w:val="00657822"/>
    <w:rsid w:val="0067115E"/>
    <w:rsid w:val="006B0BE9"/>
    <w:rsid w:val="006C7ECD"/>
    <w:rsid w:val="006E23D4"/>
    <w:rsid w:val="006F58F0"/>
    <w:rsid w:val="007555F4"/>
    <w:rsid w:val="007715BD"/>
    <w:rsid w:val="0078282E"/>
    <w:rsid w:val="00790EB2"/>
    <w:rsid w:val="0079638C"/>
    <w:rsid w:val="007B182F"/>
    <w:rsid w:val="007B7767"/>
    <w:rsid w:val="007C5B15"/>
    <w:rsid w:val="00832BCD"/>
    <w:rsid w:val="00841D61"/>
    <w:rsid w:val="00852438"/>
    <w:rsid w:val="00860964"/>
    <w:rsid w:val="00862FA1"/>
    <w:rsid w:val="008B199B"/>
    <w:rsid w:val="008B5B68"/>
    <w:rsid w:val="008E378E"/>
    <w:rsid w:val="008E633F"/>
    <w:rsid w:val="008E79C6"/>
    <w:rsid w:val="00921E4F"/>
    <w:rsid w:val="0092597B"/>
    <w:rsid w:val="009410E9"/>
    <w:rsid w:val="009700EB"/>
    <w:rsid w:val="00981D3A"/>
    <w:rsid w:val="009A4718"/>
    <w:rsid w:val="009C2BB9"/>
    <w:rsid w:val="00A21E3B"/>
    <w:rsid w:val="00A55121"/>
    <w:rsid w:val="00AA091A"/>
    <w:rsid w:val="00AA115C"/>
    <w:rsid w:val="00AB4C35"/>
    <w:rsid w:val="00B6718D"/>
    <w:rsid w:val="00B865F7"/>
    <w:rsid w:val="00B87A6C"/>
    <w:rsid w:val="00BB0019"/>
    <w:rsid w:val="00BC37A5"/>
    <w:rsid w:val="00BE0FB0"/>
    <w:rsid w:val="00C34A5D"/>
    <w:rsid w:val="00C44BC1"/>
    <w:rsid w:val="00C6260C"/>
    <w:rsid w:val="00C84E8F"/>
    <w:rsid w:val="00C96EFB"/>
    <w:rsid w:val="00D20196"/>
    <w:rsid w:val="00D2366D"/>
    <w:rsid w:val="00D74547"/>
    <w:rsid w:val="00DC5B74"/>
    <w:rsid w:val="00DE5CA9"/>
    <w:rsid w:val="00E40FB3"/>
    <w:rsid w:val="00E4277D"/>
    <w:rsid w:val="00E57878"/>
    <w:rsid w:val="00EA2422"/>
    <w:rsid w:val="00ED5CE3"/>
    <w:rsid w:val="00EF23FD"/>
    <w:rsid w:val="00F2027E"/>
    <w:rsid w:val="00F85DD9"/>
    <w:rsid w:val="00F87486"/>
    <w:rsid w:val="00FA0A5B"/>
    <w:rsid w:val="00FA5D57"/>
    <w:rsid w:val="00FD00BF"/>
    <w:rsid w:val="00FE5930"/>
    <w:rsid w:val="03245C1B"/>
    <w:rsid w:val="10A04439"/>
    <w:rsid w:val="1B3225F5"/>
    <w:rsid w:val="42E56AFC"/>
    <w:rsid w:val="4DAC32EB"/>
    <w:rsid w:val="75313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autoSpaceDE/>
      <w:autoSpaceDN/>
      <w:adjustRightInd/>
      <w:spacing w:before="100" w:beforeAutospacing="1" w:after="100" w:afterAutospacing="1"/>
    </w:pPr>
    <w:rPr>
      <w:rFonts w:hint="default" w:cs="宋体"/>
      <w:szCs w:val="24"/>
    </w:rPr>
  </w:style>
  <w:style w:type="character" w:styleId="8">
    <w:name w:val="Hyperlink"/>
    <w:basedOn w:val="7"/>
    <w:unhideWhenUsed/>
    <w:qFormat/>
    <w:uiPriority w:val="99"/>
    <w:rPr>
      <w:color w:val="5F5F5F" w:themeColor="hyperlink"/>
      <w:u w:val="single"/>
      <w14:textFill>
        <w14:solidFill>
          <w14:schemeClr w14:val="hlink"/>
        </w14:solidFill>
      </w14:textFill>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paragraph" w:styleId="11">
    <w:name w:val="List Paragraph"/>
    <w:basedOn w:val="1"/>
    <w:qFormat/>
    <w:uiPriority w:val="34"/>
    <w:pPr>
      <w:widowControl/>
      <w:autoSpaceDE/>
      <w:autoSpaceDN/>
      <w:adjustRightInd/>
      <w:ind w:firstLine="420" w:firstLineChars="200"/>
    </w:pPr>
    <w:rPr>
      <w:rFonts w:hint="default" w:cs="宋体"/>
      <w:szCs w:val="24"/>
    </w:rPr>
  </w:style>
  <w:style w:type="character" w:customStyle="1" w:styleId="12">
    <w:name w:val="批注框文本 Char"/>
    <w:basedOn w:val="7"/>
    <w:link w:val="2"/>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508</Words>
  <Characters>2898</Characters>
  <Lines>24</Lines>
  <Paragraphs>6</Paragraphs>
  <TotalTime>113</TotalTime>
  <ScaleCrop>false</ScaleCrop>
  <LinksUpToDate>false</LinksUpToDate>
  <CharactersWithSpaces>3400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2019-01-16T10:23:00Z</dcterms:created>
  <dc:creator>微软用户</dc:creator>
  <cp:lastModifiedBy>Administrator</cp:lastModifiedBy>
  <dcterms:modified xsi:type="dcterms:W3CDTF">2019-05-13T03:47:16Z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