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rPr>
          <w:rFonts w:hint="eastAsia" w:ascii="宋体" w:hAnsi="宋体" w:eastAsia="宋体" w:cs="Times New Roman"/>
          <w:b/>
          <w:color w:val="0D0D0D" w:themeColor="text1" w:themeTint="F2"/>
          <w:kern w:val="0"/>
          <w:sz w:val="28"/>
          <w:szCs w:val="28"/>
          <w14:textFill>
            <w14:solidFill>
              <w14:schemeClr w14:val="tx1">
                <w14:lumMod w14:val="95000"/>
                <w14:lumOff w14:val="5000"/>
              </w14:schemeClr>
            </w14:solidFill>
          </w14:textFill>
        </w:rPr>
      </w:pPr>
      <w:r>
        <w:rPr>
          <w:rFonts w:ascii="仿宋_GB2312" w:hAnsi="Times New Roman" w:eastAsia="仿宋_GB2312" w:cs="Times New Roman"/>
          <w:b/>
          <w:kern w:val="0"/>
          <w:sz w:val="28"/>
          <w:szCs w:val="28"/>
        </w:rPr>
        <w:drawing>
          <wp:anchor distT="0" distB="0" distL="114300" distR="114300" simplePos="0" relativeHeight="251659264" behindDoc="1" locked="0" layoutInCell="1" allowOverlap="1">
            <wp:simplePos x="0" y="0"/>
            <wp:positionH relativeFrom="column">
              <wp:posOffset>3823970</wp:posOffset>
            </wp:positionH>
            <wp:positionV relativeFrom="paragraph">
              <wp:posOffset>6431280</wp:posOffset>
            </wp:positionV>
            <wp:extent cx="2758440" cy="1664970"/>
            <wp:effectExtent l="0" t="0" r="3810" b="0"/>
            <wp:wrapNone/>
            <wp:docPr id="6" name="图片 6" descr="C:\Users\Administrator\Desktop\555微信图片_2019051111290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555微信图片_20190511112906_副本.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58440" cy="1665186"/>
                    </a:xfrm>
                    <a:prstGeom prst="rect">
                      <a:avLst/>
                    </a:prstGeom>
                    <a:noFill/>
                    <a:ln>
                      <a:noFill/>
                    </a:ln>
                  </pic:spPr>
                </pic:pic>
              </a:graphicData>
            </a:graphic>
          </wp:anchor>
        </w:drawing>
      </w:r>
      <w:r>
        <w:rPr>
          <w:rFonts w:ascii="仿宋_GB2312" w:hAnsi="Times New Roman" w:eastAsia="仿宋_GB2312" w:cs="Times New Roman"/>
          <w:b/>
          <w:kern w:val="0"/>
          <w:sz w:val="28"/>
          <w:szCs w:val="28"/>
        </w:rPr>
        <w:drawing>
          <wp:anchor distT="0" distB="0" distL="114300" distR="114300" simplePos="0" relativeHeight="251658240" behindDoc="0" locked="0" layoutInCell="1" allowOverlap="1">
            <wp:simplePos x="0" y="0"/>
            <wp:positionH relativeFrom="column">
              <wp:posOffset>-685800</wp:posOffset>
            </wp:positionH>
            <wp:positionV relativeFrom="paragraph">
              <wp:posOffset>-419100</wp:posOffset>
            </wp:positionV>
            <wp:extent cx="7589520" cy="6850380"/>
            <wp:effectExtent l="0" t="0" r="0" b="7620"/>
            <wp:wrapTopAndBottom/>
            <wp:docPr id="5" name="图片 5" descr="C:\Users\Administrator\Desktop\777微信图片_2019051111290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777微信图片_20190511112906_副本_副本.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89520" cy="6850380"/>
                    </a:xfrm>
                    <a:prstGeom prst="rect">
                      <a:avLst/>
                    </a:prstGeom>
                    <a:noFill/>
                    <a:ln>
                      <a:noFill/>
                    </a:ln>
                  </pic:spPr>
                </pic:pic>
              </a:graphicData>
            </a:graphic>
          </wp:anchor>
        </w:drawing>
      </w:r>
      <w:r>
        <w:rPr>
          <w:rFonts w:hint="eastAsia" w:ascii="宋体" w:hAnsi="宋体" w:eastAsia="宋体" w:cs="Times New Roman"/>
          <w:b/>
          <w:color w:val="0D0D0D" w:themeColor="text1" w:themeTint="F2"/>
          <w:kern w:val="0"/>
          <w:sz w:val="28"/>
          <w:szCs w:val="28"/>
          <w14:textFill>
            <w14:solidFill>
              <w14:schemeClr w14:val="tx1">
                <w14:lumMod w14:val="95000"/>
                <w14:lumOff w14:val="5000"/>
              </w14:schemeClr>
            </w14:solidFill>
          </w14:textFill>
        </w:rPr>
        <w:t>报名联系人：聂红军 主任 18211071700（微信）  邮  箱：zqgphwz@126.com</w:t>
      </w:r>
    </w:p>
    <w:p>
      <w:pPr>
        <w:spacing w:line="320" w:lineRule="exact"/>
        <w:rPr>
          <w:rFonts w:hint="eastAsia" w:ascii="宋体" w:hAnsi="宋体" w:eastAsia="宋体" w:cs="Times New Roman"/>
          <w:b/>
          <w:color w:val="0D0D0D" w:themeColor="text1" w:themeTint="F2"/>
          <w:kern w:val="0"/>
          <w:sz w:val="28"/>
          <w:szCs w:val="28"/>
          <w14:textFill>
            <w14:solidFill>
              <w14:schemeClr w14:val="tx1">
                <w14:lumMod w14:val="95000"/>
                <w14:lumOff w14:val="5000"/>
              </w14:schemeClr>
            </w14:solidFill>
          </w14:textFill>
        </w:rPr>
      </w:pPr>
      <w:r>
        <w:rPr>
          <w:rFonts w:hint="eastAsia" w:ascii="宋体" w:hAnsi="宋体" w:eastAsia="宋体" w:cs="Times New Roman"/>
          <w:b/>
          <w:color w:val="0D0D0D" w:themeColor="text1" w:themeTint="F2"/>
          <w:kern w:val="0"/>
          <w:sz w:val="28"/>
          <w:szCs w:val="28"/>
          <w14:textFill>
            <w14:solidFill>
              <w14:schemeClr w14:val="tx1">
                <w14:lumMod w14:val="95000"/>
                <w14:lumOff w14:val="5000"/>
              </w14:schemeClr>
            </w14:solidFill>
          </w14:textFill>
        </w:rPr>
        <w:t xml:space="preserve">电话（传真）：010-87697580                   qq咨询：3177524020   </w:t>
      </w:r>
    </w:p>
    <w:p>
      <w:pPr>
        <w:spacing w:line="320" w:lineRule="exact"/>
        <w:rPr>
          <w:rFonts w:hint="eastAsia" w:ascii="宋体" w:hAnsi="宋体" w:eastAsia="宋体" w:cs="Times New Roman"/>
          <w:b/>
          <w:color w:val="0D0D0D" w:themeColor="text1" w:themeTint="F2"/>
          <w:kern w:val="0"/>
          <w:sz w:val="28"/>
          <w:szCs w:val="28"/>
          <w14:textFill>
            <w14:solidFill>
              <w14:schemeClr w14:val="tx1">
                <w14:lumMod w14:val="95000"/>
                <w14:lumOff w14:val="5000"/>
              </w14:schemeClr>
            </w14:solidFill>
          </w14:textFill>
        </w:rPr>
      </w:pPr>
      <w:r>
        <w:rPr>
          <w:rFonts w:hint="eastAsia" w:ascii="宋体" w:hAnsi="宋体" w:eastAsia="宋体" w:cs="Times New Roman"/>
          <w:b/>
          <w:color w:val="0D0D0D" w:themeColor="text1" w:themeTint="F2"/>
          <w:kern w:val="0"/>
          <w:sz w:val="28"/>
          <w:szCs w:val="28"/>
          <w14:textFill>
            <w14:solidFill>
              <w14:schemeClr w14:val="tx1">
                <w14:lumMod w14:val="95000"/>
                <w14:lumOff w14:val="5000"/>
              </w14:schemeClr>
            </w14:solidFill>
          </w14:textFill>
        </w:rPr>
        <w:t xml:space="preserve">网址查询：http://www.zqgpchina.cn/ </w:t>
      </w:r>
    </w:p>
    <w:p>
      <w:pPr>
        <w:spacing w:line="320" w:lineRule="exact"/>
        <w:rPr>
          <w:rFonts w:hint="eastAsia" w:ascii="仿宋_GB2312" w:hAnsi="Times New Roman" w:eastAsia="仿宋_GB2312" w:cs="Times New Roman"/>
          <w:b/>
          <w:kern w:val="0"/>
          <w:sz w:val="28"/>
          <w:szCs w:val="28"/>
        </w:rPr>
      </w:pPr>
    </w:p>
    <w:p>
      <w:pPr>
        <w:spacing w:line="320" w:lineRule="exact"/>
        <w:rPr>
          <w:rFonts w:hint="eastAsia" w:ascii="仿宋_GB2312" w:hAnsi="Times New Roman" w:eastAsia="仿宋_GB2312" w:cs="Times New Roman"/>
          <w:b/>
          <w:kern w:val="0"/>
          <w:sz w:val="28"/>
          <w:szCs w:val="28"/>
        </w:rPr>
      </w:pPr>
    </w:p>
    <w:p>
      <w:pPr>
        <w:spacing w:line="320" w:lineRule="exact"/>
        <w:rPr>
          <w:rFonts w:hint="eastAsia" w:ascii="仿宋_GB2312" w:hAnsi="Times New Roman" w:eastAsia="仿宋_GB2312" w:cs="Times New Roman"/>
          <w:b/>
          <w:kern w:val="0"/>
          <w:sz w:val="28"/>
          <w:szCs w:val="28"/>
        </w:rPr>
      </w:pPr>
    </w:p>
    <w:p>
      <w:pPr>
        <w:spacing w:line="320" w:lineRule="exact"/>
        <w:rPr>
          <w:rFonts w:hint="eastAsia" w:ascii="仿宋_GB2312" w:hAnsi="Times New Roman" w:eastAsia="仿宋_GB2312" w:cs="Times New Roman"/>
          <w:b/>
          <w:kern w:val="0"/>
          <w:sz w:val="28"/>
          <w:szCs w:val="28"/>
        </w:rPr>
      </w:pPr>
    </w:p>
    <w:p>
      <w:pPr>
        <w:spacing w:line="320" w:lineRule="exact"/>
        <w:rPr>
          <w:rFonts w:hint="eastAsia" w:ascii="仿宋_GB2312" w:hAnsi="Times New Roman" w:eastAsia="仿宋_GB2312" w:cs="Times New Roman"/>
          <w:b/>
          <w:kern w:val="0"/>
          <w:sz w:val="28"/>
          <w:szCs w:val="28"/>
        </w:rPr>
      </w:pPr>
    </w:p>
    <w:p>
      <w:pPr>
        <w:spacing w:line="320" w:lineRule="exact"/>
        <w:rPr>
          <w:rFonts w:hint="eastAsia" w:ascii="仿宋_GB2312" w:hAnsi="Times New Roman" w:eastAsia="仿宋_GB2312" w:cs="Times New Roman"/>
          <w:b/>
          <w:kern w:val="0"/>
          <w:sz w:val="28"/>
          <w:szCs w:val="28"/>
        </w:rPr>
      </w:pPr>
    </w:p>
    <w:p>
      <w:pPr>
        <w:spacing w:line="320" w:lineRule="exact"/>
        <w:rPr>
          <w:rFonts w:hint="eastAsia" w:ascii="仿宋_GB2312" w:hAnsi="Times New Roman" w:eastAsia="仿宋_GB2312" w:cs="Times New Roman"/>
          <w:b/>
          <w:kern w:val="0"/>
          <w:sz w:val="28"/>
          <w:szCs w:val="28"/>
        </w:rPr>
      </w:pPr>
    </w:p>
    <w:p>
      <w:pPr>
        <w:spacing w:line="320" w:lineRule="exact"/>
        <w:rPr>
          <w:rFonts w:hint="eastAsia" w:ascii="仿宋_GB2312" w:hAnsi="Times New Roman" w:eastAsia="仿宋_GB2312" w:cs="Times New Roman"/>
          <w:b/>
          <w:kern w:val="0"/>
          <w:sz w:val="28"/>
          <w:szCs w:val="28"/>
        </w:rPr>
      </w:pP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一、课程内容：</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（一）相关政策解析</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1、《中共中央 国务院关于防范化解地方政府隐形债务风险的意见》（中发〔2018〕27号）及其附件解读</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2、《关于保持基础设施领域补短板力度的指导意见》（国办发〔2018〕101号）解读</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3、财预〔2017〕50号、财预〔2017〕87号、财金〔2018〕23号、发改办财金〔2018〕194号文、银监发〔2017〕55号、保监发〔2018〕6号文等配套文件解析</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（二）地方政府债务的认定与化解</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1、地方政府性债务的认定</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2、地方政府隐性债务</w:t>
      </w:r>
    </w:p>
    <w:p>
      <w:pPr>
        <w:spacing w:line="320" w:lineRule="exac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w:t>
      </w: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政府隐性债务的性质与认定</w:t>
      </w:r>
    </w:p>
    <w:p>
      <w:pPr>
        <w:spacing w:line="320" w:lineRule="exac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w:t>
      </w: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政府隐性债务的化解方案</w:t>
      </w:r>
    </w:p>
    <w:p>
      <w:pPr>
        <w:spacing w:line="320" w:lineRule="exact"/>
        <w:ind w:firstLine="564"/>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增加隐性债务的防范及问责</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3、需要关注的债务</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需要关注债务的概念与性质</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需要关注债务的认定意义</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4、防止处置风险的风险</w:t>
      </w:r>
    </w:p>
    <w:p>
      <w:pPr>
        <w:spacing w:line="320" w:lineRule="exac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w:t>
      </w: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保障继续融资需求</w:t>
      </w:r>
    </w:p>
    <w:p>
      <w:pPr>
        <w:spacing w:line="320" w:lineRule="exac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w:t>
      </w: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贷款展期与债务重组</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（三）地方政府投融资模式的重构</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1、地方政府投融资模式重构的背景</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隐性债务过高将会造成区域财政危机或金融危机</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监管政策彻底打破传统的政信合作机制</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2、地方政府投融资模式的重构思路</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政府融资平台公司职能的重新定位</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地方投融资交易结构的转变</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提供基建及公共服务市场化模式的转变</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（四）平台公司市场化转型的政策规定</w:t>
      </w:r>
    </w:p>
    <w:p>
      <w:pPr>
        <w:spacing w:line="320" w:lineRule="exac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1、平台公司的认定</w:t>
      </w:r>
    </w:p>
    <w:p>
      <w:pPr>
        <w:spacing w:line="320" w:lineRule="exac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w:t>
      </w: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平台公司的概念及历史意义</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w:t>
      </w: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27号文对平台公司的性质认定</w:t>
      </w:r>
    </w:p>
    <w:p>
      <w:pPr>
        <w:spacing w:line="320" w:lineRule="exac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w:t>
      </w: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平台公司的发展历程</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2、推动平台公司转型的直接政策规定及间接性鼓励规定</w:t>
      </w:r>
    </w:p>
    <w:p>
      <w:pPr>
        <w:spacing w:line="320" w:lineRule="exac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w:t>
      </w: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直接政策规定之国发43号文、财预50号文、中发27号文</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间接规定之财政部23号文与国发42号文、27号文、101号文</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（五）平台公司转型的目标与流程</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1、平台公司转型的目标</w:t>
      </w:r>
    </w:p>
    <w:p>
      <w:pPr>
        <w:spacing w:line="320" w:lineRule="exact"/>
        <w:ind w:firstLine="700" w:firstLineChars="2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19"/>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化解债务风险</w:t>
      </w:r>
    </w:p>
    <w:p>
      <w:pPr>
        <w:spacing w:line="320" w:lineRule="exact"/>
        <w:ind w:firstLine="700" w:firstLineChars="2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实现造血功能</w:t>
      </w:r>
    </w:p>
    <w:p>
      <w:pPr>
        <w:spacing w:line="320" w:lineRule="exact"/>
        <w:ind w:firstLine="700" w:firstLineChars="2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承担公益性支出</w:t>
      </w:r>
    </w:p>
    <w:p>
      <w:pPr>
        <w:spacing w:line="320" w:lineRule="exact"/>
        <w:ind w:firstLine="700" w:firstLineChars="2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4</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扶持地方产业</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2、平台公司转型的流程</w:t>
      </w:r>
    </w:p>
    <w:p>
      <w:pPr>
        <w:spacing w:line="320" w:lineRule="exact"/>
        <w:ind w:firstLine="700" w:firstLineChars="2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来自于政府的支持</w:t>
      </w:r>
    </w:p>
    <w:p>
      <w:pPr>
        <w:spacing w:line="320" w:lineRule="exact"/>
        <w:ind w:firstLine="700" w:firstLineChars="2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尽职调查</w:t>
      </w:r>
    </w:p>
    <w:p>
      <w:pPr>
        <w:spacing w:line="320" w:lineRule="exact"/>
        <w:ind w:firstLine="700" w:firstLineChars="2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19"/>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初步方案的编制</w:t>
      </w:r>
    </w:p>
    <w:p>
      <w:pPr>
        <w:spacing w:line="320" w:lineRule="exact"/>
        <w:ind w:firstLine="700" w:firstLineChars="2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19"/>
          <w:szCs w:val="28"/>
        </w:rPr>
        <w:instrText xml:space="preserve">4</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平台公司内部的评议</w:t>
      </w:r>
    </w:p>
    <w:p>
      <w:pPr>
        <w:spacing w:line="320" w:lineRule="exact"/>
        <w:ind w:firstLine="700" w:firstLineChars="2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19"/>
          <w:szCs w:val="28"/>
        </w:rPr>
        <w:instrText xml:space="preserve">5</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政府的审议与核准</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6</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银行确认、备案与公告</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3、平台公司转型完成的标志</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银监会名单内的平台公司</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非银监会名单内的平台公司</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平台公司转型的成果展示</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4</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警惕失败的转型及补救方式</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（六）平台公司转型的业务内容之一：资产与债权债务方面</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1、资产的认定及处置</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公益性资产的认定及处置方式</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无权属证明的资产的认定与处置</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有效“四资”（资金、资产、资本、资源）的注入</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2、债权的认定</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债务人为社会第三人的情形</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债务人为政府及所属部门</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3、债务的认定与处置</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分类认定平台公司债务的属性</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从全方位设定隐性债务的化解方案</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对“需要关注的债务”的认定与处置</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4</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重视平台与财政部门的认定分歧</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（七）平台公司转型的业务内容之二：企业战略发展规划</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1、企业战略发展规划的思路</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关于国有企业公益类与商业类属性的划分</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因地制宜的做好战略发展定位</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股权多元化、混改是平台公司转型的必由之路</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2、公益类项目的发展</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公益类项目的分类及运作模式</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重视城市环境运营领域</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重视康养领域</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3、商业类项目的发展</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特色产业与特色资源的结合</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房地产与建筑产业</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产业投资基金领域</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4、区域综合开发项目的主导</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平台公司参与区域综合开发的必要性</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平台公司的操作思路</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（1）工业地产开发</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（2）以房地产与商业地产开发进行资金平衡</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（3）基金与产业导入相互融合</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（八）平台公司转型的业务内容之三：组织架构和现代企业制度核心要点</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1、组织架构的设立</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“1+N”重组架构模式的类型及要点</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国有资本投资、运营公司的组建</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党委在国有企业中的地位</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2、公益类与商业类企业的考核指标</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19"/>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公益类考核企业的关注点</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19"/>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商业类考核企业的关注点</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3、股权多元化及混合所有制改革在平台公司转型中的应用</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4、职能部门的设置</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19"/>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处理集团管控核心职责界面与子公司授权管理之间的关系</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19"/>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注意“因事设岗”与“因人设岗”的结合</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5、企业员工的薪资、绩效与激励方案</w:t>
      </w:r>
    </w:p>
    <w:p>
      <w:pPr>
        <w:spacing w:line="320" w:lineRule="exac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w:t>
      </w: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推行企业高管年薪制</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企业高管的激励方案与员工持股</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员工的薪酬体系制定的主要关注点</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4</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员工的绩效考核</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（九）公益性项目的投融资模式</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1、具有经营性的公益性项目</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PPP模式（侧重财政补贴）</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特许经营模式</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特许经营模式与PPP的区别</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4</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项目融资的要点及案例</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2、非经营性的公益性项目</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PPP模式（侧重政府付费）</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政府购买服务</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政府购买服务与PPP的区别</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4</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、ABO模式的探讨</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3、转型后平台参与公益性项目的模式</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平台公司开展公益类项目的政策性支持</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公益类项目的获取流程</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1）直接划拨资产</w:t>
      </w:r>
    </w:p>
    <w:p>
      <w:pPr>
        <w:spacing w:line="320" w:lineRule="exact"/>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2）直接授权经营</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经常性支出及资本性支出项目的代建及ABO模式</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4</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平台合规的融资代建模式</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5</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资源补偿模式的应用</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（十）产业新城及片区综合开发</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1、采用PPP模式</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资源补偿的合规性</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资源补偿的土地招拍挂问题</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投融资问题</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2、非PPP模式下平台公司的参与模式</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土地的问题</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房地产开发的资金平衡问题</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运用产业基金</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4</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如何实现产业资源的整合</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（十一）产业基金</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1、平台产业基金与政府引导基金的区别和联系</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政府引导基金的概念、限制与现状</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平台产业基金的性质</w:t>
      </w:r>
    </w:p>
    <w:p>
      <w:pPr>
        <w:spacing w:line="320" w:lineRule="exact"/>
        <w:ind w:firstLine="560" w:firstLineChars="20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两种基金对于地方经济的作用</w:t>
      </w:r>
    </w:p>
    <w:p>
      <w:pPr>
        <w:spacing w:line="320" w:lineRule="exact"/>
        <w:ind w:firstLine="700" w:firstLineChars="2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1）招商引资</w:t>
      </w:r>
    </w:p>
    <w:p>
      <w:pPr>
        <w:spacing w:line="320" w:lineRule="exact"/>
        <w:ind w:firstLine="700" w:firstLineChars="2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2）扶持当地企业</w:t>
      </w:r>
    </w:p>
    <w:p>
      <w:pPr>
        <w:spacing w:line="320" w:lineRule="exact"/>
        <w:ind w:firstLine="420" w:firstLineChars="1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2、产业基金的种类</w:t>
      </w:r>
    </w:p>
    <w:p>
      <w:pPr>
        <w:spacing w:line="320" w:lineRule="exact"/>
        <w:ind w:firstLine="420" w:firstLineChars="1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产业引导基金：针对地方经济和资本金</w:t>
      </w:r>
    </w:p>
    <w:p>
      <w:pPr>
        <w:spacing w:line="320" w:lineRule="exact"/>
        <w:ind w:firstLine="420" w:firstLineChars="1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产业投资基金：针对产业链</w:t>
      </w:r>
    </w:p>
    <w:p>
      <w:pPr>
        <w:spacing w:line="320" w:lineRule="exact"/>
        <w:ind w:firstLine="420" w:firstLineChars="1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风险投资基金：针对高增长企业</w:t>
      </w:r>
    </w:p>
    <w:p>
      <w:pPr>
        <w:spacing w:line="320" w:lineRule="exact"/>
        <w:ind w:firstLine="280" w:firstLineChars="1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3、基金合伙人的选择</w:t>
      </w:r>
    </w:p>
    <w:p>
      <w:pPr>
        <w:spacing w:line="320" w:lineRule="exact"/>
        <w:ind w:firstLine="420" w:firstLineChars="1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基金管理人的选择</w:t>
      </w:r>
    </w:p>
    <w:p>
      <w:pPr>
        <w:spacing w:line="320" w:lineRule="exact"/>
        <w:ind w:firstLine="420" w:firstLineChars="1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基金出资人的选择</w:t>
      </w:r>
    </w:p>
    <w:p>
      <w:pPr>
        <w:spacing w:line="320" w:lineRule="exact"/>
        <w:ind w:firstLine="420" w:firstLineChars="1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基金设立的保障性措施</w:t>
      </w:r>
    </w:p>
    <w:p>
      <w:pPr>
        <w:spacing w:line="320" w:lineRule="exact"/>
        <w:ind w:firstLine="280" w:firstLineChars="1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4、基金的合规性操作模式</w:t>
      </w:r>
    </w:p>
    <w:p>
      <w:pPr>
        <w:spacing w:line="320" w:lineRule="exact"/>
        <w:ind w:firstLine="420" w:firstLineChars="1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1</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股权投资的主导性特点</w:t>
      </w:r>
    </w:p>
    <w:p>
      <w:pPr>
        <w:spacing w:line="320" w:lineRule="exact"/>
        <w:ind w:firstLine="420" w:firstLineChars="1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2</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名股实债的合规性问题</w:t>
      </w:r>
    </w:p>
    <w:p>
      <w:pPr>
        <w:spacing w:line="320" w:lineRule="exact"/>
        <w:ind w:firstLine="420" w:firstLineChars="15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fldChar w:fldCharType="begin"/>
      </w:r>
      <w:r>
        <w:rPr>
          <w:rFonts w:ascii="仿宋_GB2312" w:hAnsi="Times New Roman" w:eastAsia="仿宋_GB2312" w:cs="Times New Roman"/>
          <w:kern w:val="0"/>
          <w:sz w:val="28"/>
          <w:szCs w:val="28"/>
        </w:rPr>
        <w:instrText xml:space="preserve"> </w:instrText>
      </w:r>
      <w:r>
        <w:rPr>
          <w:rFonts w:hint="eastAsia" w:ascii="仿宋_GB2312" w:hAnsi="Times New Roman" w:eastAsia="仿宋_GB2312" w:cs="Times New Roman"/>
          <w:kern w:val="0"/>
          <w:sz w:val="28"/>
          <w:szCs w:val="28"/>
        </w:rPr>
        <w:instrText xml:space="preserve">eq \o\ac(○,</w:instrText>
      </w:r>
      <w:r>
        <w:rPr>
          <w:rFonts w:hint="eastAsia" w:ascii="Times New Roman" w:hAnsi="Times New Roman" w:eastAsia="仿宋_GB2312" w:cs="Times New Roman"/>
          <w:kern w:val="0"/>
          <w:position w:val="3"/>
          <w:sz w:val="28"/>
          <w:szCs w:val="28"/>
        </w:rPr>
        <w:instrText xml:space="preserve">3</w:instrText>
      </w:r>
      <w:r>
        <w:rPr>
          <w:rFonts w:hint="eastAsia" w:ascii="仿宋_GB2312" w:hAnsi="Times New Roman" w:eastAsia="仿宋_GB2312" w:cs="Times New Roman"/>
          <w:kern w:val="0"/>
          <w:sz w:val="28"/>
          <w:szCs w:val="28"/>
        </w:rPr>
        <w:instrText xml:space="preserve">)</w:instrText>
      </w:r>
      <w:r>
        <w:rPr>
          <w:rFonts w:ascii="仿宋_GB2312" w:hAnsi="Times New Roman" w:eastAsia="仿宋_GB2312" w:cs="Times New Roman"/>
          <w:kern w:val="0"/>
          <w:sz w:val="28"/>
          <w:szCs w:val="28"/>
        </w:rPr>
        <w:fldChar w:fldCharType="end"/>
      </w:r>
      <w:r>
        <w:rPr>
          <w:rFonts w:hint="eastAsia" w:ascii="仿宋_GB2312" w:hAnsi="Times New Roman" w:eastAsia="仿宋_GB2312" w:cs="Times New Roman"/>
          <w:kern w:val="0"/>
          <w:sz w:val="28"/>
          <w:szCs w:val="28"/>
        </w:rPr>
        <w:t>对赌模式的应用</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二、参会人员</w:t>
      </w:r>
    </w:p>
    <w:p>
      <w:pPr>
        <w:spacing w:line="320" w:lineRule="exact"/>
        <w:ind w:left="455" w:leftChars="150" w:hanging="140" w:hangingChars="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政府：各地方政府部门（财政、发改、金融、建设、市政、水务、交通、环保、农业、产业园区等部门）相关负责人；</w:t>
      </w:r>
    </w:p>
    <w:p>
      <w:pPr>
        <w:spacing w:line="320" w:lineRule="exact"/>
        <w:ind w:left="455" w:leftChars="150" w:hanging="140" w:hangingChars="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企业：地方政府性融资平台公司（城投公司、投资公司、国有资产运营公司、国有资本经营中心、水利投资公司、交通投资公司）等；</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三、拟邀请专家</w:t>
      </w:r>
    </w:p>
    <w:p>
      <w:pPr>
        <w:spacing w:line="320" w:lineRule="exact"/>
        <w:ind w:left="455" w:leftChars="150" w:hanging="140" w:hangingChars="5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 xml:space="preserve">     培训班拟邀请国家发展改革委、财政部、国家开发银行等专家讲课，并安排交流研讨。</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四、时间及地点</w:t>
      </w:r>
    </w:p>
    <w:p>
      <w:pPr>
        <w:spacing w:line="32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2019年6月14日—6月17日（14日全天报到）青岛市</w:t>
      </w:r>
    </w:p>
    <w:p>
      <w:pPr>
        <w:spacing w:line="32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2019年6月20日—6月23日（20日全天报到）呼和浩特市</w:t>
      </w:r>
    </w:p>
    <w:p>
      <w:pPr>
        <w:spacing w:line="32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2019年7月12日—7月15日（12日全天报到）乌鲁木齐市</w:t>
      </w:r>
    </w:p>
    <w:p>
      <w:pPr>
        <w:spacing w:line="32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2019年7月26日—7月29日（26日全天报到）大连市</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五、收费标准</w:t>
      </w:r>
    </w:p>
    <w:p>
      <w:pPr>
        <w:spacing w:line="320" w:lineRule="exact"/>
        <w:ind w:left="315" w:leftChars="150"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2800元/人（含培训、资料、电子课件、场地、专家等)，食宿统一安排，费用自理。</w:t>
      </w:r>
    </w:p>
    <w:p>
      <w:pPr>
        <w:spacing w:line="320" w:lineRule="exact"/>
        <w:rPr>
          <w:rFonts w:ascii="仿宋_GB2312" w:hAnsi="Times New Roman" w:eastAsia="仿宋_GB2312" w:cs="Times New Roman"/>
          <w:b/>
          <w:kern w:val="0"/>
          <w:sz w:val="28"/>
          <w:szCs w:val="28"/>
        </w:rPr>
      </w:pPr>
      <w:r>
        <w:rPr>
          <w:rFonts w:hint="eastAsia" w:ascii="仿宋_GB2312" w:hAnsi="Times New Roman" w:eastAsia="仿宋_GB2312" w:cs="Times New Roman"/>
          <w:b/>
          <w:kern w:val="0"/>
          <w:sz w:val="28"/>
          <w:szCs w:val="28"/>
        </w:rPr>
        <w:t>六、联系方式</w:t>
      </w:r>
    </w:p>
    <w:p>
      <w:pPr>
        <w:spacing w:line="480" w:lineRule="exact"/>
        <w:ind w:right="473" w:rightChars="225"/>
        <w:jc w:val="left"/>
        <w:rPr>
          <w:rFonts w:hint="eastAsia" w:ascii="仿宋" w:hAnsi="仿宋" w:eastAsia="仿宋"/>
          <w:bCs/>
          <w:sz w:val="28"/>
          <w:szCs w:val="28"/>
        </w:rPr>
      </w:pPr>
      <w:r>
        <w:rPr>
          <w:rFonts w:hint="eastAsia" w:ascii="仿宋" w:hAnsi="仿宋" w:eastAsia="仿宋"/>
          <w:bCs/>
          <w:sz w:val="28"/>
          <w:szCs w:val="28"/>
        </w:rPr>
        <w:t>报名联系人：聂红军 主任 18211071700（微信）邮  箱：zqgphwz@126.com</w:t>
      </w:r>
    </w:p>
    <w:p>
      <w:pPr>
        <w:spacing w:line="480" w:lineRule="exact"/>
        <w:ind w:right="473" w:rightChars="225"/>
        <w:jc w:val="left"/>
        <w:rPr>
          <w:rFonts w:hint="eastAsia" w:ascii="仿宋" w:hAnsi="仿宋" w:eastAsia="仿宋"/>
          <w:bCs/>
          <w:sz w:val="28"/>
          <w:szCs w:val="28"/>
        </w:rPr>
      </w:pPr>
      <w:r>
        <w:rPr>
          <w:rFonts w:hint="eastAsia" w:ascii="仿宋" w:hAnsi="仿宋" w:eastAsia="仿宋"/>
          <w:bCs/>
          <w:sz w:val="28"/>
          <w:szCs w:val="28"/>
        </w:rPr>
        <w:t xml:space="preserve">电话（传真）：010-87697580              qq咨询：3177524020   </w:t>
      </w:r>
    </w:p>
    <w:p>
      <w:pPr>
        <w:spacing w:line="480" w:lineRule="exact"/>
        <w:ind w:right="473" w:rightChars="225"/>
        <w:jc w:val="left"/>
        <w:rPr>
          <w:rFonts w:ascii="仿宋_GB2312" w:hAnsi="仿宋_GB2312" w:eastAsia="仿宋_GB2312" w:cs="仿宋_GB2312"/>
          <w:bCs/>
          <w:sz w:val="28"/>
          <w:szCs w:val="28"/>
        </w:rPr>
      </w:pPr>
      <w:r>
        <w:rPr>
          <w:rFonts w:hint="eastAsia" w:ascii="仿宋" w:hAnsi="仿宋" w:eastAsia="仿宋"/>
          <w:bCs/>
          <w:sz w:val="28"/>
          <w:szCs w:val="28"/>
        </w:rPr>
        <w:t xml:space="preserve"> </w:t>
      </w:r>
      <w:r>
        <w:rPr>
          <w:rFonts w:hint="eastAsia" w:ascii="仿宋_GB2312" w:hAnsi="仿宋_GB2312" w:eastAsia="仿宋_GB2312" w:cs="仿宋_GB2312"/>
          <w:bCs/>
          <w:sz w:val="28"/>
          <w:szCs w:val="28"/>
        </w:rPr>
        <w:t>附件：</w:t>
      </w:r>
    </w:p>
    <w:p>
      <w:pPr>
        <w:spacing w:line="480" w:lineRule="exact"/>
        <w:ind w:right="473" w:rightChars="225"/>
        <w:jc w:val="center"/>
        <w:rPr>
          <w:rFonts w:ascii="仿宋" w:hAnsi="仿宋" w:eastAsia="仿宋" w:cs="仿宋"/>
          <w:b/>
          <w:bCs/>
          <w:sz w:val="28"/>
          <w:szCs w:val="28"/>
        </w:rPr>
      </w:pPr>
      <w:r>
        <w:rPr>
          <w:rFonts w:hint="eastAsia" w:ascii="仿宋_GB2312" w:hAnsi="仿宋_GB2312" w:eastAsia="仿宋_GB2312" w:cs="仿宋_GB2312"/>
          <w:bCs/>
          <w:sz w:val="28"/>
          <w:szCs w:val="28"/>
        </w:rPr>
        <w:t>地方政府债务处置与投融资模式的重构及平台公司市场化转型发展的模式与实践高级培训班报名回执表</w:t>
      </w:r>
    </w:p>
    <w:tbl>
      <w:tblPr>
        <w:tblStyle w:val="8"/>
        <w:tblpPr w:leftFromText="180" w:rightFromText="180" w:vertAnchor="text" w:horzAnchor="margin" w:tblpX="101" w:tblpY="282"/>
        <w:tblOverlap w:val="never"/>
        <w:tblW w:w="9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915"/>
        <w:gridCol w:w="11"/>
        <w:gridCol w:w="1001"/>
        <w:gridCol w:w="12"/>
        <w:gridCol w:w="844"/>
        <w:gridCol w:w="659"/>
        <w:gridCol w:w="376"/>
        <w:gridCol w:w="897"/>
        <w:gridCol w:w="626"/>
        <w:gridCol w:w="1182"/>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单位名称</w:t>
            </w:r>
          </w:p>
        </w:tc>
        <w:tc>
          <w:tcPr>
            <w:tcW w:w="5341" w:type="dxa"/>
            <w:gridSpan w:val="9"/>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0" w:name="Text2"/>
            <w:r>
              <w:fldChar w:fldCharType="begin">
                <w:ffData>
                  <w:name w:val="文字1"/>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0"/>
          </w:p>
        </w:tc>
        <w:tc>
          <w:tcPr>
            <w:tcW w:w="118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邮编</w:t>
            </w:r>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 w:name="Text1"/>
            <w:r>
              <w:fldChar w:fldCharType="begin">
                <w:ffData>
                  <w:name w:val="文字2"/>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4"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通讯地址</w:t>
            </w:r>
          </w:p>
        </w:tc>
        <w:tc>
          <w:tcPr>
            <w:tcW w:w="8289" w:type="dxa"/>
            <w:gridSpan w:val="11"/>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 w:name="Text3"/>
            <w:r>
              <w:fldChar w:fldCharType="begin">
                <w:ffData>
                  <w:name w:val="文字3"/>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9"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审批人</w:t>
            </w:r>
          </w:p>
        </w:tc>
        <w:tc>
          <w:tcPr>
            <w:tcW w:w="91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3" w:name="Text4"/>
            <w:r>
              <w:fldChar w:fldCharType="begin">
                <w:ffData>
                  <w:name w:val="文字4"/>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3"/>
          </w:p>
        </w:tc>
        <w:tc>
          <w:tcPr>
            <w:tcW w:w="101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职务</w:t>
            </w:r>
          </w:p>
        </w:tc>
        <w:tc>
          <w:tcPr>
            <w:tcW w:w="856" w:type="dxa"/>
            <w:gridSpan w:val="2"/>
            <w:tcBorders>
              <w:top w:val="single" w:color="auto" w:sz="4" w:space="0"/>
              <w:left w:val="single" w:color="auto" w:sz="4" w:space="0"/>
              <w:bottom w:val="single" w:color="auto" w:sz="4" w:space="0"/>
              <w:right w:val="single" w:color="auto" w:sz="4" w:space="0"/>
            </w:tcBorders>
            <w:vAlign w:val="center"/>
          </w:tcPr>
          <w:p>
            <w:pPr>
              <w:tabs>
                <w:tab w:val="left" w:pos="266"/>
                <w:tab w:val="center" w:pos="450"/>
              </w:tabs>
              <w:spacing w:line="340" w:lineRule="exact"/>
              <w:jc w:val="left"/>
              <w:rPr>
                <w:rFonts w:ascii="仿宋" w:hAnsi="仿宋" w:eastAsia="仿宋"/>
                <w:bCs/>
                <w:sz w:val="28"/>
                <w:szCs w:val="28"/>
              </w:rPr>
            </w:pPr>
            <w:bookmarkStart w:id="4" w:name="Text5"/>
            <w:r>
              <w:fldChar w:fldCharType="begin">
                <w:ffData>
                  <w:name w:val="文字5"/>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4"/>
          </w:p>
        </w:tc>
        <w:tc>
          <w:tcPr>
            <w:tcW w:w="1035"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电话</w:t>
            </w:r>
          </w:p>
        </w:tc>
        <w:tc>
          <w:tcPr>
            <w:tcW w:w="152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5" w:name="Text6"/>
            <w:r>
              <w:fldChar w:fldCharType="begin">
                <w:ffData>
                  <w:name w:val="文字6"/>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5"/>
          </w:p>
        </w:tc>
        <w:tc>
          <w:tcPr>
            <w:tcW w:w="118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手机</w:t>
            </w:r>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6" w:name="Text7"/>
            <w:r>
              <w:fldChar w:fldCharType="begin">
                <w:ffData>
                  <w:name w:val="文字7"/>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联系人</w:t>
            </w:r>
          </w:p>
        </w:tc>
        <w:tc>
          <w:tcPr>
            <w:tcW w:w="91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7" w:name="Text11"/>
            <w:r>
              <w:fldChar w:fldCharType="begin">
                <w:ffData>
                  <w:name w:val="文字8"/>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7"/>
          </w:p>
        </w:tc>
        <w:tc>
          <w:tcPr>
            <w:tcW w:w="1012"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部门</w:t>
            </w:r>
          </w:p>
        </w:tc>
        <w:tc>
          <w:tcPr>
            <w:tcW w:w="85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bCs/>
                <w:sz w:val="28"/>
                <w:szCs w:val="28"/>
              </w:rPr>
            </w:pPr>
            <w:bookmarkStart w:id="8" w:name="Text10"/>
            <w:r>
              <w:fldChar w:fldCharType="begin">
                <w:ffData>
                  <w:name w:val="文字9"/>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8"/>
          </w:p>
        </w:tc>
        <w:tc>
          <w:tcPr>
            <w:tcW w:w="10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 w:val="28"/>
                <w:szCs w:val="28"/>
              </w:rPr>
            </w:pPr>
            <w:r>
              <w:rPr>
                <w:rFonts w:hint="eastAsia" w:ascii="仿宋" w:hAnsi="仿宋" w:eastAsia="仿宋"/>
                <w:bCs/>
                <w:sz w:val="28"/>
                <w:szCs w:val="28"/>
              </w:rPr>
              <w:t>职务</w:t>
            </w:r>
          </w:p>
        </w:tc>
        <w:tc>
          <w:tcPr>
            <w:tcW w:w="152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9" w:name="Text9"/>
            <w:r>
              <w:fldChar w:fldCharType="begin">
                <w:ffData>
                  <w:name w:val="文字10"/>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9"/>
          </w:p>
        </w:tc>
        <w:tc>
          <w:tcPr>
            <w:tcW w:w="118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手机</w:t>
            </w:r>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0" w:name="Text8"/>
            <w:r>
              <w:fldChar w:fldCharType="begin">
                <w:ffData>
                  <w:name w:val="文字11"/>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电话</w:t>
            </w:r>
          </w:p>
        </w:tc>
        <w:tc>
          <w:tcPr>
            <w:tcW w:w="2783" w:type="dxa"/>
            <w:gridSpan w:val="5"/>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1" w:name="Text12"/>
            <w:r>
              <w:fldChar w:fldCharType="begin">
                <w:ffData>
                  <w:name w:val="文字12"/>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1"/>
          </w:p>
        </w:tc>
        <w:tc>
          <w:tcPr>
            <w:tcW w:w="1035" w:type="dxa"/>
            <w:gridSpan w:val="2"/>
            <w:tcBorders>
              <w:top w:val="nil"/>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传真</w:t>
            </w:r>
          </w:p>
        </w:tc>
        <w:tc>
          <w:tcPr>
            <w:tcW w:w="1523" w:type="dxa"/>
            <w:gridSpan w:val="2"/>
            <w:tcBorders>
              <w:top w:val="nil"/>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2" w:name="Text13"/>
            <w:r>
              <w:fldChar w:fldCharType="begin">
                <w:ffData>
                  <w:name w:val="文字13"/>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2"/>
          </w:p>
        </w:tc>
        <w:tc>
          <w:tcPr>
            <w:tcW w:w="1182"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r>
              <w:rPr>
                <w:rFonts w:hint="eastAsia" w:ascii="仿宋" w:hAnsi="仿宋" w:eastAsia="仿宋"/>
                <w:bCs/>
                <w:sz w:val="28"/>
                <w:szCs w:val="28"/>
              </w:rPr>
              <w:t>E-mail</w:t>
            </w:r>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3" w:name="Text14"/>
            <w:r>
              <w:fldChar w:fldCharType="begin">
                <w:ffData>
                  <w:name w:val="文字14"/>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姓名</w:t>
            </w:r>
          </w:p>
        </w:tc>
        <w:tc>
          <w:tcPr>
            <w:tcW w:w="92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性别</w:t>
            </w:r>
          </w:p>
        </w:tc>
        <w:tc>
          <w:tcPr>
            <w:tcW w:w="101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部门</w:t>
            </w:r>
          </w:p>
        </w:tc>
        <w:tc>
          <w:tcPr>
            <w:tcW w:w="84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职务</w:t>
            </w:r>
          </w:p>
        </w:tc>
        <w:tc>
          <w:tcPr>
            <w:tcW w:w="193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电话</w:t>
            </w:r>
          </w:p>
        </w:tc>
        <w:tc>
          <w:tcPr>
            <w:tcW w:w="1808"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手机</w:t>
            </w:r>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color w:val="000000"/>
                <w:sz w:val="28"/>
                <w:szCs w:val="28"/>
              </w:rPr>
            </w:pPr>
            <w:r>
              <w:rPr>
                <w:rFonts w:hint="eastAsia" w:ascii="仿宋" w:hAnsi="仿宋" w:eastAsia="仿宋"/>
                <w:bCs/>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4" w:name="Text63"/>
            <w:r>
              <w:fldChar w:fldCharType="begin">
                <w:ffData>
                  <w:name w:val="文字15"/>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4"/>
          </w:p>
        </w:tc>
        <w:tc>
          <w:tcPr>
            <w:tcW w:w="92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5" w:name="Text55"/>
            <w:r>
              <w:fldChar w:fldCharType="begin">
                <w:ffData>
                  <w:name w:val="文字16"/>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5"/>
          </w:p>
        </w:tc>
        <w:tc>
          <w:tcPr>
            <w:tcW w:w="101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6" w:name="Text54"/>
            <w:r>
              <w:fldChar w:fldCharType="begin">
                <w:ffData>
                  <w:name w:val="文字17"/>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6"/>
          </w:p>
        </w:tc>
        <w:tc>
          <w:tcPr>
            <w:tcW w:w="84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7" w:name="Text39"/>
            <w:r>
              <w:fldChar w:fldCharType="begin">
                <w:ffData>
                  <w:name w:val="文字18"/>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7"/>
          </w:p>
        </w:tc>
        <w:tc>
          <w:tcPr>
            <w:tcW w:w="193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8" w:name="Text31"/>
            <w:r>
              <w:fldChar w:fldCharType="begin">
                <w:ffData>
                  <w:name w:val="文字19"/>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8"/>
          </w:p>
        </w:tc>
        <w:tc>
          <w:tcPr>
            <w:tcW w:w="1808"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19" w:name="Text30"/>
            <w:r>
              <w:fldChar w:fldCharType="begin">
                <w:ffData>
                  <w:name w:val="文字20"/>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19"/>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0" w:name="Text15"/>
            <w:r>
              <w:fldChar w:fldCharType="begin">
                <w:ffData>
                  <w:name w:val="文字21"/>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1" w:name="Text64"/>
            <w:r>
              <w:fldChar w:fldCharType="begin">
                <w:ffData>
                  <w:name w:val="文字22"/>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1"/>
          </w:p>
        </w:tc>
        <w:tc>
          <w:tcPr>
            <w:tcW w:w="92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2" w:name="Text56"/>
            <w:r>
              <w:fldChar w:fldCharType="begin">
                <w:ffData>
                  <w:name w:val="文字23"/>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2"/>
          </w:p>
        </w:tc>
        <w:tc>
          <w:tcPr>
            <w:tcW w:w="101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3" w:name="Text53"/>
            <w:r>
              <w:fldChar w:fldCharType="begin">
                <w:ffData>
                  <w:name w:val="文字24"/>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3"/>
          </w:p>
        </w:tc>
        <w:tc>
          <w:tcPr>
            <w:tcW w:w="84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4" w:name="Text40"/>
            <w:r>
              <w:fldChar w:fldCharType="begin">
                <w:ffData>
                  <w:name w:val="文字25"/>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4"/>
          </w:p>
        </w:tc>
        <w:tc>
          <w:tcPr>
            <w:tcW w:w="193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5" w:name="Text32"/>
            <w:r>
              <w:fldChar w:fldCharType="begin">
                <w:ffData>
                  <w:name w:val="文字26"/>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5"/>
          </w:p>
        </w:tc>
        <w:tc>
          <w:tcPr>
            <w:tcW w:w="1808"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6" w:name="Text29"/>
            <w:r>
              <w:fldChar w:fldCharType="begin">
                <w:ffData>
                  <w:name w:val="文字27"/>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6"/>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7" w:name="Text16"/>
            <w:r>
              <w:fldChar w:fldCharType="begin">
                <w:ffData>
                  <w:name w:val="文字28"/>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8" w:name="Text67"/>
            <w:r>
              <w:fldChar w:fldCharType="begin">
                <w:ffData>
                  <w:name w:val="文字29"/>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8"/>
          </w:p>
        </w:tc>
        <w:tc>
          <w:tcPr>
            <w:tcW w:w="92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29" w:name="Text59"/>
            <w:r>
              <w:fldChar w:fldCharType="begin">
                <w:ffData>
                  <w:name w:val="文字30"/>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29"/>
          </w:p>
        </w:tc>
        <w:tc>
          <w:tcPr>
            <w:tcW w:w="101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30" w:name="Text50"/>
            <w:r>
              <w:fldChar w:fldCharType="begin">
                <w:ffData>
                  <w:name w:val="文字31"/>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30"/>
          </w:p>
        </w:tc>
        <w:tc>
          <w:tcPr>
            <w:tcW w:w="84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31" w:name="Text43"/>
            <w:r>
              <w:fldChar w:fldCharType="begin">
                <w:ffData>
                  <w:name w:val="文字32"/>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31"/>
          </w:p>
        </w:tc>
        <w:tc>
          <w:tcPr>
            <w:tcW w:w="193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32" w:name="Text35"/>
            <w:r>
              <w:fldChar w:fldCharType="begin">
                <w:ffData>
                  <w:name w:val="文字33"/>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32"/>
          </w:p>
        </w:tc>
        <w:tc>
          <w:tcPr>
            <w:tcW w:w="1808"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33" w:name="Text26"/>
            <w:r>
              <w:fldChar w:fldCharType="begin">
                <w:ffData>
                  <w:name w:val="文字34"/>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33"/>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bookmarkStart w:id="34" w:name="Text19"/>
            <w:r>
              <w:fldChar w:fldCharType="begin">
                <w:ffData>
                  <w:name w:val="文字35"/>
                  <w:enabled/>
                  <w:calcOnExit w:val="0"/>
                  <w:textInput/>
                </w:ffData>
              </w:fldChar>
            </w:r>
            <w:r>
              <w:rPr>
                <w:rFonts w:hint="eastAsia" w:ascii="仿宋" w:hAnsi="仿宋" w:eastAsia="仿宋"/>
                <w:bCs/>
                <w:sz w:val="28"/>
                <w:szCs w:val="28"/>
              </w:rPr>
              <w:instrText xml:space="preserve">FORMTEXT</w:instrText>
            </w:r>
            <w:r>
              <w:fldChar w:fldCharType="separate"/>
            </w:r>
            <w:r>
              <w:fldChar w:fldCharType="end"/>
            </w:r>
            <w:bookmarkEnd w:id="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92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101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193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1808"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92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101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193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1808"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c>
          <w:tcPr>
            <w:tcW w:w="176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参会地点</w:t>
            </w:r>
          </w:p>
        </w:tc>
        <w:tc>
          <w:tcPr>
            <w:tcW w:w="8289" w:type="dxa"/>
            <w:gridSpan w:val="11"/>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r>
              <w:rPr>
                <w:rFonts w:hint="eastAsia" w:ascii="仿宋" w:hAnsi="仿宋" w:eastAsia="仿宋"/>
                <w:bCs/>
                <w:sz w:val="28"/>
                <w:szCs w:val="28"/>
              </w:rPr>
              <w:t>青岛□  呼和浩特□  乌鲁木齐□  大连□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4" w:hRule="atLeast"/>
        </w:trPr>
        <w:tc>
          <w:tcPr>
            <w:tcW w:w="1435" w:type="dxa"/>
            <w:tcBorders>
              <w:top w:val="single" w:color="auto" w:sz="4" w:space="0"/>
              <w:left w:val="single" w:color="auto" w:sz="4" w:space="0"/>
              <w:bottom w:val="single" w:color="auto" w:sz="4" w:space="0"/>
              <w:right w:val="single" w:color="auto" w:sz="4" w:space="0"/>
            </w:tcBorders>
            <w:vAlign w:val="center"/>
          </w:tcPr>
          <w:p>
            <w:pPr>
              <w:ind w:right="-107" w:rightChars="-51"/>
              <w:rPr>
                <w:rFonts w:ascii="仿宋" w:hAnsi="仿宋" w:eastAsia="仿宋"/>
                <w:bCs/>
                <w:sz w:val="28"/>
                <w:szCs w:val="28"/>
              </w:rPr>
            </w:pPr>
            <w:r>
              <w:rPr>
                <w:rFonts w:hint="eastAsia" w:ascii="仿宋" w:hAnsi="仿宋" w:eastAsia="仿宋"/>
                <w:bCs/>
                <w:sz w:val="28"/>
                <w:szCs w:val="28"/>
              </w:rPr>
              <w:t>是否住宿</w:t>
            </w:r>
          </w:p>
        </w:tc>
        <w:tc>
          <w:tcPr>
            <w:tcW w:w="1939"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bCs/>
                <w:sz w:val="28"/>
                <w:szCs w:val="28"/>
              </w:rPr>
            </w:pPr>
            <w:r>
              <w:rPr>
                <w:rFonts w:hint="eastAsia" w:ascii="仿宋" w:hAnsi="仿宋" w:eastAsia="仿宋"/>
                <w:bCs/>
                <w:sz w:val="28"/>
                <w:szCs w:val="28"/>
              </w:rPr>
              <w:t>是口否口</w:t>
            </w:r>
          </w:p>
        </w:tc>
        <w:tc>
          <w:tcPr>
            <w:tcW w:w="1503" w:type="dxa"/>
            <w:gridSpan w:val="2"/>
            <w:tcBorders>
              <w:top w:val="single" w:color="auto" w:sz="4" w:space="0"/>
              <w:left w:val="single" w:color="auto" w:sz="4" w:space="0"/>
              <w:bottom w:val="single" w:color="auto" w:sz="4" w:space="0"/>
              <w:right w:val="single" w:color="auto" w:sz="4" w:space="0"/>
            </w:tcBorders>
            <w:vAlign w:val="center"/>
          </w:tcPr>
          <w:p>
            <w:pPr>
              <w:ind w:firstLine="140" w:firstLineChars="50"/>
              <w:rPr>
                <w:rFonts w:ascii="仿宋" w:hAnsi="仿宋" w:eastAsia="仿宋"/>
                <w:bCs/>
                <w:sz w:val="28"/>
                <w:szCs w:val="28"/>
              </w:rPr>
            </w:pPr>
            <w:r>
              <w:rPr>
                <w:rFonts w:hint="eastAsia" w:ascii="仿宋" w:hAnsi="仿宋" w:eastAsia="仿宋"/>
                <w:bCs/>
                <w:sz w:val="28"/>
                <w:szCs w:val="28"/>
              </w:rPr>
              <w:t>住宿要求</w:t>
            </w:r>
          </w:p>
        </w:tc>
        <w:tc>
          <w:tcPr>
            <w:tcW w:w="4847"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bCs/>
                <w:sz w:val="28"/>
                <w:szCs w:val="28"/>
              </w:rPr>
            </w:pPr>
            <w:r>
              <w:rPr>
                <w:rFonts w:hint="eastAsia" w:ascii="仿宋" w:hAnsi="仿宋" w:eastAsia="仿宋"/>
                <w:bCs/>
                <w:sz w:val="28"/>
                <w:szCs w:val="28"/>
              </w:rPr>
              <w:t>单住口（需另补床位费）合住口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7"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bCs/>
                <w:sz w:val="28"/>
                <w:szCs w:val="28"/>
              </w:rPr>
            </w:pPr>
            <w:r>
              <w:rPr>
                <w:rFonts w:hint="eastAsia" w:ascii="仿宋" w:hAnsi="仿宋" w:eastAsia="仿宋"/>
                <w:bCs/>
                <w:sz w:val="28"/>
                <w:szCs w:val="28"/>
              </w:rPr>
              <w:t>指定收款账户</w:t>
            </w:r>
          </w:p>
        </w:tc>
        <w:tc>
          <w:tcPr>
            <w:tcW w:w="8289" w:type="dxa"/>
            <w:gridSpan w:val="11"/>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_GB2312" w:hAnsi="仿宋_GB2312" w:eastAsia="仿宋_GB2312"/>
                <w:spacing w:val="-10"/>
                <w:sz w:val="28"/>
                <w:szCs w:val="28"/>
              </w:rPr>
            </w:pPr>
            <w:r>
              <w:rPr>
                <w:rFonts w:hint="eastAsia" w:ascii="仿宋_GB2312" w:hAnsi="仿宋_GB2312" w:eastAsia="仿宋_GB2312"/>
                <w:spacing w:val="-10"/>
                <w:sz w:val="28"/>
                <w:szCs w:val="28"/>
              </w:rPr>
              <w:t xml:space="preserve">单位全称: 北京中企海德信息咨询中心 </w:t>
            </w:r>
          </w:p>
          <w:p>
            <w:pPr>
              <w:spacing w:line="340" w:lineRule="exact"/>
              <w:rPr>
                <w:rFonts w:ascii="仿宋_GB2312" w:hAnsi="仿宋_GB2312" w:eastAsia="仿宋_GB2312"/>
                <w:spacing w:val="-10"/>
                <w:sz w:val="28"/>
                <w:szCs w:val="28"/>
              </w:rPr>
            </w:pPr>
            <w:r>
              <w:rPr>
                <w:rFonts w:hint="eastAsia" w:ascii="仿宋_GB2312" w:hAnsi="仿宋_GB2312" w:eastAsia="仿宋_GB2312"/>
                <w:spacing w:val="-10"/>
                <w:sz w:val="28"/>
                <w:szCs w:val="28"/>
              </w:rPr>
              <w:t xml:space="preserve">开户行：建行北京恩济支行营业部 </w:t>
            </w:r>
          </w:p>
          <w:p>
            <w:pPr>
              <w:spacing w:line="340" w:lineRule="exact"/>
              <w:rPr>
                <w:rFonts w:ascii="仿宋_GB2312" w:hAnsi="仿宋_GB2312" w:eastAsia="仿宋_GB2312"/>
                <w:spacing w:val="-10"/>
                <w:sz w:val="28"/>
                <w:szCs w:val="28"/>
              </w:rPr>
            </w:pPr>
            <w:r>
              <w:rPr>
                <w:rFonts w:hint="eastAsia" w:ascii="仿宋_GB2312" w:hAnsi="仿宋_GB2312" w:eastAsia="仿宋_GB2312"/>
                <w:spacing w:val="-10"/>
                <w:sz w:val="28"/>
                <w:szCs w:val="28"/>
              </w:rPr>
              <w:t xml:space="preserve">帐户： 11050164520000000324 </w:t>
            </w:r>
          </w:p>
          <w:p>
            <w:pPr>
              <w:spacing w:line="340" w:lineRule="exact"/>
              <w:rPr>
                <w:rFonts w:ascii="仿宋" w:hAnsi="仿宋" w:eastAsia="仿宋"/>
                <w:b/>
                <w:bCs/>
                <w:sz w:val="28"/>
                <w:szCs w:val="28"/>
              </w:rPr>
            </w:pPr>
            <w:r>
              <w:rPr>
                <w:rFonts w:hint="eastAsia" w:ascii="仿宋_GB2312" w:hAnsi="仿宋_GB2312" w:eastAsia="仿宋_GB2312"/>
                <w:spacing w:val="-10"/>
                <w:sz w:val="28"/>
                <w:szCs w:val="28"/>
              </w:rPr>
              <w:t>行号:  105100006056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00" w:hRule="atLeast"/>
        </w:trPr>
        <w:tc>
          <w:tcPr>
            <w:tcW w:w="143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bCs/>
                <w:sz w:val="28"/>
                <w:szCs w:val="28"/>
              </w:rPr>
            </w:pPr>
            <w:r>
              <w:rPr>
                <w:rFonts w:hint="eastAsia" w:ascii="仿宋" w:hAnsi="仿宋" w:eastAsia="仿宋"/>
                <w:bCs/>
                <w:sz w:val="28"/>
                <w:szCs w:val="28"/>
              </w:rPr>
              <w:t>备注</w:t>
            </w:r>
          </w:p>
        </w:tc>
        <w:tc>
          <w:tcPr>
            <w:tcW w:w="4715" w:type="dxa"/>
            <w:gridSpan w:val="8"/>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bCs/>
                <w:sz w:val="28"/>
                <w:szCs w:val="28"/>
              </w:rPr>
            </w:pPr>
            <w:r>
              <w:rPr>
                <w:rFonts w:hint="eastAsia" w:ascii="仿宋" w:hAnsi="仿宋" w:eastAsia="仿宋"/>
                <w:bCs/>
                <w:sz w:val="28"/>
                <w:szCs w:val="28"/>
              </w:rPr>
              <w:t>请参培单位将报名回执表通过传真或E-mail发至会务组。在报名后3日内将培训费通过银行或邮局等方式汇出，会务组确认到款后即发《报到通知》，详告报到时间、报到地点、食宿等具体安排。</w:t>
            </w:r>
          </w:p>
        </w:tc>
        <w:tc>
          <w:tcPr>
            <w:tcW w:w="3574" w:type="dxa"/>
            <w:gridSpan w:val="3"/>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bCs/>
                <w:sz w:val="28"/>
                <w:szCs w:val="28"/>
              </w:rPr>
            </w:pPr>
          </w:p>
          <w:p>
            <w:pPr>
              <w:spacing w:line="340" w:lineRule="exact"/>
              <w:rPr>
                <w:rFonts w:ascii="仿宋" w:hAnsi="仿宋" w:eastAsia="仿宋"/>
                <w:bCs/>
                <w:sz w:val="28"/>
                <w:szCs w:val="28"/>
              </w:rPr>
            </w:pPr>
          </w:p>
          <w:p>
            <w:pPr>
              <w:spacing w:line="340" w:lineRule="exact"/>
              <w:ind w:firstLine="980" w:firstLineChars="350"/>
              <w:rPr>
                <w:rFonts w:ascii="仿宋" w:hAnsi="仿宋" w:eastAsia="仿宋"/>
                <w:bCs/>
                <w:sz w:val="28"/>
                <w:szCs w:val="28"/>
              </w:rPr>
            </w:pPr>
            <w:r>
              <w:rPr>
                <w:rFonts w:hint="eastAsia" w:ascii="仿宋" w:hAnsi="仿宋" w:eastAsia="仿宋"/>
                <w:bCs/>
                <w:sz w:val="28"/>
                <w:szCs w:val="28"/>
              </w:rPr>
              <w:t>单位印章</w:t>
            </w:r>
          </w:p>
          <w:p>
            <w:pPr>
              <w:spacing w:line="340" w:lineRule="exact"/>
              <w:ind w:firstLine="840" w:firstLineChars="300"/>
              <w:rPr>
                <w:rFonts w:ascii="仿宋" w:hAnsi="仿宋" w:eastAsia="仿宋"/>
                <w:bCs/>
                <w:sz w:val="28"/>
                <w:szCs w:val="28"/>
              </w:rPr>
            </w:pPr>
          </w:p>
          <w:p>
            <w:pPr>
              <w:spacing w:line="340" w:lineRule="exact"/>
              <w:ind w:firstLine="1120" w:firstLineChars="400"/>
              <w:rPr>
                <w:rFonts w:ascii="仿宋" w:hAnsi="仿宋" w:eastAsia="仿宋"/>
                <w:bCs/>
                <w:sz w:val="28"/>
                <w:szCs w:val="28"/>
              </w:rPr>
            </w:pPr>
            <w:r>
              <w:rPr>
                <w:rFonts w:hint="eastAsia" w:ascii="仿宋" w:hAnsi="仿宋" w:eastAsia="仿宋"/>
                <w:bCs/>
                <w:sz w:val="28"/>
                <w:szCs w:val="28"/>
              </w:rPr>
              <w:t>年  月 日</w:t>
            </w:r>
          </w:p>
        </w:tc>
      </w:tr>
    </w:tbl>
    <w:p>
      <w:pPr>
        <w:spacing w:line="400" w:lineRule="exact"/>
        <w:ind w:firstLine="138" w:firstLineChars="49"/>
        <w:rPr>
          <w:rFonts w:ascii="仿宋" w:hAnsi="仿宋" w:eastAsia="仿宋" w:cs="Times New Roman"/>
          <w:bCs/>
          <w:sz w:val="28"/>
          <w:szCs w:val="28"/>
        </w:rPr>
      </w:pPr>
      <w:r>
        <w:rPr>
          <w:rFonts w:hint="eastAsia" w:ascii="宋体" w:hAnsi="宋体"/>
          <w:b/>
          <w:bCs/>
          <w:sz w:val="28"/>
          <w:szCs w:val="28"/>
        </w:rPr>
        <w:t>注：</w:t>
      </w:r>
      <w:r>
        <w:rPr>
          <w:rFonts w:hint="eastAsia" w:ascii="仿宋" w:hAnsi="仿宋" w:eastAsia="仿宋"/>
          <w:bCs/>
          <w:sz w:val="28"/>
          <w:szCs w:val="28"/>
        </w:rPr>
        <w:t>1、此表可复制，通知文件有限，请协助转发；</w:t>
      </w:r>
    </w:p>
    <w:p>
      <w:pPr>
        <w:spacing w:line="400" w:lineRule="exact"/>
        <w:rPr>
          <w:rFonts w:ascii="仿宋" w:hAnsi="仿宋" w:eastAsia="仿宋"/>
          <w:bCs/>
          <w:sz w:val="28"/>
          <w:szCs w:val="28"/>
        </w:rPr>
      </w:pPr>
      <w:r>
        <w:rPr>
          <w:rFonts w:hint="eastAsia" w:ascii="仿宋" w:hAnsi="仿宋" w:eastAsia="仿宋"/>
          <w:bCs/>
          <w:sz w:val="28"/>
          <w:szCs w:val="28"/>
        </w:rPr>
        <w:t xml:space="preserve">     2、欢迎参会代表携带相关资料、案例赴会与专家交流学习</w:t>
      </w:r>
    </w:p>
    <w:p>
      <w:pPr>
        <w:spacing w:line="400" w:lineRule="exact"/>
        <w:rPr>
          <w:rFonts w:ascii="仿宋" w:hAnsi="仿宋" w:eastAsia="仿宋"/>
          <w:bCs/>
          <w:sz w:val="28"/>
          <w:szCs w:val="28"/>
        </w:rPr>
      </w:pPr>
      <w:r>
        <w:rPr>
          <w:rFonts w:hint="eastAsia" w:ascii="仿宋" w:hAnsi="仿宋" w:eastAsia="仿宋"/>
          <w:bCs/>
          <w:sz w:val="28"/>
          <w:szCs w:val="28"/>
        </w:rPr>
        <w:t xml:space="preserve">     3、为保证培训质量培训班名额有限，额满为止，请确定人员后及时报名。</w:t>
      </w:r>
    </w:p>
    <w:p>
      <w:pPr>
        <w:spacing w:line="400" w:lineRule="exact"/>
        <w:rPr>
          <w:rFonts w:hint="eastAsia" w:ascii="仿宋" w:hAnsi="仿宋" w:eastAsia="仿宋"/>
          <w:bCs/>
          <w:sz w:val="28"/>
          <w:szCs w:val="28"/>
        </w:rPr>
      </w:pPr>
      <w:r>
        <w:rPr>
          <w:rFonts w:hint="eastAsia" w:ascii="仿宋" w:hAnsi="仿宋" w:eastAsia="仿宋"/>
          <w:bCs/>
          <w:sz w:val="28"/>
          <w:szCs w:val="28"/>
        </w:rPr>
        <w:t>报名联系人：聂红军 主任 18211071700（微信）  邮  箱：zqgphwz@126.com</w:t>
      </w:r>
    </w:p>
    <w:p>
      <w:pPr>
        <w:spacing w:line="400" w:lineRule="exact"/>
        <w:rPr>
          <w:rFonts w:hint="eastAsia" w:ascii="仿宋" w:hAnsi="仿宋" w:eastAsia="仿宋"/>
          <w:bCs/>
          <w:sz w:val="28"/>
          <w:szCs w:val="28"/>
        </w:rPr>
      </w:pPr>
      <w:r>
        <w:rPr>
          <w:rFonts w:hint="eastAsia" w:ascii="仿宋" w:hAnsi="仿宋" w:eastAsia="仿宋"/>
          <w:bCs/>
          <w:sz w:val="28"/>
          <w:szCs w:val="28"/>
        </w:rPr>
        <w:t xml:space="preserve">电话（传真）：010-87697580                  qq咨询：3177524020   </w:t>
      </w:r>
    </w:p>
    <w:p>
      <w:pPr>
        <w:spacing w:line="400" w:lineRule="exact"/>
        <w:rPr>
          <w:rFonts w:ascii="仿宋" w:hAnsi="仿宋" w:eastAsia="仿宋"/>
          <w:bCs/>
          <w:sz w:val="28"/>
          <w:szCs w:val="28"/>
        </w:rPr>
      </w:pPr>
      <w:bookmarkStart w:id="35" w:name="_GoBack"/>
      <w:bookmarkEnd w:id="35"/>
      <w:r>
        <w:rPr>
          <w:rFonts w:hint="eastAsia" w:ascii="仿宋" w:hAnsi="仿宋" w:eastAsia="仿宋"/>
          <w:bCs/>
          <w:sz w:val="28"/>
          <w:szCs w:val="28"/>
        </w:rPr>
        <w:t xml:space="preserve">网址查询：http://www.zqgpchina.cn/ </w:t>
      </w: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altName w:val="Arial Unicode MS"/>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462042"/>
    </w:sdtPr>
    <w:sdtContent>
      <w:p>
        <w:pPr>
          <w:pStyle w:val="5"/>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87"/>
    <w:rsid w:val="00042520"/>
    <w:rsid w:val="0004318C"/>
    <w:rsid w:val="00053F64"/>
    <w:rsid w:val="000574A8"/>
    <w:rsid w:val="00073D15"/>
    <w:rsid w:val="000A13F4"/>
    <w:rsid w:val="000A67DB"/>
    <w:rsid w:val="000B0529"/>
    <w:rsid w:val="000B6407"/>
    <w:rsid w:val="000E5344"/>
    <w:rsid w:val="000E6192"/>
    <w:rsid w:val="000F0685"/>
    <w:rsid w:val="000F3229"/>
    <w:rsid w:val="000F6C91"/>
    <w:rsid w:val="00100846"/>
    <w:rsid w:val="001065B7"/>
    <w:rsid w:val="0012031F"/>
    <w:rsid w:val="00120A13"/>
    <w:rsid w:val="001456CF"/>
    <w:rsid w:val="00152303"/>
    <w:rsid w:val="00155A3C"/>
    <w:rsid w:val="0016179A"/>
    <w:rsid w:val="00163636"/>
    <w:rsid w:val="00175B37"/>
    <w:rsid w:val="00191626"/>
    <w:rsid w:val="001969A3"/>
    <w:rsid w:val="001D6C88"/>
    <w:rsid w:val="001F230A"/>
    <w:rsid w:val="001F2A69"/>
    <w:rsid w:val="001F2CE9"/>
    <w:rsid w:val="001F5869"/>
    <w:rsid w:val="00201A2A"/>
    <w:rsid w:val="00203620"/>
    <w:rsid w:val="0023745E"/>
    <w:rsid w:val="0024371C"/>
    <w:rsid w:val="002526EA"/>
    <w:rsid w:val="00261299"/>
    <w:rsid w:val="00286501"/>
    <w:rsid w:val="00290A0A"/>
    <w:rsid w:val="002B2E5E"/>
    <w:rsid w:val="002C4FFE"/>
    <w:rsid w:val="002D1B03"/>
    <w:rsid w:val="002E06E9"/>
    <w:rsid w:val="002F1C07"/>
    <w:rsid w:val="002F2263"/>
    <w:rsid w:val="002F238B"/>
    <w:rsid w:val="003019C3"/>
    <w:rsid w:val="0032191B"/>
    <w:rsid w:val="00333A1B"/>
    <w:rsid w:val="003353F8"/>
    <w:rsid w:val="00337420"/>
    <w:rsid w:val="003419AA"/>
    <w:rsid w:val="0035289B"/>
    <w:rsid w:val="00353116"/>
    <w:rsid w:val="0035356A"/>
    <w:rsid w:val="003633EA"/>
    <w:rsid w:val="003712AC"/>
    <w:rsid w:val="00371EB7"/>
    <w:rsid w:val="00371EE2"/>
    <w:rsid w:val="0037379E"/>
    <w:rsid w:val="003833EF"/>
    <w:rsid w:val="003868FB"/>
    <w:rsid w:val="003A5439"/>
    <w:rsid w:val="003B2FE3"/>
    <w:rsid w:val="003D34F6"/>
    <w:rsid w:val="003F277B"/>
    <w:rsid w:val="00402CED"/>
    <w:rsid w:val="0044147F"/>
    <w:rsid w:val="004418C8"/>
    <w:rsid w:val="00444964"/>
    <w:rsid w:val="00446100"/>
    <w:rsid w:val="004607D0"/>
    <w:rsid w:val="00470AA7"/>
    <w:rsid w:val="00480218"/>
    <w:rsid w:val="004855C9"/>
    <w:rsid w:val="00496042"/>
    <w:rsid w:val="0049788B"/>
    <w:rsid w:val="004C1886"/>
    <w:rsid w:val="004C312A"/>
    <w:rsid w:val="004D6222"/>
    <w:rsid w:val="00504C13"/>
    <w:rsid w:val="00504EFA"/>
    <w:rsid w:val="00506062"/>
    <w:rsid w:val="0052617F"/>
    <w:rsid w:val="00540BE6"/>
    <w:rsid w:val="00552D59"/>
    <w:rsid w:val="00553543"/>
    <w:rsid w:val="00563305"/>
    <w:rsid w:val="00574B62"/>
    <w:rsid w:val="0057511C"/>
    <w:rsid w:val="00587400"/>
    <w:rsid w:val="0058791F"/>
    <w:rsid w:val="00596F49"/>
    <w:rsid w:val="005A1711"/>
    <w:rsid w:val="005C5651"/>
    <w:rsid w:val="005C5887"/>
    <w:rsid w:val="005F012D"/>
    <w:rsid w:val="005F0CCF"/>
    <w:rsid w:val="005F25DE"/>
    <w:rsid w:val="00604726"/>
    <w:rsid w:val="00605A57"/>
    <w:rsid w:val="006262E8"/>
    <w:rsid w:val="00654AF1"/>
    <w:rsid w:val="00655586"/>
    <w:rsid w:val="00656983"/>
    <w:rsid w:val="00662D62"/>
    <w:rsid w:val="00667874"/>
    <w:rsid w:val="00673280"/>
    <w:rsid w:val="00686C9D"/>
    <w:rsid w:val="00690C63"/>
    <w:rsid w:val="006A14CA"/>
    <w:rsid w:val="006B1DC5"/>
    <w:rsid w:val="006C094E"/>
    <w:rsid w:val="006C33C6"/>
    <w:rsid w:val="006D685E"/>
    <w:rsid w:val="00701781"/>
    <w:rsid w:val="0071049A"/>
    <w:rsid w:val="007142BC"/>
    <w:rsid w:val="007148C2"/>
    <w:rsid w:val="00716259"/>
    <w:rsid w:val="007409F2"/>
    <w:rsid w:val="00746644"/>
    <w:rsid w:val="007520C0"/>
    <w:rsid w:val="00752861"/>
    <w:rsid w:val="007721FD"/>
    <w:rsid w:val="00784FBB"/>
    <w:rsid w:val="007A5F15"/>
    <w:rsid w:val="007A5F6B"/>
    <w:rsid w:val="007C48E4"/>
    <w:rsid w:val="007D35E8"/>
    <w:rsid w:val="007E2FA3"/>
    <w:rsid w:val="007F5C55"/>
    <w:rsid w:val="00815030"/>
    <w:rsid w:val="008213B2"/>
    <w:rsid w:val="00837DBA"/>
    <w:rsid w:val="00851346"/>
    <w:rsid w:val="008524F5"/>
    <w:rsid w:val="00852AFF"/>
    <w:rsid w:val="008545EC"/>
    <w:rsid w:val="00855C94"/>
    <w:rsid w:val="008829B9"/>
    <w:rsid w:val="00886E3E"/>
    <w:rsid w:val="008C18A8"/>
    <w:rsid w:val="008E09B9"/>
    <w:rsid w:val="008E3A61"/>
    <w:rsid w:val="008E3DBB"/>
    <w:rsid w:val="008F6B47"/>
    <w:rsid w:val="00923FF2"/>
    <w:rsid w:val="00926AED"/>
    <w:rsid w:val="009344F1"/>
    <w:rsid w:val="0095282F"/>
    <w:rsid w:val="00954765"/>
    <w:rsid w:val="0095534F"/>
    <w:rsid w:val="00955831"/>
    <w:rsid w:val="00955932"/>
    <w:rsid w:val="0095751B"/>
    <w:rsid w:val="009601DF"/>
    <w:rsid w:val="0096785B"/>
    <w:rsid w:val="00967C19"/>
    <w:rsid w:val="00972AF4"/>
    <w:rsid w:val="00977B7D"/>
    <w:rsid w:val="00980C73"/>
    <w:rsid w:val="00993998"/>
    <w:rsid w:val="009951C9"/>
    <w:rsid w:val="009B285C"/>
    <w:rsid w:val="009B3E67"/>
    <w:rsid w:val="009E506C"/>
    <w:rsid w:val="009E6ECB"/>
    <w:rsid w:val="00A31BDF"/>
    <w:rsid w:val="00A405A2"/>
    <w:rsid w:val="00A46EDC"/>
    <w:rsid w:val="00A6192F"/>
    <w:rsid w:val="00A73AA6"/>
    <w:rsid w:val="00A73F73"/>
    <w:rsid w:val="00A761C5"/>
    <w:rsid w:val="00A81D13"/>
    <w:rsid w:val="00A965B9"/>
    <w:rsid w:val="00AA5971"/>
    <w:rsid w:val="00AC1E29"/>
    <w:rsid w:val="00AC69BF"/>
    <w:rsid w:val="00AD55EC"/>
    <w:rsid w:val="00AF11B2"/>
    <w:rsid w:val="00B01F58"/>
    <w:rsid w:val="00B20345"/>
    <w:rsid w:val="00B20600"/>
    <w:rsid w:val="00B2394B"/>
    <w:rsid w:val="00B26500"/>
    <w:rsid w:val="00B50592"/>
    <w:rsid w:val="00B62450"/>
    <w:rsid w:val="00B65384"/>
    <w:rsid w:val="00B83B1D"/>
    <w:rsid w:val="00B926C1"/>
    <w:rsid w:val="00B966FF"/>
    <w:rsid w:val="00BA1618"/>
    <w:rsid w:val="00BA5BA9"/>
    <w:rsid w:val="00BB0BCA"/>
    <w:rsid w:val="00BB2DBD"/>
    <w:rsid w:val="00BE2F56"/>
    <w:rsid w:val="00BF24CF"/>
    <w:rsid w:val="00BF3CDD"/>
    <w:rsid w:val="00BF47DA"/>
    <w:rsid w:val="00BF5CF4"/>
    <w:rsid w:val="00BF5DA5"/>
    <w:rsid w:val="00BF613D"/>
    <w:rsid w:val="00C02D08"/>
    <w:rsid w:val="00C06AE9"/>
    <w:rsid w:val="00C06B62"/>
    <w:rsid w:val="00C12F68"/>
    <w:rsid w:val="00C17C68"/>
    <w:rsid w:val="00C54084"/>
    <w:rsid w:val="00C648F1"/>
    <w:rsid w:val="00C91F3D"/>
    <w:rsid w:val="00C92AFF"/>
    <w:rsid w:val="00CA50E9"/>
    <w:rsid w:val="00CC28AB"/>
    <w:rsid w:val="00CC62A9"/>
    <w:rsid w:val="00CE2B79"/>
    <w:rsid w:val="00CF53E2"/>
    <w:rsid w:val="00CF6784"/>
    <w:rsid w:val="00D065A6"/>
    <w:rsid w:val="00D124A6"/>
    <w:rsid w:val="00D24775"/>
    <w:rsid w:val="00D31234"/>
    <w:rsid w:val="00D32169"/>
    <w:rsid w:val="00D40D6B"/>
    <w:rsid w:val="00D45149"/>
    <w:rsid w:val="00D5171E"/>
    <w:rsid w:val="00D667B4"/>
    <w:rsid w:val="00D77D32"/>
    <w:rsid w:val="00D8779D"/>
    <w:rsid w:val="00D97FE3"/>
    <w:rsid w:val="00DA23FE"/>
    <w:rsid w:val="00DC5E18"/>
    <w:rsid w:val="00DD3D0A"/>
    <w:rsid w:val="00DF6DEA"/>
    <w:rsid w:val="00E072A6"/>
    <w:rsid w:val="00E14D64"/>
    <w:rsid w:val="00E270FB"/>
    <w:rsid w:val="00E45CFF"/>
    <w:rsid w:val="00E60026"/>
    <w:rsid w:val="00E61EBF"/>
    <w:rsid w:val="00E66DBC"/>
    <w:rsid w:val="00E7749C"/>
    <w:rsid w:val="00E82020"/>
    <w:rsid w:val="00EA6CB9"/>
    <w:rsid w:val="00EB1E0A"/>
    <w:rsid w:val="00ED76DB"/>
    <w:rsid w:val="00EE021B"/>
    <w:rsid w:val="00EE1766"/>
    <w:rsid w:val="00EF4022"/>
    <w:rsid w:val="00F03A9D"/>
    <w:rsid w:val="00F03CEB"/>
    <w:rsid w:val="00F12173"/>
    <w:rsid w:val="00F345CE"/>
    <w:rsid w:val="00F37D3B"/>
    <w:rsid w:val="00F44496"/>
    <w:rsid w:val="00F47CC8"/>
    <w:rsid w:val="00F47DF7"/>
    <w:rsid w:val="00F5318F"/>
    <w:rsid w:val="00F57710"/>
    <w:rsid w:val="00F6297D"/>
    <w:rsid w:val="00F709E4"/>
    <w:rsid w:val="00F776DD"/>
    <w:rsid w:val="00F8102B"/>
    <w:rsid w:val="00F85A6F"/>
    <w:rsid w:val="00F878E5"/>
    <w:rsid w:val="00FA1988"/>
    <w:rsid w:val="00FC048A"/>
    <w:rsid w:val="00FC5056"/>
    <w:rsid w:val="00FD0B30"/>
    <w:rsid w:val="00FD71FB"/>
    <w:rsid w:val="00FE6E2F"/>
    <w:rsid w:val="18D10397"/>
    <w:rsid w:val="1D651AF4"/>
    <w:rsid w:val="24E37408"/>
    <w:rsid w:val="260E3846"/>
    <w:rsid w:val="304E23EB"/>
    <w:rsid w:val="310C29E7"/>
    <w:rsid w:val="3A985790"/>
    <w:rsid w:val="3DE2010B"/>
    <w:rsid w:val="4F4F3DDC"/>
    <w:rsid w:val="55730C5E"/>
    <w:rsid w:val="5ADD6A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autoSpaceDE w:val="0"/>
      <w:autoSpaceDN w:val="0"/>
      <w:adjustRightInd w:val="0"/>
      <w:ind w:left="540" w:hanging="540"/>
      <w:jc w:val="left"/>
      <w:outlineLvl w:val="0"/>
    </w:pPr>
    <w:rPr>
      <w:rFonts w:ascii="Times New Roman" w:hAnsi="Times New Roman" w:cs="Times New Roman"/>
      <w:color w:val="000000"/>
      <w:kern w:val="24"/>
      <w:sz w:val="64"/>
      <w:szCs w:val="64"/>
      <w:lang w:val="zh-CN"/>
    </w:rPr>
  </w:style>
  <w:style w:type="paragraph" w:styleId="3">
    <w:name w:val="heading 2"/>
    <w:basedOn w:val="1"/>
    <w:next w:val="1"/>
    <w:link w:val="17"/>
    <w:qFormat/>
    <w:uiPriority w:val="99"/>
    <w:pPr>
      <w:autoSpaceDE w:val="0"/>
      <w:autoSpaceDN w:val="0"/>
      <w:adjustRightInd w:val="0"/>
      <w:ind w:left="1170" w:hanging="450"/>
      <w:jc w:val="left"/>
      <w:outlineLvl w:val="1"/>
    </w:pPr>
    <w:rPr>
      <w:rFonts w:ascii="Times New Roman" w:hAnsi="Times New Roman" w:cs="Times New Roman"/>
      <w:color w:val="000000"/>
      <w:kern w:val="24"/>
      <w:sz w:val="56"/>
      <w:szCs w:val="56"/>
      <w:lang w:val="zh-CN"/>
    </w:rPr>
  </w:style>
  <w:style w:type="character" w:default="1" w:styleId="9">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20"/>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qFormat/>
    <w:uiPriority w:val="0"/>
    <w:rPr>
      <w:rFonts w:cs="Times New Roman"/>
      <w:b/>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页眉 Char"/>
    <w:basedOn w:val="9"/>
    <w:link w:val="6"/>
    <w:qFormat/>
    <w:uiPriority w:val="99"/>
    <w:rPr>
      <w:sz w:val="18"/>
      <w:szCs w:val="18"/>
    </w:rPr>
  </w:style>
  <w:style w:type="character" w:customStyle="1" w:styleId="13">
    <w:name w:val="页脚 Char"/>
    <w:basedOn w:val="9"/>
    <w:link w:val="5"/>
    <w:qFormat/>
    <w:uiPriority w:val="99"/>
    <w:rPr>
      <w:sz w:val="18"/>
      <w:szCs w:val="18"/>
    </w:rPr>
  </w:style>
  <w:style w:type="paragraph" w:customStyle="1" w:styleId="14">
    <w:name w:val="列出段落1"/>
    <w:basedOn w:val="1"/>
    <w:qFormat/>
    <w:uiPriority w:val="99"/>
    <w:pPr>
      <w:ind w:firstLine="420" w:firstLineChars="200"/>
    </w:pPr>
    <w:rPr>
      <w:rFonts w:ascii="Times New Roman" w:hAnsi="Times New Roman" w:eastAsia="宋体" w:cs="Times New Roman"/>
    </w:rPr>
  </w:style>
  <w:style w:type="paragraph" w:styleId="15">
    <w:name w:val="List Paragraph"/>
    <w:basedOn w:val="1"/>
    <w:qFormat/>
    <w:uiPriority w:val="34"/>
    <w:pPr>
      <w:widowControl/>
      <w:ind w:firstLine="420" w:firstLineChars="200"/>
      <w:jc w:val="left"/>
    </w:pPr>
    <w:rPr>
      <w:rFonts w:ascii="宋体" w:hAnsi="宋体" w:eastAsia="宋体" w:cs="宋体"/>
      <w:kern w:val="0"/>
      <w:sz w:val="24"/>
      <w:szCs w:val="24"/>
    </w:rPr>
  </w:style>
  <w:style w:type="character" w:customStyle="1" w:styleId="16">
    <w:name w:val="标题 1 Char"/>
    <w:basedOn w:val="9"/>
    <w:link w:val="2"/>
    <w:qFormat/>
    <w:uiPriority w:val="9"/>
    <w:rPr>
      <w:rFonts w:ascii="Times New Roman" w:hAnsi="Times New Roman" w:cs="Times New Roman"/>
      <w:color w:val="000000"/>
      <w:kern w:val="24"/>
      <w:sz w:val="64"/>
      <w:szCs w:val="64"/>
      <w:lang w:val="zh-CN"/>
    </w:rPr>
  </w:style>
  <w:style w:type="character" w:customStyle="1" w:styleId="17">
    <w:name w:val="标题 2 Char"/>
    <w:basedOn w:val="9"/>
    <w:link w:val="3"/>
    <w:qFormat/>
    <w:uiPriority w:val="99"/>
    <w:rPr>
      <w:rFonts w:ascii="Times New Roman" w:hAnsi="Times New Roman" w:cs="Times New Roman"/>
      <w:color w:val="000000"/>
      <w:kern w:val="24"/>
      <w:sz w:val="56"/>
      <w:szCs w:val="56"/>
      <w:lang w:val="zh-CN"/>
    </w:rPr>
  </w:style>
  <w:style w:type="paragraph" w:customStyle="1" w:styleId="18">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character" w:customStyle="1" w:styleId="20">
    <w:name w:val="批注框文本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303291-2CC0-4F7A-B3C8-12A939ADAC32}">
  <ds:schemaRefs/>
</ds:datastoreItem>
</file>

<file path=docProps/app.xml><?xml version="1.0" encoding="utf-8"?>
<Properties xmlns="http://schemas.openxmlformats.org/officeDocument/2006/extended-properties" xmlns:vt="http://schemas.openxmlformats.org/officeDocument/2006/docPropsVTypes">
  <Template>Normal</Template>
  <Company>中国</Company>
  <Pages>6</Pages>
  <Words>794</Words>
  <Characters>4531</Characters>
  <Lines>37</Lines>
  <Paragraphs>10</Paragraphs>
  <TotalTime>139</TotalTime>
  <ScaleCrop>false</ScaleCrop>
  <LinksUpToDate>false</LinksUpToDate>
  <CharactersWithSpaces>5315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2018-09-18T07:14:00Z</dcterms:created>
  <dc:creator>linzhenggang</dc:creator>
  <cp:lastModifiedBy>Administrator</cp:lastModifiedBy>
  <cp:lastPrinted>2018-09-18T07:24:00Z</cp:lastPrinted>
  <dcterms:modified xsi:type="dcterms:W3CDTF">2019-05-13T03:50:40Z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