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360" w:lineRule="auto"/>
        <w:jc w:val="distribute"/>
        <w:rPr>
          <w:rFonts w:hint="default" w:asciiTheme="minorHAnsi" w:hAnsiTheme="minorHAnsi" w:eastAsiaTheme="minorEastAsia" w:cstheme="minorBidi"/>
          <w:b/>
          <w:color w:val="FF0000"/>
          <w:spacing w:val="-60"/>
          <w:w w:val="60"/>
          <w:kern w:val="2"/>
          <w:sz w:val="96"/>
          <w:szCs w:val="96"/>
        </w:rPr>
      </w:pPr>
      <w:r>
        <w:rPr>
          <w:rFonts w:asciiTheme="minorHAnsi" w:hAnsiTheme="minorHAnsi" w:eastAsiaTheme="minorEastAsia" w:cstheme="minorBidi"/>
          <w:b/>
          <w:color w:val="FF0000"/>
          <w:spacing w:val="-60"/>
          <w:w w:val="60"/>
          <w:kern w:val="2"/>
          <w:sz w:val="96"/>
          <w:szCs w:val="96"/>
        </w:rPr>
        <w:t>中国投资协会投资咨询专业委员会文件</w:t>
      </w:r>
    </w:p>
    <w:p>
      <w:pPr>
        <w:spacing w:line="366" w:lineRule="exact"/>
        <w:ind w:right="60"/>
        <w:jc w:val="center"/>
        <w:rPr>
          <w:rFonts w:hint="default"/>
          <w:sz w:val="20"/>
        </w:rPr>
      </w:pPr>
      <w:r>
        <w:rPr>
          <w:rFonts w:cs="宋体"/>
          <w:sz w:val="32"/>
          <w:szCs w:val="32"/>
        </w:rPr>
        <w:t>中投协咨〔2019)014号</w:t>
      </w:r>
    </w:p>
    <w:p>
      <w:pPr>
        <w:spacing w:line="200" w:lineRule="exact"/>
        <w:rPr>
          <w:rFonts w:hint="default"/>
          <w:szCs w:val="24"/>
        </w:rPr>
      </w:pPr>
      <w: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97155</wp:posOffset>
                </wp:positionV>
                <wp:extent cx="6248400" cy="0"/>
                <wp:effectExtent l="0" t="0" r="19050" b="19050"/>
                <wp:wrapNone/>
                <wp:docPr id="5"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22225">
                          <a:solidFill>
                            <a:srgbClr val="FF0000"/>
                          </a:solidFill>
                          <a:round/>
                        </a:ln>
                        <a:effectLst/>
                      </wps:spPr>
                      <wps:bodyPr/>
                    </wps:wsp>
                  </a:graphicData>
                </a:graphic>
              </wp:anchor>
            </w:drawing>
          </mc:Choice>
          <mc:Fallback>
            <w:pict>
              <v:shape id="直接箭头连接符 2" o:spid="_x0000_s1026" o:spt="32" type="#_x0000_t32" style="position:absolute;left:0pt;margin-left:3.6pt;margin-top:7.65pt;height:0pt;width:492pt;z-index:251662336;mso-width-relative:page;mso-height-relative:page;" filled="f" stroked="t" coordsize="21600,21600" o:gfxdata="UEsDBAoAAAAAAIdO4kAAAAAAAAAAAAAAAAAEAAAAZHJzL1BLAwQUAAAACACHTuJAdQYwF9QAAAAH&#10;AQAADwAAAGRycy9kb3ducmV2LnhtbE2OMU/DMBCFdyT+g3WV2KidoEKbxukAQgxMbSkSmxtf46jx&#10;OYrdNvDrOcQA433v6d1XrkbfiTMOsQ2kIZsqEEh1sC01Gt62z7dzEDEZsqYLhBo+McKqur4qTWHD&#10;hdZ43qRG8AjFwmhwKfWFlLF26E2chh6Js0MYvEl8Do20g7nwuO9krtS99KYl/uBMj48O6+Pm5DUo&#10;//L6ddzlH4cnJd9H7918N1trfTPJ1BJEwjH9leFHn9WhYqd9OJGNotPwkHOR8ewOBMeLRcZg/wtk&#10;Vcr//tU3UEsDBBQAAAAIAIdO4kC+NKQ+4AEAAH8DAAAOAAAAZHJzL2Uyb0RvYy54bWytU8FuEzEQ&#10;vSPxD5bvZDdRW1WrbHpIFS4FIrV8gOP17lp4PdbYySY/wQ8gcQJOwKn3fg2Uz2DsZNNSbggfLI/H&#10;783Mm/H0YtsZtlHoNdiSj0c5Z8pKqLRtSv72ZvHinDMfhK2EAatKvlOeX8yeP5v2rlATaMFUChmR&#10;WF/0ruRtCK7IMi9b1Qk/AqcsOWvATgQysckqFD2xdyab5PlZ1gNWDkEq7+n2cu/ks8Rf10qGN3Xt&#10;VWCm5JRbSDumfRX3bDYVRYPCtVoe0hD/kEUntKWgR6pLEQRbo/6LqtMSwUMdRhK6DOpaS5VqoGrG&#10;+ZNqrlvhVKqFxPHuKJP/f7Ty9WaJTFclP+XMio5adP/h9uf7z/ffv/34dPvr7mM8f/3CJlGq3vmC&#10;EHO7xFis3NprdwXynWcW5q2wjUop3+wc8YwjIvsDEg3vKOCqfwUVvRHrAEm3bY1dpCRF2Da1Z3ds&#10;j9oGJunybHJyfpJTF+Xgy0QxAB368FJBx+Kh5D6g0E0b5mAtDQHgOIURmysfYlqiGAAxqoWFNibN&#10;grGsL/mE1mlCeDC6it74zmOzmhtkG0HjtFjktFKR5Hn8DGFtq30UYyNOpUk8hB5E2Mu5gmq3xEEp&#10;6nJK7jCRcYwe20nPh38z+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1BjAX1AAAAAcBAAAPAAAA&#10;AAAAAAEAIAAAACIAAABkcnMvZG93bnJldi54bWxQSwECFAAUAAAACACHTuJAvjSkPuABAAB/AwAA&#10;DgAAAAAAAAABACAAAAAjAQAAZHJzL2Uyb0RvYy54bWxQSwUGAAAAAAYABgBZAQAAdQUAAAAA&#10;">
                <v:fill on="f" focussize="0,0"/>
                <v:stroke weight="1.75pt" color="#FF0000" joinstyle="round"/>
                <v:imagedata o:title=""/>
                <o:lock v:ext="edit" aspectratio="f"/>
              </v:shape>
            </w:pict>
          </mc:Fallback>
        </mc:AlternateContent>
      </w:r>
    </w:p>
    <w:p>
      <w:pPr>
        <w:spacing w:line="440" w:lineRule="exact"/>
        <w:jc w:val="center"/>
        <w:rPr>
          <w:rFonts w:hint="default" w:ascii="黑体" w:hAnsi="黑体" w:eastAsia="黑体" w:cs="黑体"/>
          <w:color w:val="000000"/>
          <w:sz w:val="34"/>
          <w:szCs w:val="34"/>
        </w:rPr>
      </w:pPr>
      <w:r>
        <w:rPr>
          <w:rFonts w:ascii="黑体" w:hAnsi="黑体" w:eastAsia="黑体" w:cs="黑体"/>
          <w:color w:val="000000"/>
          <w:sz w:val="34"/>
          <w:szCs w:val="34"/>
        </w:rPr>
        <w:t>关于举办“国有资本授权经营体制改革、制定授权放权清单及</w:t>
      </w:r>
    </w:p>
    <w:p>
      <w:pPr>
        <w:spacing w:line="440" w:lineRule="exact"/>
        <w:jc w:val="center"/>
        <w:rPr>
          <w:rFonts w:hint="default" w:ascii="黑体" w:hAnsi="黑体" w:eastAsia="黑体" w:cs="黑体"/>
          <w:color w:val="000000"/>
          <w:sz w:val="34"/>
          <w:szCs w:val="34"/>
        </w:rPr>
      </w:pPr>
      <w:r>
        <w:rPr>
          <w:rFonts w:ascii="黑体" w:hAnsi="黑体" w:eastAsia="黑体" w:cs="黑体"/>
          <w:color w:val="000000"/>
          <w:sz w:val="34"/>
          <w:szCs w:val="34"/>
        </w:rPr>
        <w:t xml:space="preserve"> 国有企业混合所有制改革、国企薪酬绩效改革</w:t>
      </w:r>
    </w:p>
    <w:p>
      <w:pPr>
        <w:spacing w:line="440" w:lineRule="exact"/>
        <w:jc w:val="center"/>
        <w:rPr>
          <w:rFonts w:hint="default" w:ascii="黑体" w:hAnsi="黑体" w:eastAsia="黑体" w:cs="黑体"/>
          <w:color w:val="000000"/>
          <w:sz w:val="34"/>
          <w:szCs w:val="34"/>
        </w:rPr>
      </w:pPr>
      <w:r>
        <w:rPr>
          <w:rFonts w:ascii="黑体" w:hAnsi="黑体" w:eastAsia="黑体" w:cs="黑体"/>
          <w:color w:val="000000"/>
          <w:sz w:val="34"/>
          <w:szCs w:val="34"/>
        </w:rPr>
        <w:t>与长效激励要点”专题培训班的通知</w:t>
      </w:r>
    </w:p>
    <w:p>
      <w:pPr>
        <w:autoSpaceDE/>
        <w:autoSpaceDN/>
        <w:adjustRightInd/>
        <w:spacing w:line="420" w:lineRule="exact"/>
        <w:jc w:val="both"/>
        <w:rPr>
          <w:rFonts w:hint="default" w:ascii="仿宋" w:hAnsi="仿宋" w:eastAsia="仿宋" w:cs="仿宋"/>
          <w:b/>
          <w:bCs/>
          <w:kern w:val="2"/>
          <w:sz w:val="32"/>
          <w:szCs w:val="32"/>
        </w:rPr>
      </w:pPr>
    </w:p>
    <w:p>
      <w:pPr>
        <w:autoSpaceDE/>
        <w:autoSpaceDN/>
        <w:adjustRightInd/>
        <w:spacing w:line="420" w:lineRule="exact"/>
        <w:jc w:val="both"/>
        <w:rPr>
          <w:rFonts w:hint="default" w:ascii="仿宋" w:hAnsi="仿宋" w:eastAsia="仿宋" w:cs="仿宋"/>
          <w:b/>
          <w:bCs/>
          <w:kern w:val="2"/>
          <w:sz w:val="32"/>
          <w:szCs w:val="32"/>
        </w:rPr>
      </w:pPr>
      <w:r>
        <w:rPr>
          <w:rFonts w:ascii="仿宋" w:hAnsi="仿宋" w:eastAsia="仿宋" w:cs="仿宋"/>
          <w:b/>
          <w:bCs/>
          <w:kern w:val="2"/>
          <w:sz w:val="32"/>
          <w:szCs w:val="32"/>
        </w:rPr>
        <w:t>各有关单位</w:t>
      </w:r>
      <w:r>
        <w:rPr>
          <w:rFonts w:hint="default" w:ascii="仿宋" w:hAnsi="仿宋" w:eastAsia="仿宋" w:cs="仿宋"/>
          <w:b/>
          <w:bCs/>
          <w:kern w:val="2"/>
          <w:sz w:val="32"/>
          <w:szCs w:val="32"/>
        </w:rPr>
        <w:t>:</w:t>
      </w:r>
    </w:p>
    <w:p>
      <w:pPr>
        <w:autoSpaceDE/>
        <w:autoSpaceDN/>
        <w:adjustRightInd/>
        <w:spacing w:line="420" w:lineRule="exact"/>
        <w:ind w:firstLine="600" w:firstLineChars="200"/>
        <w:jc w:val="both"/>
        <w:rPr>
          <w:rFonts w:hint="default" w:ascii="仿宋" w:hAnsi="仿宋" w:eastAsia="仿宋" w:cs="仿宋"/>
          <w:bCs/>
          <w:kern w:val="2"/>
          <w:sz w:val="30"/>
          <w:szCs w:val="30"/>
        </w:rPr>
      </w:pPr>
      <w:r>
        <w:rPr>
          <w:rFonts w:ascii="仿宋" w:hAnsi="仿宋" w:eastAsia="仿宋" w:cs="仿宋"/>
          <w:bCs/>
          <w:kern w:val="2"/>
          <w:sz w:val="30"/>
          <w:szCs w:val="30"/>
        </w:rPr>
        <w:t>随着国企改革顶层设计“</w:t>
      </w:r>
      <w:r>
        <w:rPr>
          <w:rFonts w:hint="default" w:ascii="仿宋" w:hAnsi="仿宋" w:eastAsia="仿宋" w:cs="仿宋"/>
          <w:bCs/>
          <w:kern w:val="2"/>
          <w:sz w:val="30"/>
          <w:szCs w:val="30"/>
        </w:rPr>
        <w:t>1+N”文件体系基本形成，国务院</w:t>
      </w:r>
      <w:r>
        <w:rPr>
          <w:rFonts w:ascii="仿宋" w:hAnsi="仿宋" w:eastAsia="仿宋" w:cs="仿宋"/>
          <w:bCs/>
          <w:kern w:val="2"/>
          <w:sz w:val="30"/>
          <w:szCs w:val="30"/>
        </w:rPr>
        <w:t>及</w:t>
      </w:r>
      <w:r>
        <w:rPr>
          <w:rFonts w:hint="default" w:ascii="仿宋" w:hAnsi="仿宋" w:eastAsia="仿宋" w:cs="仿宋"/>
          <w:bCs/>
          <w:kern w:val="2"/>
          <w:sz w:val="30"/>
          <w:szCs w:val="30"/>
        </w:rPr>
        <w:t>国务院国资委多次明确要求“全面推进国企改革‘1+N’文件落地见效”</w:t>
      </w:r>
      <w:r>
        <w:rPr>
          <w:rFonts w:ascii="仿宋" w:hAnsi="仿宋" w:eastAsia="仿宋" w:cs="仿宋"/>
          <w:bCs/>
          <w:kern w:val="2"/>
          <w:sz w:val="30"/>
          <w:szCs w:val="30"/>
        </w:rPr>
        <w:t>。</w:t>
      </w:r>
      <w:r>
        <w:rPr>
          <w:rFonts w:hint="default" w:ascii="仿宋" w:hAnsi="仿宋" w:eastAsia="仿宋" w:cs="仿宋"/>
          <w:bCs/>
          <w:kern w:val="2"/>
          <w:sz w:val="30"/>
          <w:szCs w:val="30"/>
        </w:rPr>
        <w:t>十九大</w:t>
      </w:r>
      <w:r>
        <w:rPr>
          <w:rFonts w:ascii="仿宋" w:hAnsi="仿宋" w:eastAsia="仿宋" w:cs="仿宋"/>
          <w:bCs/>
          <w:kern w:val="2"/>
          <w:sz w:val="30"/>
          <w:szCs w:val="30"/>
        </w:rPr>
        <w:t>以来，国企改革作为各级人民政府的工作重点，以企业为主体，以市场为导向，以混合所有制为突破口，呈现出“多点开花、亮点纷呈、成效显著”的态势。2018年5月，国务院发布《关于改革国有企业工资决定机制的意见》；2018年8月，国资委引发《国企改革“双百行动”工作方案》；2019年4月，国务院印发《改革国有资本授权经营体制方案》；2019年6月，国资委洗发《国务院国资委授权放权清单（2019年版）》。目前，国企改革正梯次铺开、全面推进、纵深发展。</w:t>
      </w:r>
    </w:p>
    <w:p>
      <w:pPr>
        <w:autoSpaceDE/>
        <w:autoSpaceDN/>
        <w:adjustRightInd/>
        <w:spacing w:line="420" w:lineRule="exact"/>
        <w:ind w:firstLine="601" w:firstLineChars="200"/>
        <w:jc w:val="both"/>
        <w:rPr>
          <w:rFonts w:hint="default" w:ascii="仿宋" w:hAnsi="仿宋" w:eastAsia="仿宋" w:cs="仿宋"/>
          <w:bCs/>
          <w:kern w:val="2"/>
          <w:sz w:val="30"/>
          <w:szCs w:val="30"/>
        </w:rPr>
      </w:pPr>
      <w:r>
        <w:rPr>
          <w:rFonts w:ascii="华文中宋" w:hAnsi="华文中宋" w:eastAsia="华文中宋" w:cs="仿宋"/>
          <w:b/>
          <w:bCs/>
          <w:kern w:val="2"/>
          <w:sz w:val="30"/>
          <w:szCs w:val="30"/>
        </w:rPr>
        <w:drawing>
          <wp:anchor distT="0" distB="0" distL="114300" distR="114300" simplePos="0" relativeHeight="251663360" behindDoc="1" locked="0" layoutInCell="1" allowOverlap="1">
            <wp:simplePos x="0" y="0"/>
            <wp:positionH relativeFrom="column">
              <wp:posOffset>3200400</wp:posOffset>
            </wp:positionH>
            <wp:positionV relativeFrom="paragraph">
              <wp:posOffset>2043430</wp:posOffset>
            </wp:positionV>
            <wp:extent cx="3148965" cy="1592580"/>
            <wp:effectExtent l="0" t="0" r="0" b="7620"/>
            <wp:wrapNone/>
            <wp:docPr id="2" name="图片 2" descr="C:\Users\Administrator\Desktop\1562915995(1)_副本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562915995(1)_副本_副本.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2000"/>
                              </a14:imgEffect>
                            </a14:imgLayer>
                          </a14:imgProps>
                        </a:ext>
                        <a:ext uri="{28A0092B-C50C-407E-A947-70E740481C1C}">
                          <a14:useLocalDpi xmlns:a14="http://schemas.microsoft.com/office/drawing/2010/main" val="0"/>
                        </a:ext>
                      </a:extLst>
                    </a:blip>
                    <a:srcRect/>
                    <a:stretch>
                      <a:fillRect/>
                    </a:stretch>
                  </pic:blipFill>
                  <pic:spPr>
                    <a:xfrm>
                      <a:off x="0" y="0"/>
                      <a:ext cx="3148965" cy="1592580"/>
                    </a:xfrm>
                    <a:prstGeom prst="rect">
                      <a:avLst/>
                    </a:prstGeom>
                    <a:noFill/>
                    <a:ln>
                      <a:noFill/>
                    </a:ln>
                  </pic:spPr>
                </pic:pic>
              </a:graphicData>
            </a:graphic>
          </wp:anchor>
        </w:drawing>
      </w:r>
      <w:r>
        <w:rPr>
          <w:rFonts w:ascii="仿宋" w:hAnsi="仿宋" w:eastAsia="仿宋" w:cs="仿宋"/>
          <w:bCs/>
          <w:kern w:val="2"/>
          <w:sz w:val="30"/>
          <w:szCs w:val="30"/>
        </w:rPr>
        <w:t>改革国有资本授权经营体制方案及制定授权放权清单、国企实施混改、员工持股、薪酬绩效管理及长效激励制度等是政策性和专业性强、涉及面广、利益关系复杂、操作难度大的系统工程。为了帮助各单位掌握相关政策要点，推进国企改革全面实施，提高国企可持续发展能力，我会定于8月、9月、10月分别在太原、成都、杭州、南宁</w:t>
      </w:r>
      <w:r>
        <w:rPr>
          <w:rFonts w:hint="default" w:ascii="仿宋" w:hAnsi="仿宋" w:eastAsia="仿宋" w:cs="仿宋"/>
          <w:bCs/>
          <w:kern w:val="2"/>
          <w:sz w:val="30"/>
          <w:szCs w:val="30"/>
        </w:rPr>
        <w:t>市举办“国有资本授权经营体制改革、制定授权放权清单及国有企业混合所有制改革、国企薪酬绩效改革与长效激励要点”专题培训班</w:t>
      </w:r>
      <w:r>
        <w:rPr>
          <w:rFonts w:ascii="仿宋" w:hAnsi="仿宋" w:eastAsia="仿宋" w:cs="仿宋"/>
          <w:bCs/>
          <w:kern w:val="2"/>
          <w:sz w:val="30"/>
          <w:szCs w:val="30"/>
        </w:rPr>
        <w:t>。请各单位根据需求积极选派人员参加。有关事项详见附件。</w:t>
      </w:r>
      <w:r>
        <w:rPr>
          <w:rFonts w:hint="default" w:ascii="仿宋" w:hAnsi="仿宋" w:eastAsia="仿宋" w:cs="仿宋"/>
          <w:bCs/>
          <w:kern w:val="2"/>
          <w:sz w:val="30"/>
          <w:szCs w:val="30"/>
        </w:rPr>
        <w:t xml:space="preserve"> </w:t>
      </w:r>
    </w:p>
    <w:p>
      <w:pPr>
        <w:autoSpaceDE/>
        <w:autoSpaceDN/>
        <w:adjustRightInd/>
        <w:spacing w:line="480" w:lineRule="exact"/>
        <w:jc w:val="both"/>
        <w:rPr>
          <w:rFonts w:hint="default" w:ascii="仿宋" w:hAnsi="仿宋" w:eastAsia="仿宋" w:cs="仿宋"/>
          <w:bCs/>
          <w:kern w:val="2"/>
          <w:sz w:val="32"/>
          <w:szCs w:val="32"/>
        </w:rPr>
      </w:pPr>
    </w:p>
    <w:p>
      <w:pPr>
        <w:autoSpaceDE/>
        <w:autoSpaceDN/>
        <w:adjustRightInd/>
        <w:spacing w:line="310" w:lineRule="exact"/>
        <w:jc w:val="right"/>
        <w:rPr>
          <w:rFonts w:hint="default" w:ascii="华文中宋" w:hAnsi="华文中宋" w:eastAsia="华文中宋" w:cs="仿宋"/>
          <w:b/>
          <w:bCs/>
          <w:kern w:val="2"/>
          <w:sz w:val="32"/>
          <w:szCs w:val="32"/>
        </w:rPr>
      </w:pPr>
    </w:p>
    <w:p>
      <w:pPr>
        <w:autoSpaceDE/>
        <w:autoSpaceDN/>
        <w:adjustRightInd/>
        <w:spacing w:line="310" w:lineRule="exact"/>
        <w:jc w:val="both"/>
        <w:rPr>
          <w:rFonts w:hint="default" w:ascii="华文中宋" w:hAnsi="华文中宋" w:eastAsia="华文中宋" w:cs="仿宋"/>
          <w:b/>
          <w:bCs/>
          <w:kern w:val="2"/>
          <w:sz w:val="32"/>
          <w:szCs w:val="32"/>
        </w:rPr>
      </w:pPr>
    </w:p>
    <w:p>
      <w:pPr>
        <w:autoSpaceDE/>
        <w:autoSpaceDN/>
        <w:adjustRightInd/>
        <w:spacing w:line="310" w:lineRule="exact"/>
        <w:jc w:val="both"/>
        <w:rPr>
          <w:rFonts w:hint="default" w:ascii="华文中宋" w:hAnsi="华文中宋" w:eastAsia="华文中宋" w:cs="仿宋"/>
          <w:b/>
          <w:bCs/>
          <w:kern w:val="2"/>
          <w:sz w:val="32"/>
          <w:szCs w:val="32"/>
        </w:rPr>
      </w:pPr>
    </w:p>
    <w:p>
      <w:pPr>
        <w:autoSpaceDE/>
        <w:autoSpaceDN/>
        <w:adjustRightInd/>
        <w:spacing w:line="310" w:lineRule="exact"/>
        <w:jc w:val="both"/>
        <w:rPr>
          <w:rFonts w:hint="default" w:ascii="华文中宋" w:hAnsi="华文中宋" w:eastAsia="华文中宋" w:cs="仿宋"/>
          <w:b/>
          <w:bCs/>
          <w:kern w:val="2"/>
          <w:sz w:val="32"/>
          <w:szCs w:val="32"/>
        </w:rPr>
      </w:pPr>
    </w:p>
    <w:p>
      <w:pPr>
        <w:autoSpaceDE/>
        <w:autoSpaceDN/>
        <w:adjustRightInd/>
        <w:spacing w:line="310" w:lineRule="exact"/>
        <w:jc w:val="both"/>
        <w:rPr>
          <w:rFonts w:hint="default" w:ascii="华文中宋" w:hAnsi="华文中宋" w:eastAsia="华文中宋" w:cs="仿宋"/>
          <w:b/>
          <w:bCs/>
          <w:kern w:val="2"/>
          <w:sz w:val="32"/>
          <w:szCs w:val="32"/>
        </w:rPr>
      </w:pPr>
    </w:p>
    <w:p>
      <w:pPr>
        <w:autoSpaceDE/>
        <w:autoSpaceDN/>
        <w:adjustRightInd/>
        <w:spacing w:line="310" w:lineRule="exact"/>
        <w:jc w:val="both"/>
        <w:rPr>
          <w:rFonts w:hint="default" w:ascii="华文中宋" w:hAnsi="华文中宋" w:eastAsia="华文中宋" w:cs="仿宋"/>
          <w:b/>
          <w:bCs/>
          <w:kern w:val="2"/>
          <w:sz w:val="32"/>
          <w:szCs w:val="32"/>
        </w:rPr>
      </w:pPr>
    </w:p>
    <w:p>
      <w:pPr>
        <w:autoSpaceDE/>
        <w:autoSpaceDN/>
        <w:adjustRightInd/>
        <w:spacing w:line="310" w:lineRule="exact"/>
        <w:jc w:val="both"/>
        <w:rPr>
          <w:rFonts w:hint="default" w:ascii="华文中宋" w:hAnsi="华文中宋" w:eastAsia="华文中宋" w:cs="仿宋"/>
          <w:b/>
          <w:bCs/>
          <w:kern w:val="2"/>
          <w:sz w:val="32"/>
          <w:szCs w:val="32"/>
        </w:rPr>
      </w:pPr>
    </w:p>
    <w:p>
      <w:pPr>
        <w:autoSpaceDE/>
        <w:autoSpaceDN/>
        <w:adjustRightInd/>
        <w:spacing w:line="310" w:lineRule="exact"/>
        <w:jc w:val="both"/>
        <w:rPr>
          <w:rFonts w:hint="default" w:ascii="仿宋" w:hAnsi="仿宋" w:eastAsia="仿宋" w:cs="仿宋"/>
          <w:bCs/>
          <w:kern w:val="2"/>
          <w:sz w:val="28"/>
          <w:szCs w:val="28"/>
        </w:rPr>
      </w:pPr>
      <w:r>
        <w:rPr>
          <w:rFonts w:ascii="华文中宋" w:hAnsi="华文中宋" w:eastAsia="华文中宋" w:cs="仿宋"/>
          <w:b/>
          <w:bCs/>
          <w:kern w:val="2"/>
          <w:sz w:val="32"/>
          <w:szCs w:val="32"/>
        </w:rPr>
        <w:t xml:space="preserve">一、培训内容 </w:t>
      </w:r>
    </w:p>
    <w:p>
      <w:pPr>
        <w:autoSpaceDE/>
        <w:autoSpaceDN/>
        <w:adjustRightInd/>
        <w:spacing w:line="31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（一）国有企业改革相关政策解读</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1．国资国企改革“1+N”系列政策文件的重点内容解读  </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2．习近平总书记有关国资国企改革的历次重要讲话和指示批示解读  </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3．《国企改革“双百行动”工作方案》及相关政策精神全面解析 </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4.混合所有制改革的主要思路、操纵模式及公司治理的政策要点</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5.国有企业薪酬体系改革的政策解读</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6．国务院国资委、国家发改委分别牵头的改革试点以及先进省市国企混改和员工持股试点的实际进展情况 </w:t>
      </w:r>
    </w:p>
    <w:p>
      <w:pPr>
        <w:autoSpaceDE/>
        <w:autoSpaceDN/>
        <w:adjustRightInd/>
        <w:spacing w:line="31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（二）《改革国有资本授权经营体制方案》解读与操作要点</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 《方案》如何突破了六个改革逻辑困局</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2．针对两类公司的授权突破性</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3．非两类公司授权上的关键要点</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4．授权经营体制改革后之后，出资人代表机构未来在新场景下如何更好的履职</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5．如何界定企业的行权能力</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6．《方案》中的其他突破</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7．《方案》 “一个明确、四个确保”五个要点的归结</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8．各地出资人代表机构未来如何做好国有资本授权经营</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9．经开区（含经开区、高新区、国家级新区，以下统称经开区）如何更好的确定国有资本投资运营公司</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10．国有资本运营公司如何打造及未来如何促进好国有资本运营公司的运作</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11．基于《方案》两类公司董事会建设应如何操作</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12．《方案》对股权激励的突破性进展在哪些方面</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13．各级政府如何推动方案落地执行</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14．《国务院国资委授权放权清单（2019年版）》解析</w:t>
      </w:r>
    </w:p>
    <w:p>
      <w:pPr>
        <w:autoSpaceDE/>
        <w:autoSpaceDN/>
        <w:adjustRightInd/>
        <w:spacing w:line="31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（三）国有资本投资、运营公司试点改革的操作模式及要点</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1．公司组建方式及管控模式构建</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2．总部职能的界定</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3．子公司权限边界</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4．产业整合梳理</w:t>
      </w:r>
    </w:p>
    <w:p>
      <w:pPr>
        <w:autoSpaceDE/>
        <w:autoSpaceDN/>
        <w:adjustRightInd/>
        <w:spacing w:line="31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（四）国企混合所有制改革的难点解析、操作模式及实战技术</w:t>
      </w:r>
      <w:r>
        <w:rPr>
          <w:rFonts w:hint="default" w:ascii="仿宋" w:hAnsi="仿宋" w:eastAsia="仿宋" w:cs="仿宋"/>
          <w:b/>
          <w:bCs/>
          <w:kern w:val="2"/>
          <w:sz w:val="28"/>
          <w:szCs w:val="28"/>
        </w:rPr>
        <w:t xml:space="preserve"> </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1．国企混改的经验教训总结 </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w:t>
      </w:r>
      <w:r>
        <w:rPr>
          <w:rFonts w:ascii="仿宋" w:hAnsi="仿宋" w:eastAsia="仿宋" w:cs="仿宋"/>
          <w:bCs/>
          <w:kern w:val="2"/>
          <w:sz w:val="28"/>
          <w:szCs w:val="28"/>
        </w:rPr>
        <w:t xml:space="preserve"> </w:t>
      </w:r>
      <w:r>
        <w:rPr>
          <w:rFonts w:hint="default" w:ascii="仿宋" w:hAnsi="仿宋" w:eastAsia="仿宋" w:cs="仿宋"/>
          <w:bCs/>
          <w:kern w:val="2"/>
          <w:sz w:val="28"/>
          <w:szCs w:val="28"/>
        </w:rPr>
        <w:t xml:space="preserve"> 2．推行混合所有制改革的焦点和难点问题解析 </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3．不同类型国有企业推行混改的操作模式以及可借鉴的典型案例</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w:t>
      </w:r>
      <w:r>
        <w:rPr>
          <w:rFonts w:ascii="仿宋" w:hAnsi="仿宋" w:eastAsia="仿宋" w:cs="仿宋"/>
          <w:bCs/>
          <w:kern w:val="2"/>
          <w:sz w:val="28"/>
          <w:szCs w:val="28"/>
        </w:rPr>
        <w:t xml:space="preserve"> </w:t>
      </w:r>
      <w:r>
        <w:rPr>
          <w:rFonts w:hint="default" w:ascii="仿宋" w:hAnsi="仿宋" w:eastAsia="仿宋" w:cs="仿宋"/>
          <w:bCs/>
          <w:kern w:val="2"/>
          <w:sz w:val="28"/>
          <w:szCs w:val="28"/>
        </w:rPr>
        <w:t xml:space="preserve">4．国企混合所有制改革操作的权威指引详解（包含国企混改的基本流程、六大主要环节的操作要点等）  </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5．在混改筹划、实施过程中，如何将混改工作与企业转型发展、培育新兴产业、打造一流企业等战略性议题有效结合</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w:t>
      </w:r>
      <w:r>
        <w:rPr>
          <w:rFonts w:ascii="仿宋" w:hAnsi="仿宋" w:eastAsia="仿宋" w:cs="仿宋"/>
          <w:bCs/>
          <w:kern w:val="2"/>
          <w:sz w:val="28"/>
          <w:szCs w:val="28"/>
        </w:rPr>
        <w:t xml:space="preserve"> </w:t>
      </w:r>
      <w:r>
        <w:rPr>
          <w:rFonts w:hint="default" w:ascii="仿宋" w:hAnsi="仿宋" w:eastAsia="仿宋" w:cs="仿宋"/>
          <w:bCs/>
          <w:kern w:val="2"/>
          <w:sz w:val="28"/>
          <w:szCs w:val="28"/>
        </w:rPr>
        <w:t xml:space="preserve"> 6．国企混改方案设计及组织实施疑难问题处理</w:t>
      </w:r>
    </w:p>
    <w:p>
      <w:pPr>
        <w:autoSpaceDE/>
        <w:autoSpaceDN/>
        <w:adjustRightInd/>
        <w:spacing w:line="310" w:lineRule="exact"/>
        <w:jc w:val="both"/>
        <w:rPr>
          <w:rFonts w:hint="default" w:ascii="仿宋" w:hAnsi="仿宋" w:eastAsia="仿宋" w:cs="仿宋"/>
          <w:b/>
          <w:bCs/>
          <w:kern w:val="2"/>
          <w:sz w:val="28"/>
          <w:szCs w:val="28"/>
        </w:rPr>
      </w:pPr>
      <w:r>
        <w:rPr>
          <w:rFonts w:hint="default" w:ascii="仿宋" w:hAnsi="仿宋" w:eastAsia="仿宋" w:cs="仿宋"/>
          <w:b/>
          <w:bCs/>
          <w:kern w:val="2"/>
          <w:sz w:val="28"/>
          <w:szCs w:val="28"/>
        </w:rPr>
        <w:t>(五) 关于改革国有企业工资决定机制的意见与政策解读</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1.国有企业工资决定机制主要概念界定</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2.国资系统如何整体规划打造国企与干部员工的命运共同体</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3.国资委如何推动区域国企工资总额调整机制的建立</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4.企业分类确定工资效益联动指标</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5.国企如何利用一企一策改革个性化确定工资总额形成公式</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6.基于工资总额机制的内部差异化薪酬      </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7.国有企业工资分配监管体制</w:t>
      </w:r>
    </w:p>
    <w:p>
      <w:pPr>
        <w:autoSpaceDE/>
        <w:autoSpaceDN/>
        <w:adjustRightInd/>
        <w:spacing w:line="310" w:lineRule="exact"/>
        <w:jc w:val="both"/>
        <w:rPr>
          <w:rFonts w:hint="default" w:ascii="仿宋" w:hAnsi="仿宋" w:eastAsia="仿宋" w:cs="仿宋"/>
          <w:b/>
          <w:bCs/>
          <w:kern w:val="2"/>
          <w:sz w:val="28"/>
          <w:szCs w:val="28"/>
        </w:rPr>
      </w:pPr>
      <w:r>
        <w:rPr>
          <w:rFonts w:hint="default" w:ascii="仿宋" w:hAnsi="仿宋" w:eastAsia="仿宋" w:cs="仿宋"/>
          <w:b/>
          <w:bCs/>
          <w:kern w:val="2"/>
          <w:sz w:val="28"/>
          <w:szCs w:val="28"/>
        </w:rPr>
        <w:t>(六) 国有企业人才管理机制及薪酬绩效管理体系改革</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1.国有企业薪酬体系改革的政策解读</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2.国有企业人才流动机制的建立与完善</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3.绩效管理的操作步骤、指标设计及管理模式</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4.国有企业改革中建立以绩效为导向和市场接轨的薪酬体系</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5.国有企业绩效考核的难点及解决思路</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6.国企三项制度改革的重点、难点问题解析</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 三项制度改革的推进策略、实施路径及典型成功案例解析</w:t>
      </w:r>
    </w:p>
    <w:p>
      <w:pPr>
        <w:autoSpaceDE/>
        <w:autoSpaceDN/>
        <w:adjustRightInd/>
        <w:spacing w:line="310" w:lineRule="exact"/>
        <w:jc w:val="both"/>
        <w:rPr>
          <w:rFonts w:hint="default" w:ascii="仿宋" w:hAnsi="仿宋" w:eastAsia="仿宋" w:cs="仿宋"/>
          <w:b/>
          <w:bCs/>
          <w:kern w:val="2"/>
          <w:sz w:val="28"/>
          <w:szCs w:val="28"/>
        </w:rPr>
      </w:pPr>
      <w:r>
        <w:rPr>
          <w:rFonts w:hint="default" w:ascii="仿宋" w:hAnsi="仿宋" w:eastAsia="仿宋" w:cs="仿宋"/>
          <w:b/>
          <w:bCs/>
          <w:kern w:val="2"/>
          <w:sz w:val="28"/>
          <w:szCs w:val="28"/>
        </w:rPr>
        <w:t>(七) 国企薪酬改革、员工持股与长期激励机制设计</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1.薪酬体系构成与设计原则</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2.国企薪酬诊断分析与案例</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3.薪酬设计“6+1”</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4.国企不同级别员工的薪酬构成</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5.股权顶层设计--股权治理机制</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6.与薪酬体系匹配的激励方式</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7.股权激励机制的现状与设计模式</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8.国企长期激励实施的要点</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9.股权激励机制主要操作障碍</w:t>
      </w:r>
    </w:p>
    <w:p>
      <w:pPr>
        <w:autoSpaceDE/>
        <w:autoSpaceDN/>
        <w:adjustRightInd/>
        <w:spacing w:line="31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（八）国企混改中职工持股、股权和分红激励的操作要点及实战技术</w:t>
      </w:r>
      <w:r>
        <w:rPr>
          <w:rFonts w:hint="default" w:ascii="仿宋" w:hAnsi="仿宋" w:eastAsia="仿宋" w:cs="仿宋"/>
          <w:b/>
          <w:bCs/>
          <w:kern w:val="2"/>
          <w:sz w:val="28"/>
          <w:szCs w:val="28"/>
        </w:rPr>
        <w:t xml:space="preserve"> </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1．国企职工持股的经验教训总结</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2．不同类型国有企业推行骨干职工持股的操作模式及可借鉴的典型案例 </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3．职工持股的可选载体及其适用性、利弊分析 </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4．国企混改中预留股权的操作方法与技巧（注：预留股权常用于吸引和激励优秀人才） </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5．目前尚不符合职工持股试点意见所要求条件的国企，如何创新设计改革方式和操作路径，依法依规分步推进混改和职工持股工作  </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6．国有企业股权和分红激励的适用范围、操作模式及可借鉴的典型案例 </w:t>
      </w:r>
    </w:p>
    <w:p>
      <w:pPr>
        <w:autoSpaceDE/>
        <w:autoSpaceDN/>
        <w:adjustRightInd/>
        <w:spacing w:line="31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7．国企混改中职工持股方案、股权和分红激励方案的设计及实施疑难问题处理 </w:t>
      </w:r>
    </w:p>
    <w:p>
      <w:pPr>
        <w:autoSpaceDE/>
        <w:autoSpaceDN/>
        <w:adjustRightInd/>
        <w:spacing w:line="310" w:lineRule="exact"/>
        <w:jc w:val="both"/>
        <w:rPr>
          <w:rFonts w:hint="default" w:ascii="仿宋" w:hAnsi="仿宋" w:eastAsia="仿宋" w:cs="仿宋"/>
          <w:b/>
          <w:bCs/>
          <w:kern w:val="2"/>
          <w:sz w:val="28"/>
          <w:szCs w:val="28"/>
        </w:rPr>
      </w:pPr>
      <w:r>
        <w:rPr>
          <w:rFonts w:hint="default" w:ascii="仿宋" w:hAnsi="仿宋" w:eastAsia="仿宋" w:cs="仿宋"/>
          <w:b/>
          <w:bCs/>
          <w:kern w:val="2"/>
          <w:sz w:val="28"/>
          <w:szCs w:val="28"/>
        </w:rPr>
        <w:t>(九) 市场化选聘经营管理者与职业经理人</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 《关于开展市场化选聘和管理国有企业经营管理者试点工作的意见》解读</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2.中国特色现代企业治理机制</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3.董事会职权落实</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4.市场化选聘经营管理者</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5.分类改革与分类治理</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6.“管资本”模式下国有出资人的职责履行</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7.市场化选聘模式分析</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8.契约制和聘用制                                          </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9.推行职业经理人制度的总体要求</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10.职业经理人制度建设相关政策分析</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11.职业经理人制度体系建设与实施的经验借鉴</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12.职业经理人制度与国企党建的重要工作</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13.案例分析:职业经理人选聘、薪酬机制模式</w:t>
      </w:r>
    </w:p>
    <w:p>
      <w:pPr>
        <w:autoSpaceDE/>
        <w:autoSpaceDN/>
        <w:adjustRightInd/>
        <w:spacing w:line="31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（十）债转股的背景与相关政策解读</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1．债转股定义及背景</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2．两轮债转股的差异对比</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3．市场化债转股的实施情况</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4．国务院《关于积极稳妥降低企业杠杆率的意见》（国发［2016］54号）及其配套文件《关于市场化银行债权转股权的指导意见》、《关于市场化银行债权转股权实施中有关具体政策问题的通知》解读</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5．2018年，七部委《关于市场化银行债权转股权实施中有关具体政策问题的通知》及五部委《关于鼓励相关机构参与市场化债转股的通知》等相关政策解读</w:t>
      </w:r>
    </w:p>
    <w:p>
      <w:pPr>
        <w:autoSpaceDE/>
        <w:autoSpaceDN/>
        <w:adjustRightInd/>
        <w:spacing w:line="31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（十一）债转股对象、条件及实施难点和破题路径</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1．企业选择标准</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2．债权选择标准</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3．资金寻找问题</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4．债转股如何实施</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5．利益相关方的谈判 </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6．债转股后如何管理和退出</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7．后续资金的支持</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8．债转股业务的收益及风险分析</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9．银行主导的债转股及案例分析</w:t>
      </w:r>
    </w:p>
    <w:p>
      <w:pPr>
        <w:autoSpaceDE/>
        <w:autoSpaceDN/>
        <w:adjustRightInd/>
        <w:spacing w:line="31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10．非银金融机构主导的债转股案例分析</w:t>
      </w:r>
    </w:p>
    <w:p>
      <w:pPr>
        <w:autoSpaceDE/>
        <w:autoSpaceDN/>
        <w:adjustRightInd/>
        <w:spacing w:line="310" w:lineRule="exact"/>
        <w:jc w:val="both"/>
        <w:rPr>
          <w:rFonts w:hint="default" w:ascii="仿宋" w:hAnsi="仿宋" w:eastAsia="仿宋" w:cs="仿宋"/>
          <w:b/>
          <w:kern w:val="2"/>
          <w:sz w:val="28"/>
          <w:szCs w:val="28"/>
        </w:rPr>
      </w:pPr>
      <w:r>
        <w:rPr>
          <w:rFonts w:ascii="仿宋" w:hAnsi="仿宋" w:eastAsia="仿宋" w:cs="仿宋"/>
          <w:b/>
          <w:kern w:val="2"/>
          <w:sz w:val="28"/>
          <w:szCs w:val="28"/>
        </w:rPr>
        <w:t>二、参加人员</w:t>
      </w:r>
    </w:p>
    <w:p>
      <w:pPr>
        <w:autoSpaceDE/>
        <w:autoSpaceDN/>
        <w:adjustRightInd/>
        <w:spacing w:line="31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中央及地方相关政府机构，国有企业高管、分管人力资源副总、人力资源总监、以及人力资源部(人事部)、综合部、劳资部、绩效/薪酬管理人员、劳动关系主管等人力资源管理相关人员，相关金融机构等。</w:t>
      </w:r>
    </w:p>
    <w:p>
      <w:pPr>
        <w:autoSpaceDE/>
        <w:autoSpaceDN/>
        <w:adjustRightInd/>
        <w:spacing w:line="310" w:lineRule="exact"/>
        <w:jc w:val="both"/>
        <w:rPr>
          <w:rFonts w:hint="default" w:ascii="仿宋" w:hAnsi="仿宋" w:eastAsia="仿宋" w:cs="仿宋"/>
          <w:bCs/>
          <w:kern w:val="2"/>
          <w:sz w:val="28"/>
          <w:szCs w:val="28"/>
        </w:rPr>
      </w:pPr>
      <w:r>
        <w:rPr>
          <w:rFonts w:ascii="仿宋" w:hAnsi="仿宋" w:eastAsia="仿宋" w:cs="仿宋"/>
          <w:b/>
          <w:kern w:val="2"/>
          <w:sz w:val="28"/>
          <w:szCs w:val="28"/>
        </w:rPr>
        <w:t xml:space="preserve">三、主讲专家  </w:t>
      </w:r>
      <w:r>
        <w:rPr>
          <w:rFonts w:ascii="仿宋" w:hAnsi="仿宋" w:eastAsia="仿宋" w:cs="仿宋"/>
          <w:bCs/>
          <w:kern w:val="2"/>
          <w:sz w:val="28"/>
          <w:szCs w:val="28"/>
        </w:rPr>
        <w:t xml:space="preserve">              </w:t>
      </w:r>
    </w:p>
    <w:p>
      <w:pPr>
        <w:autoSpaceDE/>
        <w:autoSpaceDN/>
        <w:adjustRightInd/>
        <w:spacing w:line="31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拟邀请国务院国资委主管部门所属单位、 中国人事科学研究院、中国财政科学研究院等单位的领导专家授课, 并组织交流与研讨。</w:t>
      </w:r>
    </w:p>
    <w:p>
      <w:pPr>
        <w:numPr>
          <w:ilvl w:val="0"/>
          <w:numId w:val="1"/>
        </w:numPr>
        <w:autoSpaceDE/>
        <w:autoSpaceDN/>
        <w:adjustRightInd/>
        <w:spacing w:line="310" w:lineRule="exact"/>
        <w:jc w:val="both"/>
        <w:rPr>
          <w:rFonts w:hint="default" w:ascii="仿宋" w:hAnsi="仿宋" w:eastAsia="仿宋" w:cs="仿宋"/>
          <w:b/>
          <w:kern w:val="2"/>
          <w:sz w:val="28"/>
          <w:szCs w:val="28"/>
        </w:rPr>
      </w:pPr>
      <w:r>
        <w:rPr>
          <w:rFonts w:ascii="仿宋" w:hAnsi="仿宋" w:eastAsia="仿宋" w:cs="仿宋"/>
          <w:b/>
          <w:kern w:val="2"/>
          <w:sz w:val="28"/>
          <w:szCs w:val="28"/>
        </w:rPr>
        <w:t>培训时间及地点</w:t>
      </w:r>
    </w:p>
    <w:p>
      <w:pPr>
        <w:widowControl/>
        <w:spacing w:line="300" w:lineRule="exact"/>
        <w:ind w:firstLine="840" w:firstLineChars="300"/>
        <w:rPr>
          <w:rFonts w:hint="default" w:ascii="仿宋" w:hAnsi="仿宋" w:eastAsia="仿宋" w:cs="宋体"/>
          <w:bCs/>
          <w:color w:val="000000"/>
          <w:sz w:val="28"/>
          <w:szCs w:val="28"/>
        </w:rPr>
      </w:pPr>
      <w:r>
        <w:rPr>
          <w:rFonts w:ascii="仿宋" w:hAnsi="仿宋" w:eastAsia="仿宋" w:cs="宋体"/>
          <w:bCs/>
          <w:color w:val="000000"/>
          <w:sz w:val="28"/>
          <w:szCs w:val="28"/>
        </w:rPr>
        <w:t>2019年8月22日—8月26日（22日全天报到）    太原市</w:t>
      </w:r>
    </w:p>
    <w:p>
      <w:pPr>
        <w:widowControl/>
        <w:spacing w:line="300" w:lineRule="exact"/>
        <w:ind w:firstLine="840" w:firstLineChars="300"/>
        <w:rPr>
          <w:rFonts w:hint="default" w:ascii="仿宋" w:hAnsi="仿宋" w:eastAsia="仿宋" w:cs="宋体"/>
          <w:bCs/>
          <w:color w:val="000000"/>
          <w:sz w:val="28"/>
          <w:szCs w:val="28"/>
        </w:rPr>
      </w:pPr>
      <w:r>
        <w:rPr>
          <w:rFonts w:ascii="仿宋" w:hAnsi="仿宋" w:eastAsia="仿宋" w:cs="宋体"/>
          <w:bCs/>
          <w:color w:val="000000"/>
          <w:sz w:val="28"/>
          <w:szCs w:val="28"/>
        </w:rPr>
        <w:t>2019年9月06日—9月10日（06日全天报到）    成都市</w:t>
      </w:r>
    </w:p>
    <w:p>
      <w:pPr>
        <w:widowControl/>
        <w:spacing w:line="300" w:lineRule="exact"/>
        <w:ind w:firstLine="840" w:firstLineChars="300"/>
        <w:rPr>
          <w:rFonts w:hint="default" w:ascii="仿宋" w:hAnsi="仿宋" w:eastAsia="仿宋" w:cs="宋体"/>
          <w:bCs/>
          <w:color w:val="000000"/>
          <w:sz w:val="28"/>
          <w:szCs w:val="28"/>
        </w:rPr>
      </w:pPr>
      <w:r>
        <w:rPr>
          <w:rFonts w:ascii="仿宋" w:hAnsi="仿宋" w:eastAsia="仿宋" w:cs="宋体"/>
          <w:bCs/>
          <w:color w:val="000000"/>
          <w:sz w:val="28"/>
          <w:szCs w:val="28"/>
        </w:rPr>
        <w:t>2019年9月20日—9月24日（20日全天报到）    杭州市</w:t>
      </w:r>
    </w:p>
    <w:p>
      <w:pPr>
        <w:widowControl/>
        <w:spacing w:line="300" w:lineRule="exact"/>
        <w:ind w:firstLine="840" w:firstLineChars="300"/>
        <w:rPr>
          <w:rFonts w:hint="default" w:ascii="仿宋" w:hAnsi="仿宋" w:eastAsia="仿宋" w:cs="宋体"/>
          <w:b/>
          <w:color w:val="000000"/>
          <w:sz w:val="28"/>
          <w:szCs w:val="28"/>
        </w:rPr>
      </w:pPr>
      <w:r>
        <w:rPr>
          <w:rFonts w:ascii="仿宋" w:hAnsi="仿宋" w:eastAsia="仿宋" w:cs="宋体"/>
          <w:bCs/>
          <w:color w:val="000000"/>
          <w:sz w:val="28"/>
          <w:szCs w:val="28"/>
        </w:rPr>
        <w:t>2019年10月25日—10月29日（25日全天报到）  南宁市</w:t>
      </w:r>
    </w:p>
    <w:p>
      <w:pPr>
        <w:widowControl/>
        <w:spacing w:line="310" w:lineRule="exact"/>
        <w:rPr>
          <w:rFonts w:hint="default" w:ascii="仿宋" w:hAnsi="仿宋" w:eastAsia="仿宋" w:cs="宋体"/>
          <w:b/>
          <w:color w:val="000000"/>
          <w:sz w:val="28"/>
          <w:szCs w:val="28"/>
        </w:rPr>
      </w:pPr>
      <w:r>
        <w:rPr>
          <w:rFonts w:ascii="仿宋" w:hAnsi="仿宋" w:eastAsia="仿宋" w:cs="宋体"/>
          <w:b/>
          <w:color w:val="000000"/>
          <w:sz w:val="28"/>
          <w:szCs w:val="28"/>
        </w:rPr>
        <w:t>五、收费标准（A/B请选择）</w:t>
      </w:r>
    </w:p>
    <w:p>
      <w:pPr>
        <w:widowControl/>
        <w:spacing w:line="310" w:lineRule="exact"/>
        <w:ind w:firstLine="560"/>
        <w:rPr>
          <w:rFonts w:hint="default" w:ascii="仿宋" w:hAnsi="仿宋" w:eastAsia="仿宋" w:cs="宋体"/>
          <w:color w:val="000000"/>
          <w:sz w:val="28"/>
          <w:szCs w:val="28"/>
        </w:rPr>
      </w:pPr>
      <w:r>
        <w:rPr>
          <w:rFonts w:ascii="仿宋" w:hAnsi="仿宋" w:eastAsia="仿宋" w:cs="宋体"/>
          <w:color w:val="000000"/>
          <w:sz w:val="28"/>
          <w:szCs w:val="28"/>
        </w:rPr>
        <w:t>2800元/人（含培训、资料、电子课件、场地、专家等），食宿统一安排，费用自理。</w:t>
      </w:r>
    </w:p>
    <w:p>
      <w:pPr>
        <w:autoSpaceDE/>
        <w:autoSpaceDN/>
        <w:adjustRightInd/>
        <w:spacing w:line="310" w:lineRule="exact"/>
        <w:jc w:val="both"/>
        <w:rPr>
          <w:rFonts w:hint="default" w:ascii="仿宋" w:hAnsi="仿宋" w:eastAsia="仿宋" w:cs="仿宋"/>
          <w:b/>
          <w:kern w:val="2"/>
          <w:sz w:val="28"/>
          <w:szCs w:val="28"/>
        </w:rPr>
      </w:pPr>
      <w:r>
        <w:rPr>
          <w:rFonts w:ascii="仿宋" w:hAnsi="仿宋" w:eastAsia="仿宋" w:cs="仿宋"/>
          <w:b/>
          <w:kern w:val="2"/>
          <w:sz w:val="28"/>
          <w:szCs w:val="28"/>
        </w:rPr>
        <w:t>六、报名方式</w:t>
      </w:r>
    </w:p>
    <w:p>
      <w:pPr>
        <w:autoSpaceDE/>
        <w:autoSpaceDN/>
        <w:adjustRightInd/>
        <w:spacing w:line="31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请参加人员按要求认真填写报名表（附后），传真至会务组，我们将按报名先后传发报到通知。</w:t>
      </w:r>
    </w:p>
    <w:p>
      <w:pPr>
        <w:autoSpaceDE/>
        <w:autoSpaceDN/>
        <w:adjustRightInd/>
        <w:spacing w:line="320" w:lineRule="exact"/>
        <w:rPr>
          <w:rFonts w:hint="eastAsia" w:ascii="仿宋" w:hAnsi="仿宋" w:eastAsia="仿宋" w:cs="仿宋"/>
          <w:bCs/>
          <w:kern w:val="2"/>
          <w:sz w:val="28"/>
          <w:szCs w:val="28"/>
        </w:rPr>
      </w:pPr>
      <w:r>
        <w:rPr>
          <w:rFonts w:hint="eastAsia" w:ascii="仿宋" w:hAnsi="仿宋" w:eastAsia="仿宋" w:cs="仿宋"/>
          <w:bCs/>
          <w:kern w:val="2"/>
          <w:sz w:val="28"/>
          <w:szCs w:val="28"/>
        </w:rPr>
        <w:t>报名联系人：聂红军 主任 18211071700（微信）   邮  箱：zqgphwz@126.com</w:t>
      </w:r>
    </w:p>
    <w:p>
      <w:pPr>
        <w:autoSpaceDE/>
        <w:autoSpaceDN/>
        <w:adjustRightInd/>
        <w:spacing w:line="320" w:lineRule="exact"/>
        <w:rPr>
          <w:rFonts w:hint="eastAsia" w:ascii="仿宋" w:hAnsi="仿宋" w:eastAsia="仿宋" w:cs="仿宋"/>
          <w:bCs/>
          <w:kern w:val="2"/>
          <w:sz w:val="28"/>
          <w:szCs w:val="28"/>
        </w:rPr>
      </w:pPr>
      <w:r>
        <w:rPr>
          <w:rFonts w:hint="eastAsia" w:ascii="仿宋" w:hAnsi="仿宋" w:eastAsia="仿宋" w:cs="仿宋"/>
          <w:bCs/>
          <w:kern w:val="2"/>
          <w:sz w:val="28"/>
          <w:szCs w:val="28"/>
        </w:rPr>
        <w:t xml:space="preserve">电话（传真）：010-87697580                  qq咨询：3177524020   </w:t>
      </w:r>
    </w:p>
    <w:p>
      <w:pPr>
        <w:autoSpaceDE/>
        <w:autoSpaceDN/>
        <w:adjustRightInd/>
        <w:spacing w:line="320" w:lineRule="exact"/>
        <w:rPr>
          <w:rFonts w:hint="default" w:ascii="仿宋_GB2312" w:hAnsi="Times New Roman" w:eastAsia="仿宋_GB2312"/>
          <w:kern w:val="2"/>
          <w:sz w:val="28"/>
          <w:szCs w:val="28"/>
        </w:rPr>
      </w:pPr>
      <w:r>
        <w:rPr>
          <w:rFonts w:hint="eastAsia" w:ascii="仿宋" w:hAnsi="仿宋" w:eastAsia="仿宋" w:cs="仿宋"/>
          <w:bCs/>
          <w:kern w:val="2"/>
          <w:sz w:val="28"/>
          <w:szCs w:val="28"/>
        </w:rPr>
        <w:t xml:space="preserve">网址查询：http://www.zqgpchina.cn/    </w:t>
      </w:r>
    </w:p>
    <w:p>
      <w:pPr>
        <w:autoSpaceDE/>
        <w:autoSpaceDN/>
        <w:adjustRightInd/>
        <w:spacing w:line="320" w:lineRule="exact"/>
        <w:rPr>
          <w:rFonts w:hint="default" w:ascii="仿宋_GB2312" w:hAnsi="Times New Roman" w:eastAsia="仿宋_GB2312"/>
          <w:kern w:val="2"/>
          <w:sz w:val="28"/>
          <w:szCs w:val="28"/>
        </w:rPr>
      </w:pPr>
    </w:p>
    <w:p>
      <w:pPr>
        <w:autoSpaceDE/>
        <w:autoSpaceDN/>
        <w:adjustRightInd/>
        <w:spacing w:line="320" w:lineRule="exact"/>
        <w:rPr>
          <w:rFonts w:hint="default" w:ascii="仿宋_GB2312" w:hAnsi="Times New Roman" w:eastAsia="仿宋_GB2312"/>
          <w:kern w:val="2"/>
          <w:sz w:val="28"/>
          <w:szCs w:val="28"/>
        </w:rPr>
      </w:pPr>
      <w:r>
        <w:rPr>
          <w:rFonts w:ascii="仿宋_GB2312" w:hAnsi="Times New Roman" w:eastAsia="仿宋_GB2312"/>
          <w:kern w:val="2"/>
          <w:sz w:val="28"/>
          <w:szCs w:val="28"/>
        </w:rPr>
        <w:t>附件：</w:t>
      </w:r>
    </w:p>
    <w:p>
      <w:pPr>
        <w:autoSpaceDE/>
        <w:autoSpaceDN/>
        <w:adjustRightInd/>
        <w:spacing w:line="320" w:lineRule="exact"/>
        <w:jc w:val="center"/>
        <w:rPr>
          <w:rFonts w:hint="default" w:ascii="仿宋_GB2312" w:hAnsi="Times New Roman" w:eastAsia="仿宋_GB2312"/>
          <w:kern w:val="2"/>
          <w:sz w:val="28"/>
          <w:szCs w:val="28"/>
        </w:rPr>
      </w:pPr>
      <w:r>
        <w:rPr>
          <w:rFonts w:ascii="仿宋_GB2312" w:hAnsi="Times New Roman" w:eastAsia="仿宋_GB2312"/>
          <w:kern w:val="2"/>
          <w:sz w:val="28"/>
          <w:szCs w:val="28"/>
        </w:rPr>
        <w:t>“国有资本授权经营体制改革、制定授权放权清单及国有企业混合所有制改革、国企薪酬绩效改革与长效激励要点”专题培训班</w:t>
      </w:r>
    </w:p>
    <w:tbl>
      <w:tblPr>
        <w:tblStyle w:val="6"/>
        <w:tblpPr w:leftFromText="180" w:rightFromText="180" w:vertAnchor="page" w:horzAnchor="margin" w:tblpY="265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269"/>
        <w:gridCol w:w="141"/>
        <w:gridCol w:w="277"/>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单位名称</w:t>
            </w:r>
          </w:p>
        </w:tc>
        <w:tc>
          <w:tcPr>
            <w:tcW w:w="4959" w:type="dxa"/>
            <w:gridSpan w:val="7"/>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p>
        </w:tc>
        <w:tc>
          <w:tcPr>
            <w:tcW w:w="850"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邮编</w:t>
            </w:r>
          </w:p>
        </w:tc>
        <w:tc>
          <w:tcPr>
            <w:tcW w:w="2275" w:type="dxa"/>
            <w:gridSpan w:val="2"/>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单位地址</w:t>
            </w:r>
          </w:p>
        </w:tc>
        <w:tc>
          <w:tcPr>
            <w:tcW w:w="8084" w:type="dxa"/>
            <w:gridSpan w:val="11"/>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联系人</w:t>
            </w:r>
          </w:p>
        </w:tc>
        <w:tc>
          <w:tcPr>
            <w:tcW w:w="2131" w:type="dxa"/>
            <w:gridSpan w:val="2"/>
            <w:vAlign w:val="center"/>
          </w:tcPr>
          <w:p>
            <w:pPr>
              <w:autoSpaceDE/>
              <w:autoSpaceDN/>
              <w:adjustRightInd/>
              <w:spacing w:line="360" w:lineRule="exact"/>
              <w:ind w:right="-168" w:rightChars="-70" w:firstLine="96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职位/岗位</w:t>
            </w:r>
          </w:p>
        </w:tc>
        <w:tc>
          <w:tcPr>
            <w:tcW w:w="3543" w:type="dxa"/>
            <w:gridSpan w:val="6"/>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办公电话</w:t>
            </w:r>
          </w:p>
        </w:tc>
        <w:tc>
          <w:tcPr>
            <w:tcW w:w="213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    机</w:t>
            </w:r>
          </w:p>
        </w:tc>
        <w:tc>
          <w:tcPr>
            <w:tcW w:w="3543" w:type="dxa"/>
            <w:gridSpan w:val="6"/>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传   真</w:t>
            </w:r>
          </w:p>
        </w:tc>
        <w:tc>
          <w:tcPr>
            <w:tcW w:w="213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电子信箱</w:t>
            </w:r>
          </w:p>
        </w:tc>
        <w:tc>
          <w:tcPr>
            <w:tcW w:w="3543" w:type="dxa"/>
            <w:gridSpan w:val="6"/>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参加培训人员</w:t>
            </w:r>
          </w:p>
        </w:tc>
        <w:tc>
          <w:tcPr>
            <w:tcW w:w="849"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性别</w:t>
            </w:r>
          </w:p>
        </w:tc>
        <w:tc>
          <w:tcPr>
            <w:tcW w:w="1282"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职务</w:t>
            </w:r>
          </w:p>
        </w:tc>
        <w:tc>
          <w:tcPr>
            <w:tcW w:w="198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电话</w:t>
            </w:r>
          </w:p>
        </w:tc>
        <w:tc>
          <w:tcPr>
            <w:tcW w:w="1985" w:type="dxa"/>
            <w:gridSpan w:val="7"/>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手机</w:t>
            </w:r>
          </w:p>
        </w:tc>
        <w:tc>
          <w:tcPr>
            <w:tcW w:w="198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7"/>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是否住宿</w:t>
            </w:r>
          </w:p>
        </w:tc>
        <w:tc>
          <w:tcPr>
            <w:tcW w:w="2131" w:type="dxa"/>
            <w:gridSpan w:val="2"/>
            <w:vAlign w:val="center"/>
          </w:tcPr>
          <w:p>
            <w:pPr>
              <w:widowControl/>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□是     □否</w:t>
            </w:r>
          </w:p>
        </w:tc>
        <w:tc>
          <w:tcPr>
            <w:tcW w:w="1984" w:type="dxa"/>
            <w:vAlign w:val="center"/>
          </w:tcPr>
          <w:p>
            <w:pPr>
              <w:widowControl/>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住宿标准</w:t>
            </w:r>
          </w:p>
        </w:tc>
        <w:tc>
          <w:tcPr>
            <w:tcW w:w="3969" w:type="dxa"/>
            <w:gridSpan w:val="8"/>
          </w:tcPr>
          <w:p>
            <w:pPr>
              <w:widowControl/>
              <w:autoSpaceDE/>
              <w:autoSpaceDN/>
              <w:adjustRightInd/>
              <w:spacing w:line="360" w:lineRule="exact"/>
              <w:ind w:right="-168" w:rightChars="-70"/>
              <w:jc w:val="both"/>
              <w:rPr>
                <w:rFonts w:hint="default" w:ascii="Times New Roman" w:hAnsi="Times New Roman"/>
                <w:kern w:val="2"/>
                <w:sz w:val="21"/>
                <w:szCs w:val="22"/>
              </w:rPr>
            </w:pPr>
            <w:r>
              <w:rPr>
                <w:rFonts w:ascii="仿宋_GB2312" w:hAnsi="Times New Roman" w:eastAsia="仿宋_GB2312"/>
                <w:kern w:val="2"/>
                <w:szCs w:val="22"/>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参会地点</w:t>
            </w:r>
          </w:p>
        </w:tc>
        <w:tc>
          <w:tcPr>
            <w:tcW w:w="8084" w:type="dxa"/>
            <w:gridSpan w:val="11"/>
            <w:vAlign w:val="center"/>
          </w:tcPr>
          <w:p>
            <w:pPr>
              <w:autoSpaceDE/>
              <w:autoSpaceDN/>
              <w:adjustRightInd/>
              <w:spacing w:line="360" w:lineRule="exact"/>
              <w:ind w:right="-168" w:rightChars="-70" w:firstLine="2520" w:firstLineChars="1050"/>
              <w:jc w:val="both"/>
              <w:rPr>
                <w:rFonts w:hint="default" w:ascii="仿宋_GB2312" w:hAnsi="Times New Roman" w:eastAsia="仿宋_GB2312"/>
                <w:color w:val="FF0000"/>
                <w:kern w:val="2"/>
                <w:szCs w:val="22"/>
              </w:rPr>
            </w:pPr>
            <w:r>
              <w:rPr>
                <w:rFonts w:hint="eastAsia" w:ascii="仿宋_GB2312" w:hAnsi="Times New Roman" w:eastAsia="仿宋_GB2312"/>
                <w:color w:val="000000"/>
                <w:kern w:val="2"/>
                <w:szCs w:val="22"/>
                <w:lang w:eastAsia="zh-CN"/>
              </w:rPr>
              <w:t>太原</w:t>
            </w:r>
            <w:bookmarkStart w:id="0" w:name="_GoBack"/>
            <w:bookmarkEnd w:id="0"/>
            <w:r>
              <w:rPr>
                <w:rFonts w:ascii="仿宋_GB2312" w:hAnsi="Times New Roman" w:eastAsia="仿宋_GB2312"/>
                <w:color w:val="000000"/>
                <w:kern w:val="2"/>
                <w:szCs w:val="22"/>
              </w:rPr>
              <w:t>□</w:t>
            </w:r>
            <w:r>
              <w:rPr>
                <w:rFonts w:hint="default" w:ascii="仿宋_GB2312" w:hAnsi="Times New Roman" w:eastAsia="仿宋_GB2312"/>
                <w:color w:val="000000"/>
                <w:kern w:val="2"/>
                <w:szCs w:val="22"/>
              </w:rPr>
              <w:t xml:space="preserve">  </w:t>
            </w:r>
            <w:r>
              <w:rPr>
                <w:rFonts w:ascii="仿宋_GB2312" w:hAnsi="Times New Roman" w:eastAsia="仿宋_GB2312"/>
                <w:color w:val="000000"/>
                <w:kern w:val="2"/>
                <w:szCs w:val="22"/>
              </w:rPr>
              <w:t>成都</w:t>
            </w:r>
            <w:r>
              <w:rPr>
                <w:rFonts w:hint="default" w:ascii="仿宋_GB2312" w:hAnsi="Times New Roman" w:eastAsia="仿宋_GB2312"/>
                <w:color w:val="000000"/>
                <w:kern w:val="2"/>
                <w:szCs w:val="22"/>
              </w:rPr>
              <w:t xml:space="preserve">□  </w:t>
            </w:r>
            <w:r>
              <w:rPr>
                <w:rFonts w:ascii="仿宋_GB2312" w:hAnsi="Times New Roman" w:eastAsia="仿宋_GB2312"/>
                <w:color w:val="000000"/>
                <w:kern w:val="2"/>
                <w:szCs w:val="22"/>
              </w:rPr>
              <w:t>杭州</w:t>
            </w:r>
            <w:r>
              <w:rPr>
                <w:rFonts w:hint="default" w:ascii="仿宋_GB2312" w:hAnsi="Times New Roman" w:eastAsia="仿宋_GB2312"/>
                <w:color w:val="000000"/>
                <w:kern w:val="2"/>
                <w:szCs w:val="22"/>
              </w:rPr>
              <w:t xml:space="preserve">□  </w:t>
            </w:r>
            <w:r>
              <w:rPr>
                <w:rFonts w:ascii="仿宋_GB2312" w:hAnsi="Times New Roman" w:eastAsia="仿宋_GB2312"/>
                <w:color w:val="000000"/>
                <w:kern w:val="2"/>
                <w:szCs w:val="22"/>
              </w:rPr>
              <w:t>南宁</w:t>
            </w:r>
            <w:r>
              <w:rPr>
                <w:rFonts w:hint="default" w:ascii="仿宋_GB2312" w:hAnsi="Times New Roman" w:eastAsia="仿宋_GB2312"/>
                <w:color w:val="000000"/>
                <w:kern w:val="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663" w:type="dxa"/>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付款方式</w:t>
            </w:r>
          </w:p>
        </w:tc>
        <w:tc>
          <w:tcPr>
            <w:tcW w:w="4272" w:type="dxa"/>
            <w:gridSpan w:val="4"/>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 xml:space="preserve">□通过银行     □通过网银 </w:t>
            </w:r>
          </w:p>
        </w:tc>
        <w:tc>
          <w:tcPr>
            <w:tcW w:w="996" w:type="dxa"/>
            <w:gridSpan w:val="4"/>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金额</w:t>
            </w:r>
          </w:p>
        </w:tc>
        <w:tc>
          <w:tcPr>
            <w:tcW w:w="2816"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663" w:type="dxa"/>
          </w:tcPr>
          <w:p>
            <w:pPr>
              <w:autoSpaceDE/>
              <w:autoSpaceDN/>
              <w:adjustRightInd/>
              <w:spacing w:line="360" w:lineRule="exact"/>
              <w:ind w:right="-168" w:rightChars="-70"/>
              <w:jc w:val="both"/>
              <w:rPr>
                <w:rFonts w:hint="default" w:ascii="仿宋_GB2312" w:hAnsi="Times New Roman" w:eastAsia="仿宋_GB2312"/>
                <w:b/>
                <w:bCs/>
                <w:kern w:val="2"/>
                <w:szCs w:val="22"/>
              </w:rPr>
            </w:pPr>
            <w:r>
              <w:rPr>
                <w:rFonts w:ascii="仿宋_GB2312" w:hAnsi="Times New Roman" w:eastAsia="仿宋_GB2312"/>
                <w:b/>
                <w:bCs/>
                <w:kern w:val="2"/>
                <w:szCs w:val="22"/>
              </w:rPr>
              <w:t>需要与专家</w:t>
            </w:r>
          </w:p>
          <w:p>
            <w:pPr>
              <w:autoSpaceDE/>
              <w:autoSpaceDN/>
              <w:adjustRightInd/>
              <w:spacing w:line="360" w:lineRule="exact"/>
              <w:ind w:right="-168" w:rightChars="-70"/>
              <w:jc w:val="both"/>
              <w:rPr>
                <w:rFonts w:hint="default" w:ascii="仿宋_GB2312" w:hAnsi="Times New Roman" w:eastAsia="仿宋_GB2312"/>
                <w:b/>
                <w:bCs/>
                <w:kern w:val="2"/>
                <w:szCs w:val="22"/>
              </w:rPr>
            </w:pPr>
            <w:r>
              <w:rPr>
                <w:rFonts w:ascii="仿宋_GB2312" w:hAnsi="Times New Roman" w:eastAsia="仿宋_GB2312"/>
                <w:b/>
                <w:bCs/>
                <w:kern w:val="2"/>
                <w:szCs w:val="22"/>
              </w:rPr>
              <w:t>沟通的问题</w:t>
            </w:r>
          </w:p>
        </w:tc>
        <w:tc>
          <w:tcPr>
            <w:tcW w:w="8084" w:type="dxa"/>
            <w:gridSpan w:val="11"/>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b/>
                <w:bCs/>
                <w:kern w:val="2"/>
                <w:szCs w:val="22"/>
              </w:rPr>
              <w:t>指定收款帐户</w:t>
            </w:r>
          </w:p>
        </w:tc>
        <w:tc>
          <w:tcPr>
            <w:tcW w:w="8084" w:type="dxa"/>
            <w:gridSpan w:val="11"/>
            <w:vAlign w:val="center"/>
          </w:tcPr>
          <w:p>
            <w:pPr>
              <w:autoSpaceDE/>
              <w:autoSpaceDN/>
              <w:adjustRightInd/>
              <w:spacing w:line="340" w:lineRule="exact"/>
              <w:jc w:val="both"/>
              <w:rPr>
                <w:rFonts w:hint="default" w:ascii="仿宋_GB2312" w:hAnsi="Times New Roman" w:eastAsia="仿宋_GB2312"/>
                <w:b/>
                <w:bCs/>
                <w:kern w:val="2"/>
                <w:sz w:val="28"/>
                <w:szCs w:val="28"/>
              </w:rPr>
            </w:pPr>
            <w:r>
              <w:rPr>
                <w:rFonts w:ascii="仿宋_GB2312" w:hAnsi="Times New Roman" w:eastAsia="仿宋_GB2312"/>
                <w:b/>
                <w:bCs/>
                <w:kern w:val="2"/>
                <w:sz w:val="28"/>
                <w:szCs w:val="28"/>
              </w:rPr>
              <w:t>单位全称</w:t>
            </w:r>
            <w:r>
              <w:rPr>
                <w:rFonts w:hint="default" w:ascii="仿宋_GB2312" w:hAnsi="Times New Roman" w:eastAsia="仿宋_GB2312"/>
                <w:b/>
                <w:bCs/>
                <w:kern w:val="2"/>
                <w:sz w:val="28"/>
                <w:szCs w:val="28"/>
              </w:rPr>
              <w:t xml:space="preserve">: 北京国网信科技术培训中心 </w:t>
            </w:r>
          </w:p>
          <w:p>
            <w:pPr>
              <w:autoSpaceDE/>
              <w:autoSpaceDN/>
              <w:adjustRightInd/>
              <w:spacing w:line="340" w:lineRule="exact"/>
              <w:jc w:val="both"/>
              <w:rPr>
                <w:rFonts w:hint="default" w:ascii="仿宋_GB2312" w:hAnsi="Times New Roman" w:eastAsia="仿宋_GB2312"/>
                <w:b/>
                <w:bCs/>
                <w:kern w:val="2"/>
                <w:sz w:val="28"/>
                <w:szCs w:val="28"/>
              </w:rPr>
            </w:pPr>
            <w:r>
              <w:rPr>
                <w:rFonts w:ascii="仿宋_GB2312" w:hAnsi="Times New Roman" w:eastAsia="仿宋_GB2312"/>
                <w:b/>
                <w:bCs/>
                <w:kern w:val="2"/>
                <w:sz w:val="28"/>
                <w:szCs w:val="28"/>
              </w:rPr>
              <w:t>开</w:t>
            </w:r>
            <w:r>
              <w:rPr>
                <w:rFonts w:hint="default" w:ascii="仿宋_GB2312" w:hAnsi="Times New Roman" w:eastAsia="仿宋_GB2312"/>
                <w:b/>
                <w:bCs/>
                <w:kern w:val="2"/>
                <w:sz w:val="28"/>
                <w:szCs w:val="28"/>
              </w:rPr>
              <w:t xml:space="preserve"> 户 行：中国工商银行股份有限公司北京半壁店支行</w:t>
            </w:r>
          </w:p>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b/>
                <w:bCs/>
                <w:kern w:val="2"/>
                <w:sz w:val="28"/>
                <w:szCs w:val="28"/>
              </w:rPr>
              <w:t>帐</w:t>
            </w:r>
            <w:r>
              <w:rPr>
                <w:rFonts w:hint="default" w:ascii="仿宋_GB2312" w:hAnsi="Times New Roman" w:eastAsia="仿宋_GB2312"/>
                <w:b/>
                <w:bCs/>
                <w:kern w:val="2"/>
                <w:sz w:val="28"/>
                <w:szCs w:val="28"/>
              </w:rPr>
              <w:t xml:space="preserve">    户： 0200 2470 0920 0063 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kern w:val="2"/>
                <w:szCs w:val="22"/>
              </w:rPr>
              <w:t>备注</w:t>
            </w:r>
          </w:p>
        </w:tc>
        <w:tc>
          <w:tcPr>
            <w:tcW w:w="4682"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ab/>
            </w:r>
            <w:r>
              <w:rPr>
                <w:rFonts w:ascii="仿宋_GB2312" w:hAnsi="Times New Roman" w:eastAsia="仿宋_GB2312"/>
                <w:kern w:val="2"/>
                <w:szCs w:val="22"/>
              </w:rPr>
              <w:t>请将参会回执回传或E-mail至会务组，在报名3日内将培训费通过银行或邮局等方式付款，会务组确认到款后即发《参会凭证》，其中将详细注明报到时间、地点、等具体安排事项。各参会代表凭证入场。</w:t>
            </w:r>
          </w:p>
        </w:tc>
        <w:tc>
          <w:tcPr>
            <w:tcW w:w="3402" w:type="dxa"/>
            <w:gridSpan w:val="5"/>
            <w:vAlign w:val="center"/>
          </w:tcPr>
          <w:p>
            <w:pPr>
              <w:autoSpaceDE/>
              <w:autoSpaceDN/>
              <w:adjustRightInd/>
              <w:spacing w:line="360" w:lineRule="exact"/>
              <w:ind w:right="-168" w:rightChars="-70" w:firstLine="840" w:firstLineChars="350"/>
              <w:jc w:val="both"/>
              <w:rPr>
                <w:rFonts w:hint="default"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240" w:firstLineChars="100"/>
              <w:jc w:val="both"/>
              <w:rPr>
                <w:rFonts w:hint="default" w:ascii="仿宋_GB2312" w:hAnsi="Times New Roman" w:eastAsia="仿宋_GB2312"/>
                <w:kern w:val="2"/>
                <w:szCs w:val="22"/>
              </w:rPr>
            </w:pPr>
            <w:r>
              <w:rPr>
                <w:rFonts w:ascii="仿宋_GB2312" w:hAnsi="Times New Roman" w:eastAsia="仿宋_GB2312"/>
                <w:kern w:val="2"/>
                <w:szCs w:val="22"/>
              </w:rPr>
              <w:t>二○一九年  月  日</w:t>
            </w:r>
          </w:p>
        </w:tc>
      </w:tr>
    </w:tbl>
    <w:p>
      <w:pPr>
        <w:autoSpaceDE/>
        <w:autoSpaceDN/>
        <w:adjustRightInd/>
        <w:spacing w:line="400" w:lineRule="exact"/>
        <w:jc w:val="both"/>
        <w:rPr>
          <w:rFonts w:hint="default" w:ascii="仿宋_GB2312" w:hAnsi="Times New Roman" w:eastAsia="仿宋_GB2312"/>
          <w:kern w:val="2"/>
          <w:sz w:val="28"/>
          <w:szCs w:val="28"/>
        </w:rPr>
      </w:pPr>
      <w:r>
        <w:rPr>
          <w:rFonts w:ascii="仿宋_GB2312" w:hAnsi="Times New Roman" w:eastAsia="仿宋_GB2312"/>
          <w:kern w:val="2"/>
          <w:sz w:val="28"/>
          <w:szCs w:val="28"/>
        </w:rPr>
        <w:t>备注：1.此表可复制，通知文件有限，请协助转发；</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hAnsi="Times New Roman" w:eastAsia="仿宋_GB2312"/>
          <w:kern w:val="2"/>
          <w:sz w:val="28"/>
          <w:szCs w:val="28"/>
        </w:rPr>
      </w:pPr>
      <w:r>
        <w:rPr>
          <w:rFonts w:hint="eastAsia" w:ascii="仿宋_GB2312" w:hAnsi="Times New Roman" w:eastAsia="仿宋_GB2312"/>
          <w:kern w:val="2"/>
          <w:sz w:val="28"/>
          <w:szCs w:val="28"/>
        </w:rPr>
        <w:t>报名联系人：聂红军 主任 18211071700（微信）       邮  箱：zqgphwz@126.com</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hAnsi="Times New Roman" w:eastAsia="仿宋_GB2312"/>
          <w:kern w:val="2"/>
          <w:sz w:val="28"/>
          <w:szCs w:val="28"/>
        </w:rPr>
      </w:pPr>
      <w:r>
        <w:rPr>
          <w:rFonts w:hint="eastAsia" w:ascii="仿宋_GB2312" w:hAnsi="Times New Roman" w:eastAsia="仿宋_GB2312"/>
          <w:kern w:val="2"/>
          <w:sz w:val="28"/>
          <w:szCs w:val="28"/>
        </w:rPr>
        <w:t xml:space="preserve">电话（传真）：010-87697580                          qq咨询：3177524020   </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仿宋_GB2312" w:hAnsi="Times New Roman" w:eastAsia="仿宋_GB2312"/>
          <w:kern w:val="2"/>
          <w:sz w:val="28"/>
          <w:szCs w:val="28"/>
        </w:rPr>
      </w:pPr>
      <w:r>
        <w:rPr>
          <w:rFonts w:hint="eastAsia" w:ascii="仿宋_GB2312" w:hAnsi="Times New Roman" w:eastAsia="仿宋_GB2312"/>
          <w:kern w:val="2"/>
          <w:sz w:val="28"/>
          <w:szCs w:val="28"/>
        </w:rPr>
        <w:t xml:space="preserve">网址查询：http://www.zqgpchina.cn/    </w:t>
      </w:r>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A0667"/>
    <w:multiLevelType w:val="multilevel"/>
    <w:tmpl w:val="400A0667"/>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67BD4"/>
    <w:rsid w:val="0009632B"/>
    <w:rsid w:val="000B5CF0"/>
    <w:rsid w:val="000E468A"/>
    <w:rsid w:val="001B15FC"/>
    <w:rsid w:val="001D5820"/>
    <w:rsid w:val="001F266D"/>
    <w:rsid w:val="001F2CC6"/>
    <w:rsid w:val="00246647"/>
    <w:rsid w:val="002733FA"/>
    <w:rsid w:val="002A36D0"/>
    <w:rsid w:val="002B34D8"/>
    <w:rsid w:val="003C5EEF"/>
    <w:rsid w:val="00412431"/>
    <w:rsid w:val="004127EC"/>
    <w:rsid w:val="00444929"/>
    <w:rsid w:val="00483CEC"/>
    <w:rsid w:val="004C2C6B"/>
    <w:rsid w:val="00574464"/>
    <w:rsid w:val="005C173C"/>
    <w:rsid w:val="005D62EA"/>
    <w:rsid w:val="005F1C0F"/>
    <w:rsid w:val="00605B40"/>
    <w:rsid w:val="00657822"/>
    <w:rsid w:val="00661902"/>
    <w:rsid w:val="006E23D4"/>
    <w:rsid w:val="006F58F0"/>
    <w:rsid w:val="007715BD"/>
    <w:rsid w:val="007B182F"/>
    <w:rsid w:val="007B7767"/>
    <w:rsid w:val="008116B5"/>
    <w:rsid w:val="00832BCD"/>
    <w:rsid w:val="00852438"/>
    <w:rsid w:val="00860964"/>
    <w:rsid w:val="00862FA1"/>
    <w:rsid w:val="00880E88"/>
    <w:rsid w:val="008B199B"/>
    <w:rsid w:val="008E378E"/>
    <w:rsid w:val="008E633F"/>
    <w:rsid w:val="008E79C6"/>
    <w:rsid w:val="00915C1A"/>
    <w:rsid w:val="009410E9"/>
    <w:rsid w:val="009700EB"/>
    <w:rsid w:val="00981D3A"/>
    <w:rsid w:val="009A029B"/>
    <w:rsid w:val="009A4718"/>
    <w:rsid w:val="00A55121"/>
    <w:rsid w:val="00A6330C"/>
    <w:rsid w:val="00A80C12"/>
    <w:rsid w:val="00AB4C35"/>
    <w:rsid w:val="00B13388"/>
    <w:rsid w:val="00B76269"/>
    <w:rsid w:val="00B865F7"/>
    <w:rsid w:val="00B87A6C"/>
    <w:rsid w:val="00B94216"/>
    <w:rsid w:val="00BB0019"/>
    <w:rsid w:val="00BC37A5"/>
    <w:rsid w:val="00BE0FB0"/>
    <w:rsid w:val="00BE59C6"/>
    <w:rsid w:val="00C44BC1"/>
    <w:rsid w:val="00C6260C"/>
    <w:rsid w:val="00C876D5"/>
    <w:rsid w:val="00C96EE4"/>
    <w:rsid w:val="00C96EFB"/>
    <w:rsid w:val="00CA285C"/>
    <w:rsid w:val="00CB3436"/>
    <w:rsid w:val="00D038F2"/>
    <w:rsid w:val="00D20196"/>
    <w:rsid w:val="00D74547"/>
    <w:rsid w:val="00DA4E2E"/>
    <w:rsid w:val="00DC5B74"/>
    <w:rsid w:val="00E40FB3"/>
    <w:rsid w:val="00E57878"/>
    <w:rsid w:val="00EF1D2F"/>
    <w:rsid w:val="00EF3778"/>
    <w:rsid w:val="00F2027E"/>
    <w:rsid w:val="00F675D5"/>
    <w:rsid w:val="00F87486"/>
    <w:rsid w:val="00FA0A5B"/>
    <w:rsid w:val="00FA5D57"/>
    <w:rsid w:val="00FB6D92"/>
    <w:rsid w:val="00FD00BF"/>
    <w:rsid w:val="103234D1"/>
    <w:rsid w:val="10753162"/>
    <w:rsid w:val="10A04439"/>
    <w:rsid w:val="199C534B"/>
    <w:rsid w:val="1AF60696"/>
    <w:rsid w:val="1B3225F5"/>
    <w:rsid w:val="259034D9"/>
    <w:rsid w:val="30EF17C3"/>
    <w:rsid w:val="37284C14"/>
    <w:rsid w:val="42E56AFC"/>
    <w:rsid w:val="575D3B01"/>
    <w:rsid w:val="70250144"/>
    <w:rsid w:val="75313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widowControl/>
      <w:autoSpaceDE/>
      <w:autoSpaceDN/>
      <w:adjustRightInd/>
      <w:ind w:firstLine="420" w:firstLineChars="200"/>
    </w:pPr>
    <w:rPr>
      <w:rFonts w:hint="default" w:cs="宋体"/>
      <w:szCs w:val="24"/>
    </w:rPr>
  </w:style>
  <w:style w:type="character" w:customStyle="1" w:styleId="12">
    <w:name w:val="批注框文本 Char"/>
    <w:basedOn w:val="7"/>
    <w:link w:val="2"/>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648</Words>
  <Characters>3694</Characters>
  <Lines>30</Lines>
  <Paragraphs>8</Paragraphs>
  <TotalTime>220</TotalTime>
  <ScaleCrop>false</ScaleCrop>
  <LinksUpToDate>false</LinksUpToDate>
  <CharactersWithSpaces>4334</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2019-01-16T10:23:00Z</dcterms:created>
  <dc:creator>微软用户</dc:creator>
  <cp:lastModifiedBy>Administrator</cp:lastModifiedBy>
  <dcterms:modified xsi:type="dcterms:W3CDTF">2019-07-16T08:04:31Z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