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48" w:type="dxa"/>
        <w:jc w:val="center"/>
        <w:tblInd w:w="-77"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1" w:hRule="atLeast"/>
          <w:jc w:val="center"/>
        </w:trPr>
        <w:tc>
          <w:tcPr>
            <w:tcW w:w="9248" w:type="dxa"/>
            <w:vAlign w:val="center"/>
          </w:tcPr>
          <w:p>
            <w:pPr>
              <w:autoSpaceDE/>
              <w:autoSpaceDN/>
              <w:jc w:val="center"/>
              <w:rPr>
                <w:rFonts w:hint="default" w:ascii="楷体" w:hAnsi="楷体" w:eastAsia="楷体"/>
                <w:color w:val="FF0000"/>
                <w:sz w:val="90"/>
                <w:szCs w:val="90"/>
              </w:rPr>
            </w:pPr>
            <w:r>
              <w:rPr>
                <w:rFonts w:ascii="楷体" w:hAnsi="楷体" w:eastAsia="楷体" w:cs="宋体"/>
                <w:color w:val="000000" w:themeColor="text1"/>
                <w:szCs w:val="24"/>
                <w:lang w:val="zh-CN"/>
                <w14:textFill>
                  <w14:solidFill>
                    <w14:schemeClr w14:val="tx1"/>
                  </w14:solidFill>
                </w14:textFill>
              </w:rPr>
              <w:t xml:space="preserve"> </w:t>
            </w:r>
            <w:r>
              <w:rPr>
                <w:rFonts w:ascii="楷体" w:hAnsi="楷体" w:eastAsia="楷体"/>
                <w:color w:val="FF0000"/>
                <w:sz w:val="90"/>
                <w:szCs w:val="90"/>
              </w:rPr>
              <w:t>中 国 投 资 协 会</w:t>
            </w:r>
          </w:p>
          <w:p>
            <w:pPr>
              <w:autoSpaceDE/>
              <w:autoSpaceDN/>
              <w:jc w:val="center"/>
              <w:rPr>
                <w:rFonts w:hint="default" w:ascii="楷体" w:hAnsi="楷体" w:eastAsia="楷体"/>
                <w:color w:val="FF0000"/>
                <w:sz w:val="66"/>
                <w:szCs w:val="66"/>
              </w:rPr>
            </w:pPr>
            <w:r>
              <w:rPr>
                <w:rFonts w:ascii="楷体" w:hAnsi="楷体" w:eastAsia="楷体"/>
                <w:color w:val="FF0000"/>
                <w:sz w:val="66"/>
                <w:szCs w:val="66"/>
              </w:rPr>
              <w:t>项目投融资专业委员会文件</w:t>
            </w:r>
          </w:p>
          <w:p>
            <w:pPr>
              <w:autoSpaceDE/>
              <w:autoSpaceDN/>
              <w:jc w:val="center"/>
              <w:rPr>
                <w:rFonts w:hint="default" w:ascii="楷体" w:hAnsi="楷体" w:eastAsia="楷体"/>
                <w:color w:val="000000" w:themeColor="text1"/>
                <w:sz w:val="66"/>
                <w:szCs w:val="66"/>
                <w14:textFill>
                  <w14:solidFill>
                    <w14:schemeClr w14:val="tx1"/>
                  </w14:solidFill>
                </w14:textFill>
              </w:rPr>
            </w:pPr>
            <w:r>
              <w:rPr>
                <w:rFonts w:ascii="楷体" w:hAnsi="楷体" w:eastAsia="楷体" w:cs="宋体"/>
                <w:sz w:val="30"/>
                <w:szCs w:val="30"/>
              </w:rPr>
              <w:t>投融字〔</w:t>
            </w:r>
            <w:r>
              <w:rPr>
                <w:rFonts w:ascii="楷体" w:hAnsi="楷体" w:eastAsia="楷体"/>
                <w:sz w:val="30"/>
                <w:szCs w:val="30"/>
              </w:rPr>
              <w:t>2019</w:t>
            </w:r>
            <w:r>
              <w:rPr>
                <w:rFonts w:ascii="楷体" w:hAnsi="楷体" w:eastAsia="楷体" w:cs="宋体"/>
                <w:sz w:val="30"/>
                <w:szCs w:val="30"/>
              </w:rPr>
              <w:t>〕9号</w:t>
            </w:r>
          </w:p>
        </w:tc>
      </w:tr>
    </w:tbl>
    <w:p>
      <w:pPr>
        <w:spacing w:line="440" w:lineRule="exact"/>
        <w:jc w:val="center"/>
        <w:rPr>
          <w:rFonts w:hint="default" w:ascii="黑体" w:hAnsi="黑体" w:eastAsia="黑体" w:cs="黑体"/>
          <w:color w:val="000000"/>
          <w:sz w:val="30"/>
          <w:szCs w:val="30"/>
        </w:rPr>
      </w:pPr>
    </w:p>
    <w:p>
      <w:pPr>
        <w:spacing w:line="440" w:lineRule="exact"/>
        <w:jc w:val="center"/>
        <w:rPr>
          <w:rFonts w:hint="default" w:ascii="黑体" w:hAnsi="黑体" w:eastAsia="黑体" w:cs="黑体"/>
          <w:color w:val="000000"/>
          <w:sz w:val="30"/>
          <w:szCs w:val="30"/>
        </w:rPr>
      </w:pPr>
      <w:r>
        <w:rPr>
          <w:rFonts w:asciiTheme="majorEastAsia" w:hAnsiTheme="majorEastAsia" w:eastAsiaTheme="majorEastAsia" w:cstheme="majorEastAsia"/>
          <w:b/>
          <w:bCs/>
          <w:color w:val="000000"/>
          <w:sz w:val="36"/>
          <w:szCs w:val="36"/>
        </w:rPr>
        <w:t>关于举办“贯彻国资授权经营改革 构造国企长效激励机制  培训班”的通知</w:t>
      </w:r>
    </w:p>
    <w:p>
      <w:pPr>
        <w:autoSpaceDE/>
        <w:autoSpaceDN/>
        <w:adjustRightInd/>
        <w:spacing w:line="420" w:lineRule="exact"/>
        <w:jc w:val="both"/>
        <w:rPr>
          <w:rFonts w:hint="default" w:ascii="仿宋" w:hAnsi="仿宋" w:eastAsia="仿宋" w:cs="仿宋"/>
          <w:b/>
          <w:bCs/>
          <w:kern w:val="2"/>
          <w:sz w:val="32"/>
          <w:szCs w:val="32"/>
        </w:rPr>
      </w:pPr>
    </w:p>
    <w:p>
      <w:pPr>
        <w:autoSpaceDE/>
        <w:autoSpaceDN/>
        <w:adjustRightInd/>
        <w:spacing w:line="360" w:lineRule="exact"/>
        <w:jc w:val="both"/>
        <w:rPr>
          <w:rFonts w:hint="default" w:ascii="仿宋" w:hAnsi="仿宋" w:eastAsia="仿宋" w:cs="仿宋"/>
          <w:kern w:val="2"/>
          <w:sz w:val="28"/>
          <w:szCs w:val="28"/>
        </w:rPr>
      </w:pPr>
      <w:r>
        <w:rPr>
          <w:rFonts w:ascii="仿宋" w:hAnsi="仿宋" w:eastAsia="仿宋" w:cs="仿宋"/>
          <w:kern w:val="2"/>
          <w:sz w:val="28"/>
          <w:szCs w:val="28"/>
        </w:rPr>
        <w:t>各有关单位:</w:t>
      </w:r>
    </w:p>
    <w:p>
      <w:pPr>
        <w:spacing w:line="360" w:lineRule="exact"/>
        <w:rPr>
          <w:rFonts w:hint="default" w:ascii="仿宋" w:hAnsi="仿宋" w:eastAsia="仿宋" w:cs="仿宋"/>
          <w:bCs/>
          <w:kern w:val="2"/>
          <w:sz w:val="28"/>
          <w:szCs w:val="28"/>
        </w:rPr>
      </w:pPr>
      <w:r>
        <w:rPr>
          <w:rFonts w:ascii="仿宋" w:hAnsi="仿宋" w:eastAsia="仿宋" w:cs="仿宋"/>
          <w:bCs/>
          <w:kern w:val="2"/>
          <w:sz w:val="28"/>
          <w:szCs w:val="28"/>
        </w:rPr>
        <w:t xml:space="preserve">    为贯彻落实国务院《改革国有资本授权经营体制方案》（国发〔2019〕9号）关于“加快推进国有资本授权经营体制改革，进一步完善国有资本管理体制，推动国有经济布局结构调整，打造充满活力的现代国有企业”的任务要求，学习领会《关于改革国有企业工资决定机制的意见》（国发〔2018〕16号）以及《国务院国资委授权放权清单（2019年版）》等文件精神，中国投资协会项目投融资专业委员会会同</w:t>
      </w:r>
      <w:r>
        <w:rPr>
          <w:rFonts w:ascii="仿宋" w:hAnsi="仿宋" w:eastAsia="仿宋" w:cstheme="minorBidi"/>
          <w:kern w:val="2"/>
          <w:sz w:val="28"/>
          <w:szCs w:val="28"/>
        </w:rPr>
        <w:t>北京中科鼎创管理咨询有限公司</w:t>
      </w:r>
      <w:r>
        <w:rPr>
          <w:rFonts w:ascii="仿宋" w:hAnsi="仿宋" w:eastAsia="仿宋" w:cs="仿宋"/>
          <w:bCs/>
          <w:kern w:val="2"/>
          <w:sz w:val="28"/>
          <w:szCs w:val="28"/>
        </w:rPr>
        <w:t>举办“贯彻国资授权经营改革、构造国企长效激励机制培训班”。</w:t>
      </w:r>
    </w:p>
    <w:p>
      <w:pPr>
        <w:spacing w:line="360" w:lineRule="exact"/>
        <w:ind w:firstLine="560" w:firstLineChars="200"/>
        <w:rPr>
          <w:rFonts w:hint="default" w:ascii="仿宋" w:hAnsi="仿宋" w:eastAsia="仿宋" w:cs="仿宋"/>
          <w:bCs/>
          <w:color w:val="000000"/>
          <w:sz w:val="28"/>
          <w:szCs w:val="28"/>
        </w:rPr>
      </w:pPr>
      <w:r>
        <w:rPr>
          <w:rFonts w:ascii="仿宋" w:hAnsi="仿宋" w:eastAsia="仿宋" w:cs="仿宋"/>
          <w:bCs/>
          <w:kern w:val="2"/>
          <w:sz w:val="28"/>
          <w:szCs w:val="28"/>
        </w:rPr>
        <w:t>本次培训旨在帮助有关单位学习国企改革“1+N”系列文件精神，明确改革国有资本授权经营体制方案及授权放权清单，</w:t>
      </w:r>
      <w:r>
        <w:rPr>
          <w:rFonts w:ascii="仿宋" w:hAnsi="仿宋" w:eastAsia="仿宋" w:cs="仿宋"/>
          <w:bCs/>
          <w:color w:val="000000"/>
          <w:sz w:val="28"/>
          <w:szCs w:val="28"/>
        </w:rPr>
        <w:t>掌握混改和职工持股的实务要点，科学设计企业薪酬绩效体系，并</w:t>
      </w:r>
      <w:r>
        <w:rPr>
          <w:rFonts w:ascii="仿宋" w:hAnsi="仿宋" w:eastAsia="仿宋" w:cs="仿宋"/>
          <w:bCs/>
          <w:kern w:val="2"/>
          <w:sz w:val="28"/>
          <w:szCs w:val="28"/>
        </w:rPr>
        <w:t>结合案例分析核心难点问题，</w:t>
      </w:r>
      <w:r>
        <w:rPr>
          <w:rFonts w:ascii="仿宋" w:hAnsi="仿宋" w:eastAsia="仿宋" w:cs="仿宋"/>
          <w:bCs/>
          <w:color w:val="000000"/>
          <w:sz w:val="28"/>
          <w:szCs w:val="28"/>
        </w:rPr>
        <w:t>着力</w:t>
      </w:r>
      <w:r>
        <w:rPr>
          <w:rFonts w:ascii="仿宋" w:hAnsi="仿宋" w:eastAsia="仿宋" w:cs="仿宋"/>
          <w:bCs/>
          <w:kern w:val="2"/>
          <w:sz w:val="28"/>
          <w:szCs w:val="28"/>
        </w:rPr>
        <w:t>提高国企可持续发展能力，促进国有资本健康发展，助力培育具有全球竞争力的企业。</w:t>
      </w:r>
      <w:r>
        <w:rPr>
          <w:rFonts w:ascii="仿宋" w:hAnsi="仿宋" w:eastAsia="仿宋" w:cs="仿宋"/>
          <w:bCs/>
          <w:color w:val="000000"/>
          <w:sz w:val="28"/>
          <w:szCs w:val="28"/>
        </w:rPr>
        <w:t>现将有关事宜通知如下：</w:t>
      </w:r>
    </w:p>
    <w:p>
      <w:pPr>
        <w:numPr>
          <w:ilvl w:val="0"/>
          <w:numId w:val="1"/>
        </w:numPr>
        <w:spacing w:line="360" w:lineRule="exact"/>
        <w:ind w:firstLine="560" w:firstLineChars="200"/>
        <w:rPr>
          <w:rFonts w:hint="default" w:ascii="黑体" w:hAnsi="黑体" w:eastAsia="黑体" w:cs="黑体"/>
          <w:bCs/>
          <w:kern w:val="2"/>
          <w:sz w:val="28"/>
          <w:szCs w:val="28"/>
        </w:rPr>
      </w:pPr>
      <w:r>
        <w:rPr>
          <w:rFonts w:ascii="黑体" w:hAnsi="黑体" w:eastAsia="黑体" w:cs="黑体"/>
          <w:bCs/>
          <w:kern w:val="2"/>
          <w:sz w:val="28"/>
          <w:szCs w:val="28"/>
        </w:rPr>
        <w:t>组织机构</w:t>
      </w:r>
    </w:p>
    <w:p>
      <w:pPr>
        <w:spacing w:line="360" w:lineRule="exact"/>
        <w:ind w:firstLine="560" w:firstLineChars="200"/>
        <w:rPr>
          <w:rFonts w:hint="default" w:ascii="仿宋" w:hAnsi="仿宋" w:eastAsia="仿宋" w:cs="仿宋"/>
          <w:kern w:val="2"/>
          <w:sz w:val="28"/>
          <w:szCs w:val="28"/>
        </w:rPr>
      </w:pPr>
      <w:r>
        <w:rPr>
          <w:rFonts w:ascii="仿宋" w:hAnsi="仿宋" w:eastAsia="仿宋" w:cs="仿宋"/>
          <w:kern w:val="2"/>
          <w:sz w:val="28"/>
          <w:szCs w:val="28"/>
        </w:rPr>
        <w:t>主办单位：中国投资协会项目投融资专业委员会</w:t>
      </w:r>
    </w:p>
    <w:p>
      <w:pPr>
        <w:spacing w:line="360" w:lineRule="exact"/>
        <w:ind w:firstLine="560" w:firstLineChars="200"/>
        <w:rPr>
          <w:rFonts w:hint="default" w:ascii="仿宋" w:hAnsi="仿宋" w:eastAsia="仿宋" w:cstheme="minorBidi"/>
          <w:kern w:val="2"/>
          <w:sz w:val="28"/>
          <w:szCs w:val="28"/>
        </w:rPr>
      </w:pPr>
      <w:r>
        <w:rPr>
          <w:rFonts w:ascii="仿宋" w:hAnsi="仿宋" w:eastAsia="仿宋" w:cs="仿宋"/>
          <w:kern w:val="2"/>
          <w:sz w:val="28"/>
          <w:szCs w:val="28"/>
        </w:rPr>
        <w:t>承办单位：</w:t>
      </w:r>
      <w:r>
        <w:rPr>
          <w:rFonts w:ascii="仿宋" w:hAnsi="仿宋" w:eastAsia="仿宋" w:cstheme="minorBidi"/>
          <w:kern w:val="2"/>
          <w:sz w:val="28"/>
          <w:szCs w:val="28"/>
        </w:rPr>
        <w:t>北京中科鼎创管理咨询有限公司</w:t>
      </w:r>
    </w:p>
    <w:p>
      <w:pPr>
        <w:spacing w:line="360" w:lineRule="exact"/>
        <w:ind w:firstLine="560" w:firstLineChars="200"/>
        <w:rPr>
          <w:rFonts w:hint="default" w:ascii="黑体" w:hAnsi="黑体" w:eastAsia="黑体" w:cs="黑体"/>
          <w:bCs/>
          <w:kern w:val="2"/>
          <w:sz w:val="28"/>
          <w:szCs w:val="28"/>
        </w:rPr>
      </w:pPr>
      <w:r>
        <w:rPr>
          <w:rFonts w:ascii="黑体" w:hAnsi="黑体" w:eastAsia="黑体" w:cs="黑体"/>
          <w:bCs/>
          <w:kern w:val="2"/>
          <w:sz w:val="28"/>
          <w:szCs w:val="28"/>
        </w:rPr>
        <w:t>二、培训内容</w:t>
      </w:r>
      <w:r>
        <w:rPr>
          <w:rFonts w:ascii="楷体" w:hAnsi="楷体" w:eastAsia="楷体" w:cs="楷体"/>
          <w:bCs/>
          <w:kern w:val="2"/>
          <w:sz w:val="28"/>
          <w:szCs w:val="28"/>
        </w:rPr>
        <w:t>（详细内容见附件）</w:t>
      </w:r>
    </w:p>
    <w:p>
      <w:pPr>
        <w:spacing w:line="360" w:lineRule="exact"/>
        <w:ind w:firstLine="560" w:firstLineChars="200"/>
        <w:rPr>
          <w:rFonts w:hint="default" w:ascii="仿宋" w:hAnsi="仿宋" w:eastAsia="仿宋" w:cs="仿宋"/>
          <w:kern w:val="2"/>
          <w:sz w:val="28"/>
          <w:szCs w:val="28"/>
        </w:rPr>
      </w:pPr>
      <w:r>
        <w:rPr>
          <w:rFonts w:ascii="仿宋" w:hAnsi="仿宋" w:eastAsia="仿宋" w:cs="仿宋"/>
          <w:kern w:val="2"/>
          <w:sz w:val="28"/>
          <w:szCs w:val="28"/>
        </w:rPr>
        <w:t>1.国有企业改革相关政策解读</w:t>
      </w:r>
    </w:p>
    <w:p>
      <w:pPr>
        <w:spacing w:line="360" w:lineRule="exact"/>
        <w:ind w:firstLine="560" w:firstLineChars="200"/>
        <w:rPr>
          <w:rFonts w:hint="default" w:ascii="仿宋" w:hAnsi="仿宋" w:eastAsia="仿宋" w:cs="仿宋"/>
          <w:kern w:val="2"/>
          <w:sz w:val="28"/>
          <w:szCs w:val="28"/>
        </w:rPr>
      </w:pPr>
      <w:r>
        <w:rPr>
          <w:rFonts w:ascii="仿宋" w:hAnsi="仿宋" w:eastAsia="仿宋" w:cs="仿宋"/>
          <w:kern w:val="2"/>
          <w:sz w:val="28"/>
          <w:szCs w:val="28"/>
        </w:rPr>
        <w:t>2.《改革国有资本授权经营体制方案》</w:t>
      </w:r>
      <w:r>
        <w:rPr>
          <w:rFonts w:ascii="仿宋" w:hAnsi="仿宋" w:eastAsia="仿宋" w:cs="仿宋"/>
          <w:bCs/>
          <w:kern w:val="2"/>
          <w:sz w:val="28"/>
          <w:szCs w:val="28"/>
        </w:rPr>
        <w:t>（国发〔2019〕9号）</w:t>
      </w:r>
      <w:r>
        <w:rPr>
          <w:rFonts w:ascii="仿宋" w:hAnsi="仿宋" w:eastAsia="仿宋" w:cs="仿宋"/>
          <w:kern w:val="2"/>
          <w:sz w:val="28"/>
          <w:szCs w:val="28"/>
        </w:rPr>
        <w:t>解读</w:t>
      </w:r>
    </w:p>
    <w:p>
      <w:pPr>
        <w:spacing w:line="360" w:lineRule="exact"/>
        <w:ind w:firstLine="560" w:firstLineChars="200"/>
        <w:rPr>
          <w:rFonts w:hint="default" w:ascii="仿宋" w:hAnsi="仿宋" w:eastAsia="仿宋" w:cs="仿宋"/>
          <w:kern w:val="2"/>
          <w:sz w:val="28"/>
          <w:szCs w:val="28"/>
        </w:rPr>
      </w:pPr>
      <w:r>
        <w:rPr>
          <w:rFonts w:ascii="仿宋" w:hAnsi="仿宋" w:eastAsia="仿宋" w:cs="仿宋"/>
          <w:kern w:val="2"/>
          <w:sz w:val="28"/>
          <w:szCs w:val="28"/>
        </w:rPr>
        <w:t>3.国有资本投资、运营公司试点改革的操作模式</w:t>
      </w:r>
    </w:p>
    <w:p>
      <w:pPr>
        <w:spacing w:line="360" w:lineRule="exact"/>
        <w:ind w:firstLine="560" w:firstLineChars="200"/>
        <w:rPr>
          <w:rFonts w:hint="default" w:ascii="仿宋" w:hAnsi="仿宋" w:eastAsia="仿宋" w:cs="仿宋"/>
          <w:kern w:val="2"/>
          <w:sz w:val="28"/>
          <w:szCs w:val="28"/>
        </w:rPr>
      </w:pPr>
      <w:r>
        <w:rPr>
          <w:rFonts w:ascii="仿宋" w:hAnsi="仿宋" w:eastAsia="仿宋" w:cs="仿宋"/>
          <w:kern w:val="2"/>
          <w:sz w:val="28"/>
          <w:szCs w:val="28"/>
        </w:rPr>
        <w:t>4.国企混合所有制改革的难点解析、操作模式</w:t>
      </w:r>
    </w:p>
    <w:p>
      <w:pPr>
        <w:spacing w:line="360" w:lineRule="exact"/>
        <w:ind w:firstLine="560" w:firstLineChars="200"/>
        <w:rPr>
          <w:rFonts w:hint="default" w:ascii="仿宋" w:hAnsi="仿宋" w:eastAsia="仿宋" w:cs="仿宋"/>
          <w:kern w:val="2"/>
          <w:sz w:val="28"/>
          <w:szCs w:val="28"/>
        </w:rPr>
      </w:pPr>
      <w:r>
        <w:rPr>
          <w:rFonts w:ascii="仿宋" w:hAnsi="仿宋" w:eastAsia="仿宋" w:cs="仿宋"/>
          <w:kern w:val="2"/>
          <w:sz w:val="28"/>
          <w:szCs w:val="28"/>
        </w:rPr>
        <w:t>5.</w:t>
      </w:r>
      <w:r>
        <w:rPr>
          <w:rFonts w:ascii="仿宋" w:hAnsi="仿宋" w:eastAsia="仿宋" w:cs="仿宋"/>
          <w:bCs/>
          <w:kern w:val="2"/>
          <w:sz w:val="28"/>
          <w:szCs w:val="28"/>
        </w:rPr>
        <w:t>《关于改革国有企业工资决定机制的意见》（国发〔2018〕16号）解读</w:t>
      </w:r>
    </w:p>
    <w:p>
      <w:pPr>
        <w:spacing w:line="360" w:lineRule="exact"/>
        <w:ind w:firstLine="560" w:firstLineChars="200"/>
        <w:rPr>
          <w:rFonts w:hint="default" w:ascii="仿宋" w:hAnsi="仿宋" w:eastAsia="仿宋" w:cs="仿宋"/>
          <w:kern w:val="2"/>
          <w:sz w:val="28"/>
          <w:szCs w:val="28"/>
        </w:rPr>
      </w:pPr>
      <w:r>
        <w:rPr>
          <w:rFonts w:ascii="仿宋" w:hAnsi="仿宋" w:eastAsia="仿宋" w:cs="仿宋"/>
          <w:kern w:val="2"/>
          <w:sz w:val="28"/>
          <w:szCs w:val="28"/>
        </w:rPr>
        <w:t>6.国有企业人才管理机制及薪酬绩效管理体系改革</w:t>
      </w:r>
    </w:p>
    <w:p>
      <w:pPr>
        <w:spacing w:line="360" w:lineRule="exact"/>
        <w:ind w:firstLine="560" w:firstLineChars="200"/>
        <w:rPr>
          <w:rFonts w:hint="default" w:ascii="仿宋" w:hAnsi="仿宋" w:eastAsia="仿宋" w:cs="仿宋"/>
          <w:kern w:val="2"/>
          <w:sz w:val="28"/>
          <w:szCs w:val="28"/>
        </w:rPr>
      </w:pPr>
      <w:r>
        <w:rPr>
          <w:rFonts w:ascii="仿宋" w:hAnsi="仿宋" w:eastAsia="仿宋" w:cs="仿宋"/>
          <w:kern w:val="2"/>
          <w:sz w:val="28"/>
          <w:szCs w:val="28"/>
        </w:rPr>
        <w:t>7.国企薪酬改革、员工持股与长期激励机制设计</w:t>
      </w:r>
    </w:p>
    <w:p>
      <w:pPr>
        <w:spacing w:line="360" w:lineRule="exact"/>
        <w:ind w:firstLine="560" w:firstLineChars="200"/>
        <w:rPr>
          <w:rFonts w:hint="default" w:ascii="仿宋" w:hAnsi="仿宋" w:eastAsia="仿宋" w:cs="仿宋"/>
          <w:kern w:val="2"/>
          <w:sz w:val="28"/>
          <w:szCs w:val="28"/>
        </w:rPr>
      </w:pPr>
      <w:r>
        <w:rPr>
          <w:rFonts w:ascii="仿宋" w:hAnsi="仿宋" w:eastAsia="仿宋" w:cs="仿宋"/>
          <w:kern w:val="2"/>
          <w:sz w:val="28"/>
          <w:szCs w:val="28"/>
        </w:rPr>
        <w:t>8.国企混改中职工持股、股权和分红激励的操作要点</w:t>
      </w:r>
    </w:p>
    <w:p>
      <w:pPr>
        <w:spacing w:line="360" w:lineRule="exact"/>
        <w:ind w:firstLine="560" w:firstLineChars="200"/>
        <w:rPr>
          <w:rFonts w:hint="default" w:ascii="仿宋" w:hAnsi="仿宋" w:eastAsia="仿宋" w:cs="仿宋"/>
          <w:kern w:val="2"/>
          <w:sz w:val="28"/>
          <w:szCs w:val="28"/>
        </w:rPr>
      </w:pPr>
      <w:r>
        <w:rPr>
          <w:rFonts w:ascii="仿宋" w:hAnsi="仿宋" w:eastAsia="仿宋" w:cs="仿宋"/>
          <w:kern w:val="2"/>
          <w:sz w:val="28"/>
          <w:szCs w:val="28"/>
        </w:rPr>
        <w:t>9.市场化选聘经营管理者与职业经理人</w:t>
      </w:r>
    </w:p>
    <w:p>
      <w:pPr>
        <w:spacing w:line="360" w:lineRule="exact"/>
        <w:ind w:firstLine="560" w:firstLineChars="200"/>
        <w:rPr>
          <w:rFonts w:hint="default" w:ascii="仿宋" w:hAnsi="仿宋" w:eastAsia="仿宋" w:cs="仿宋"/>
          <w:kern w:val="2"/>
          <w:sz w:val="28"/>
          <w:szCs w:val="28"/>
        </w:rPr>
      </w:pPr>
      <w:r>
        <w:rPr>
          <w:rFonts w:ascii="仿宋" w:hAnsi="仿宋" w:eastAsia="仿宋" w:cs="仿宋"/>
          <w:kern w:val="2"/>
          <w:sz w:val="28"/>
          <w:szCs w:val="28"/>
        </w:rPr>
        <w:t>10.债转股的背景与相关政策解读</w:t>
      </w:r>
    </w:p>
    <w:p>
      <w:pPr>
        <w:spacing w:line="360" w:lineRule="exact"/>
        <w:ind w:firstLine="560" w:firstLineChars="200"/>
        <w:rPr>
          <w:rFonts w:hint="default" w:ascii="仿宋" w:hAnsi="仿宋" w:eastAsia="仿宋" w:cs="仿宋"/>
          <w:kern w:val="2"/>
          <w:sz w:val="28"/>
          <w:szCs w:val="28"/>
        </w:rPr>
      </w:pPr>
      <w:r>
        <w:rPr>
          <w:rFonts w:ascii="仿宋" w:hAnsi="仿宋" w:eastAsia="仿宋" w:cs="仿宋"/>
          <w:kern w:val="2"/>
          <w:sz w:val="28"/>
          <w:szCs w:val="28"/>
        </w:rPr>
        <w:t>11.债转股对象、条件及实施路径</w:t>
      </w:r>
    </w:p>
    <w:p>
      <w:pPr>
        <w:spacing w:line="360" w:lineRule="exact"/>
        <w:ind w:firstLine="560" w:firstLineChars="200"/>
        <w:rPr>
          <w:rFonts w:hint="default" w:ascii="黑体" w:hAnsi="黑体" w:eastAsia="黑体" w:cs="黑体"/>
          <w:bCs/>
          <w:kern w:val="2"/>
          <w:sz w:val="28"/>
          <w:szCs w:val="28"/>
        </w:rPr>
      </w:pPr>
      <w:r>
        <w:rPr>
          <w:rFonts w:ascii="黑体" w:hAnsi="黑体" w:eastAsia="黑体" w:cs="黑体"/>
          <w:bCs/>
          <w:kern w:val="2"/>
          <w:sz w:val="28"/>
          <w:szCs w:val="28"/>
        </w:rPr>
        <w:t>三、培训范围</w:t>
      </w:r>
    </w:p>
    <w:p>
      <w:pPr>
        <w:autoSpaceDE/>
        <w:autoSpaceDN/>
        <w:adjustRightInd/>
        <w:spacing w:line="36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1.各地方人力资源和社会保障、国资委等部门相关负责人；</w:t>
      </w:r>
    </w:p>
    <w:p>
      <w:pPr>
        <w:autoSpaceDE/>
        <w:autoSpaceDN/>
        <w:adjustRightInd/>
        <w:spacing w:line="36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2.国有企业领导以及人力资源、综合管理、劳动工资等相关部门负责人；</w:t>
      </w:r>
    </w:p>
    <w:p>
      <w:pPr>
        <w:autoSpaceDE/>
        <w:autoSpaceDN/>
        <w:adjustRightInd/>
        <w:spacing w:line="36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3.金融机构、咨询服务机构等负责人。</w:t>
      </w:r>
    </w:p>
    <w:p>
      <w:pPr>
        <w:autoSpaceDE/>
        <w:autoSpaceDN/>
        <w:adjustRightInd/>
        <w:spacing w:line="360" w:lineRule="exact"/>
        <w:ind w:firstLine="560" w:firstLineChars="200"/>
        <w:jc w:val="both"/>
        <w:rPr>
          <w:rFonts w:hint="default" w:ascii="黑体" w:hAnsi="黑体" w:eastAsia="黑体" w:cs="黑体"/>
          <w:bCs/>
          <w:kern w:val="2"/>
          <w:sz w:val="28"/>
          <w:szCs w:val="28"/>
        </w:rPr>
      </w:pPr>
      <w:r>
        <w:rPr>
          <w:rFonts w:ascii="黑体" w:hAnsi="黑体" w:eastAsia="黑体" w:cs="黑体"/>
          <w:bCs/>
          <w:kern w:val="2"/>
          <w:sz w:val="28"/>
          <w:szCs w:val="28"/>
        </w:rPr>
        <w:t xml:space="preserve">四、授课专家                </w:t>
      </w:r>
    </w:p>
    <w:p>
      <w:pPr>
        <w:autoSpaceDE/>
        <w:autoSpaceDN/>
        <w:adjustRightInd/>
        <w:spacing w:line="36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拟邀请国务院国资委相关部门、中国人事科学研究院、中国财政科学研究院等单位的领导专家授课, 并组织交流与研讨。</w:t>
      </w:r>
    </w:p>
    <w:p>
      <w:pPr>
        <w:spacing w:line="360" w:lineRule="exact"/>
        <w:ind w:firstLine="560" w:firstLineChars="200"/>
        <w:rPr>
          <w:rFonts w:hint="default" w:ascii="黑体" w:hAnsi="黑体" w:eastAsia="黑体" w:cs="黑体"/>
          <w:bCs/>
          <w:kern w:val="2"/>
          <w:sz w:val="28"/>
          <w:szCs w:val="28"/>
        </w:rPr>
      </w:pPr>
      <w:r>
        <w:rPr>
          <w:rFonts w:ascii="黑体" w:hAnsi="黑体" w:eastAsia="黑体" w:cs="黑体"/>
          <w:bCs/>
          <w:kern w:val="2"/>
          <w:sz w:val="28"/>
          <w:szCs w:val="28"/>
        </w:rPr>
        <w:t>五、时间地点</w:t>
      </w:r>
    </w:p>
    <w:p>
      <w:pPr>
        <w:autoSpaceDE/>
        <w:autoSpaceDN/>
        <w:adjustRightInd/>
        <w:spacing w:line="36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 xml:space="preserve">第一期 </w:t>
      </w:r>
      <w:r>
        <w:rPr>
          <w:rFonts w:hint="default" w:ascii="仿宋" w:hAnsi="仿宋" w:eastAsia="仿宋" w:cs="仿宋"/>
          <w:bCs/>
          <w:kern w:val="2"/>
          <w:sz w:val="28"/>
          <w:szCs w:val="28"/>
        </w:rPr>
        <w:t>2019年11月21日—11月25日（21日报到</w:t>
      </w:r>
      <w:r>
        <w:rPr>
          <w:rFonts w:ascii="仿宋" w:hAnsi="仿宋" w:eastAsia="仿宋" w:cs="仿宋"/>
          <w:bCs/>
          <w:kern w:val="2"/>
          <w:sz w:val="28"/>
          <w:szCs w:val="28"/>
        </w:rPr>
        <w:t>，25日返程</w:t>
      </w:r>
      <w:r>
        <w:rPr>
          <w:rFonts w:hint="default" w:ascii="仿宋" w:hAnsi="仿宋" w:eastAsia="仿宋" w:cs="仿宋"/>
          <w:bCs/>
          <w:kern w:val="2"/>
          <w:sz w:val="28"/>
          <w:szCs w:val="28"/>
        </w:rPr>
        <w:t>） 厦门市</w:t>
      </w:r>
    </w:p>
    <w:p>
      <w:pPr>
        <w:autoSpaceDE/>
        <w:autoSpaceDN/>
        <w:adjustRightInd/>
        <w:spacing w:line="36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 xml:space="preserve">第二期 </w:t>
      </w:r>
      <w:r>
        <w:rPr>
          <w:rFonts w:hint="default" w:ascii="仿宋" w:hAnsi="仿宋" w:eastAsia="仿宋" w:cs="仿宋"/>
          <w:bCs/>
          <w:kern w:val="2"/>
          <w:sz w:val="28"/>
          <w:szCs w:val="28"/>
        </w:rPr>
        <w:t>2019年1</w:t>
      </w:r>
      <w:r>
        <w:rPr>
          <w:rFonts w:ascii="仿宋" w:hAnsi="仿宋" w:eastAsia="仿宋" w:cs="仿宋"/>
          <w:bCs/>
          <w:kern w:val="2"/>
          <w:sz w:val="28"/>
          <w:szCs w:val="28"/>
        </w:rPr>
        <w:t>2</w:t>
      </w:r>
      <w:r>
        <w:rPr>
          <w:rFonts w:hint="default" w:ascii="仿宋" w:hAnsi="仿宋" w:eastAsia="仿宋" w:cs="仿宋"/>
          <w:bCs/>
          <w:kern w:val="2"/>
          <w:sz w:val="28"/>
          <w:szCs w:val="28"/>
        </w:rPr>
        <w:t>月</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6</w:t>
      </w:r>
      <w:r>
        <w:rPr>
          <w:rFonts w:hint="default" w:ascii="仿宋" w:hAnsi="仿宋" w:eastAsia="仿宋" w:cs="仿宋"/>
          <w:bCs/>
          <w:kern w:val="2"/>
          <w:sz w:val="28"/>
          <w:szCs w:val="28"/>
        </w:rPr>
        <w:t>日—1</w:t>
      </w:r>
      <w:r>
        <w:rPr>
          <w:rFonts w:ascii="仿宋" w:hAnsi="仿宋" w:eastAsia="仿宋" w:cs="仿宋"/>
          <w:bCs/>
          <w:kern w:val="2"/>
          <w:sz w:val="28"/>
          <w:szCs w:val="28"/>
        </w:rPr>
        <w:t>2</w:t>
      </w:r>
      <w:r>
        <w:rPr>
          <w:rFonts w:hint="default" w:ascii="仿宋" w:hAnsi="仿宋" w:eastAsia="仿宋" w:cs="仿宋"/>
          <w:bCs/>
          <w:kern w:val="2"/>
          <w:sz w:val="28"/>
          <w:szCs w:val="28"/>
        </w:rPr>
        <w:t>月</w:t>
      </w:r>
      <w:r>
        <w:rPr>
          <w:rFonts w:ascii="仿宋" w:hAnsi="仿宋" w:eastAsia="仿宋" w:cs="仿宋"/>
          <w:bCs/>
          <w:kern w:val="2"/>
          <w:sz w:val="28"/>
          <w:szCs w:val="28"/>
        </w:rPr>
        <w:t>10</w:t>
      </w:r>
      <w:r>
        <w:rPr>
          <w:rFonts w:hint="default" w:ascii="仿宋" w:hAnsi="仿宋" w:eastAsia="仿宋" w:cs="仿宋"/>
          <w:bCs/>
          <w:kern w:val="2"/>
          <w:sz w:val="28"/>
          <w:szCs w:val="28"/>
        </w:rPr>
        <w:t>日（</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6</w:t>
      </w:r>
      <w:r>
        <w:rPr>
          <w:rFonts w:hint="default" w:ascii="仿宋" w:hAnsi="仿宋" w:eastAsia="仿宋" w:cs="仿宋"/>
          <w:bCs/>
          <w:kern w:val="2"/>
          <w:sz w:val="28"/>
          <w:szCs w:val="28"/>
        </w:rPr>
        <w:t>日报到</w:t>
      </w:r>
      <w:r>
        <w:rPr>
          <w:rFonts w:ascii="仿宋" w:hAnsi="仿宋" w:eastAsia="仿宋" w:cs="仿宋"/>
          <w:bCs/>
          <w:kern w:val="2"/>
          <w:sz w:val="28"/>
          <w:szCs w:val="28"/>
        </w:rPr>
        <w:t>，10日返程</w:t>
      </w:r>
      <w:r>
        <w:rPr>
          <w:rFonts w:hint="default" w:ascii="仿宋" w:hAnsi="仿宋" w:eastAsia="仿宋" w:cs="仿宋"/>
          <w:bCs/>
          <w:kern w:val="2"/>
          <w:sz w:val="28"/>
          <w:szCs w:val="28"/>
        </w:rPr>
        <w:t xml:space="preserve">） </w:t>
      </w:r>
      <w:r>
        <w:rPr>
          <w:rFonts w:ascii="仿宋" w:hAnsi="仿宋" w:eastAsia="仿宋" w:cs="仿宋"/>
          <w:bCs/>
          <w:kern w:val="2"/>
          <w:sz w:val="28"/>
          <w:szCs w:val="28"/>
        </w:rPr>
        <w:t>深圳市</w:t>
      </w:r>
    </w:p>
    <w:p>
      <w:pPr>
        <w:autoSpaceDE/>
        <w:autoSpaceDN/>
        <w:adjustRightInd/>
        <w:spacing w:line="36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 xml:space="preserve">第三期 </w:t>
      </w:r>
      <w:r>
        <w:rPr>
          <w:rFonts w:hint="default" w:ascii="仿宋" w:hAnsi="仿宋" w:eastAsia="仿宋" w:cs="仿宋"/>
          <w:bCs/>
          <w:kern w:val="2"/>
          <w:sz w:val="28"/>
          <w:szCs w:val="28"/>
        </w:rPr>
        <w:t>2019年12月19日—12月23日（</w:t>
      </w:r>
      <w:r>
        <w:rPr>
          <w:rFonts w:ascii="仿宋" w:hAnsi="仿宋" w:eastAsia="仿宋" w:cs="仿宋"/>
          <w:bCs/>
          <w:kern w:val="2"/>
          <w:sz w:val="28"/>
          <w:szCs w:val="28"/>
        </w:rPr>
        <w:t>19</w:t>
      </w:r>
      <w:r>
        <w:rPr>
          <w:rFonts w:hint="default" w:ascii="仿宋" w:hAnsi="仿宋" w:eastAsia="仿宋" w:cs="仿宋"/>
          <w:bCs/>
          <w:kern w:val="2"/>
          <w:sz w:val="28"/>
          <w:szCs w:val="28"/>
        </w:rPr>
        <w:t>日报到</w:t>
      </w:r>
      <w:r>
        <w:rPr>
          <w:rFonts w:ascii="仿宋" w:hAnsi="仿宋" w:eastAsia="仿宋" w:cs="仿宋"/>
          <w:bCs/>
          <w:kern w:val="2"/>
          <w:sz w:val="28"/>
          <w:szCs w:val="28"/>
        </w:rPr>
        <w:t>，23日返程</w:t>
      </w:r>
      <w:r>
        <w:rPr>
          <w:rFonts w:hint="default" w:ascii="仿宋" w:hAnsi="仿宋" w:eastAsia="仿宋" w:cs="仿宋"/>
          <w:bCs/>
          <w:kern w:val="2"/>
          <w:sz w:val="28"/>
          <w:szCs w:val="28"/>
        </w:rPr>
        <w:t>） 杭州市</w:t>
      </w:r>
    </w:p>
    <w:p>
      <w:pPr>
        <w:autoSpaceDE/>
        <w:autoSpaceDN/>
        <w:adjustRightInd/>
        <w:spacing w:line="360" w:lineRule="exact"/>
        <w:ind w:firstLine="280" w:firstLineChars="100"/>
        <w:jc w:val="both"/>
        <w:rPr>
          <w:rFonts w:hint="default" w:ascii="仿宋" w:hAnsi="仿宋" w:eastAsia="仿宋" w:cs="仿宋"/>
          <w:bCs/>
          <w:kern w:val="2"/>
          <w:sz w:val="28"/>
          <w:szCs w:val="28"/>
        </w:rPr>
      </w:pPr>
      <w:r>
        <w:rPr>
          <w:rFonts w:ascii="仿宋" w:hAnsi="仿宋" w:eastAsia="仿宋" w:cs="仿宋"/>
          <w:bCs/>
          <w:kern w:val="2"/>
          <w:sz w:val="28"/>
          <w:szCs w:val="28"/>
        </w:rPr>
        <w:t xml:space="preserve">第四期 </w:t>
      </w:r>
      <w:r>
        <w:rPr>
          <w:rFonts w:hint="default" w:ascii="仿宋" w:hAnsi="仿宋" w:eastAsia="仿宋" w:cs="仿宋"/>
          <w:bCs/>
          <w:kern w:val="2"/>
          <w:sz w:val="28"/>
          <w:szCs w:val="28"/>
        </w:rPr>
        <w:t>2020年</w:t>
      </w:r>
      <w:r>
        <w:rPr>
          <w:rFonts w:hint="eastAsia" w:ascii="仿宋" w:hAnsi="仿宋" w:eastAsia="仿宋" w:cs="仿宋"/>
          <w:bCs/>
          <w:kern w:val="2"/>
          <w:sz w:val="28"/>
          <w:szCs w:val="28"/>
          <w:lang w:val="en-US" w:eastAsia="zh-CN"/>
        </w:rPr>
        <w:t>0</w:t>
      </w:r>
      <w:r>
        <w:rPr>
          <w:rFonts w:hint="default" w:ascii="仿宋" w:hAnsi="仿宋" w:eastAsia="仿宋" w:cs="仿宋"/>
          <w:bCs/>
          <w:kern w:val="2"/>
          <w:sz w:val="28"/>
          <w:szCs w:val="28"/>
        </w:rPr>
        <w:t>1月</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8</w:t>
      </w:r>
      <w:r>
        <w:rPr>
          <w:rFonts w:hint="default" w:ascii="仿宋" w:hAnsi="仿宋" w:eastAsia="仿宋" w:cs="仿宋"/>
          <w:bCs/>
          <w:kern w:val="2"/>
          <w:sz w:val="28"/>
          <w:szCs w:val="28"/>
        </w:rPr>
        <w:t>日—</w:t>
      </w:r>
      <w:r>
        <w:rPr>
          <w:rFonts w:hint="eastAsia" w:ascii="仿宋" w:hAnsi="仿宋" w:eastAsia="仿宋" w:cs="仿宋"/>
          <w:bCs/>
          <w:kern w:val="2"/>
          <w:sz w:val="28"/>
          <w:szCs w:val="28"/>
          <w:lang w:val="en-US" w:eastAsia="zh-CN"/>
        </w:rPr>
        <w:t>0</w:t>
      </w:r>
      <w:r>
        <w:rPr>
          <w:rFonts w:hint="default" w:ascii="仿宋" w:hAnsi="仿宋" w:eastAsia="仿宋" w:cs="仿宋"/>
          <w:bCs/>
          <w:kern w:val="2"/>
          <w:sz w:val="28"/>
          <w:szCs w:val="28"/>
        </w:rPr>
        <w:t>1月12日（</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8</w:t>
      </w:r>
      <w:r>
        <w:rPr>
          <w:rFonts w:hint="default" w:ascii="仿宋" w:hAnsi="仿宋" w:eastAsia="仿宋" w:cs="仿宋"/>
          <w:bCs/>
          <w:kern w:val="2"/>
          <w:sz w:val="28"/>
          <w:szCs w:val="28"/>
        </w:rPr>
        <w:t>日报到</w:t>
      </w:r>
      <w:r>
        <w:rPr>
          <w:rFonts w:ascii="仿宋" w:hAnsi="仿宋" w:eastAsia="仿宋" w:cs="仿宋"/>
          <w:bCs/>
          <w:kern w:val="2"/>
          <w:sz w:val="28"/>
          <w:szCs w:val="28"/>
        </w:rPr>
        <w:t>，12日返程</w:t>
      </w:r>
      <w:r>
        <w:rPr>
          <w:rFonts w:hint="default" w:ascii="仿宋" w:hAnsi="仿宋" w:eastAsia="仿宋" w:cs="仿宋"/>
          <w:bCs/>
          <w:kern w:val="2"/>
          <w:sz w:val="28"/>
          <w:szCs w:val="28"/>
        </w:rPr>
        <w:t>） 海口市</w:t>
      </w:r>
    </w:p>
    <w:p>
      <w:pPr>
        <w:tabs>
          <w:tab w:val="left" w:pos="567"/>
          <w:tab w:val="left" w:pos="709"/>
        </w:tabs>
        <w:autoSpaceDE/>
        <w:autoSpaceDN/>
        <w:adjustRightInd/>
        <w:spacing w:line="360" w:lineRule="exact"/>
        <w:ind w:firstLine="560" w:firstLineChars="200"/>
        <w:textAlignment w:val="baseline"/>
        <w:outlineLvl w:val="0"/>
        <w:rPr>
          <w:rFonts w:hint="default" w:ascii="黑体" w:hAnsi="黑体" w:eastAsia="黑体" w:cs="黑体"/>
          <w:bCs/>
          <w:color w:val="000000"/>
          <w:sz w:val="28"/>
          <w:szCs w:val="28"/>
        </w:rPr>
      </w:pPr>
      <w:r>
        <w:rPr>
          <w:rFonts w:ascii="黑体" w:hAnsi="黑体" w:eastAsia="黑体" w:cs="黑体"/>
          <w:bCs/>
          <w:color w:val="000000"/>
          <w:sz w:val="28"/>
          <w:szCs w:val="28"/>
        </w:rPr>
        <w:t>六、相关事宜</w:t>
      </w:r>
    </w:p>
    <w:p>
      <w:pPr>
        <w:pStyle w:val="15"/>
        <w:autoSpaceDE/>
        <w:autoSpaceDN/>
        <w:spacing w:line="360" w:lineRule="exact"/>
        <w:ind w:firstLine="560"/>
        <w:outlineLvl w:val="0"/>
        <w:rPr>
          <w:rFonts w:hint="default" w:ascii="楷体" w:hAnsi="楷体" w:eastAsia="楷体" w:cs="楷体"/>
          <w:bCs/>
          <w:color w:val="000000"/>
          <w:kern w:val="2"/>
          <w:sz w:val="28"/>
          <w:szCs w:val="28"/>
        </w:rPr>
      </w:pPr>
      <w:r>
        <w:rPr>
          <w:rFonts w:ascii="楷体" w:hAnsi="楷体" w:eastAsia="楷体" w:cs="楷体"/>
          <w:bCs/>
          <w:color w:val="000000"/>
          <w:kern w:val="2"/>
          <w:sz w:val="28"/>
          <w:szCs w:val="28"/>
        </w:rPr>
        <w:t>（一）培训费用</w:t>
      </w:r>
    </w:p>
    <w:p>
      <w:pPr>
        <w:pStyle w:val="15"/>
        <w:autoSpaceDE/>
        <w:autoSpaceDN/>
        <w:spacing w:line="360" w:lineRule="exact"/>
        <w:ind w:firstLine="560"/>
        <w:outlineLvl w:val="0"/>
        <w:rPr>
          <w:rFonts w:hint="default" w:ascii="仿宋_GB2312" w:hAnsi="仿宋_GB2312" w:eastAsia="仿宋_GB2312" w:cs="仿宋_GB2312"/>
          <w:bCs/>
          <w:color w:val="000000"/>
          <w:kern w:val="2"/>
          <w:sz w:val="28"/>
          <w:szCs w:val="28"/>
        </w:rPr>
      </w:pPr>
      <w:r>
        <w:rPr>
          <w:rFonts w:ascii="仿宋_GB2312" w:hAnsi="仿宋_GB2312" w:eastAsia="仿宋_GB2312" w:cs="仿宋_GB2312"/>
          <w:bCs/>
          <w:color w:val="000000"/>
          <w:kern w:val="2"/>
          <w:sz w:val="28"/>
          <w:szCs w:val="28"/>
        </w:rPr>
        <w:t>A.2800元/人（含培训、资料、电子课件、场地），食宿统一安排，费用自理。</w:t>
      </w:r>
    </w:p>
    <w:p>
      <w:pPr>
        <w:pStyle w:val="15"/>
        <w:autoSpaceDE/>
        <w:autoSpaceDN/>
        <w:spacing w:line="360" w:lineRule="exact"/>
        <w:ind w:firstLine="560"/>
        <w:outlineLvl w:val="0"/>
        <w:rPr>
          <w:rFonts w:hint="default" w:ascii="仿宋_GB2312" w:hAnsi="仿宋_GB2312" w:eastAsia="仿宋_GB2312" w:cs="仿宋_GB2312"/>
          <w:bCs/>
          <w:color w:val="000000"/>
          <w:kern w:val="2"/>
          <w:sz w:val="28"/>
          <w:szCs w:val="28"/>
        </w:rPr>
      </w:pPr>
      <w:r>
        <w:rPr>
          <w:rFonts w:ascii="仿宋_GB2312" w:hAnsi="仿宋_GB2312" w:eastAsia="仿宋_GB2312" w:cs="仿宋_GB2312"/>
          <w:bCs/>
          <w:color w:val="000000"/>
          <w:kern w:val="2"/>
          <w:sz w:val="28"/>
          <w:szCs w:val="28"/>
        </w:rPr>
        <w:t>B.4980元/人（含培训、资料、电子课件、场地、食宿），住宿为双人标间，如单人入住补交差价。</w:t>
      </w:r>
    </w:p>
    <w:p>
      <w:pPr>
        <w:pStyle w:val="15"/>
        <w:autoSpaceDE/>
        <w:autoSpaceDN/>
        <w:spacing w:line="360" w:lineRule="exact"/>
        <w:ind w:firstLine="560"/>
        <w:outlineLvl w:val="0"/>
        <w:rPr>
          <w:rFonts w:hint="default" w:ascii="楷体" w:hAnsi="楷体" w:eastAsia="楷体" w:cs="楷体"/>
          <w:bCs/>
          <w:color w:val="000000"/>
          <w:kern w:val="2"/>
          <w:sz w:val="28"/>
          <w:szCs w:val="28"/>
        </w:rPr>
      </w:pPr>
      <w:r>
        <w:rPr>
          <w:rFonts w:ascii="楷体" w:hAnsi="楷体" w:eastAsia="楷体" w:cs="楷体"/>
          <w:bCs/>
          <w:color w:val="000000"/>
          <w:kern w:val="2"/>
          <w:sz w:val="28"/>
          <w:szCs w:val="28"/>
        </w:rPr>
        <w:t>（二）联系方式</w:t>
      </w:r>
    </w:p>
    <w:p>
      <w:pPr>
        <w:pStyle w:val="15"/>
        <w:autoSpaceDE/>
        <w:autoSpaceDN/>
        <w:spacing w:line="360" w:lineRule="exact"/>
        <w:ind w:left="0" w:leftChars="0" w:firstLine="281" w:firstLineChars="100"/>
        <w:outlineLvl w:val="0"/>
        <w:rPr>
          <w:rFonts w:hint="eastAsia" w:ascii="仿宋_GB2312" w:hAnsi="仿宋_GB2312" w:eastAsia="仿宋_GB2312" w:cs="仿宋_GB2312"/>
          <w:b/>
          <w:bCs w:val="0"/>
          <w:color w:val="000000"/>
          <w:kern w:val="2"/>
          <w:sz w:val="28"/>
          <w:szCs w:val="28"/>
        </w:rPr>
      </w:pPr>
      <w:r>
        <w:rPr>
          <w:rFonts w:hint="eastAsia" w:ascii="仿宋_GB2312" w:hAnsi="仿宋_GB2312" w:eastAsia="仿宋_GB2312" w:cs="仿宋_GB2312"/>
          <w:b/>
          <w:bCs w:val="0"/>
          <w:color w:val="000000"/>
          <w:kern w:val="2"/>
          <w:sz w:val="28"/>
          <w:szCs w:val="28"/>
        </w:rPr>
        <w:t>报名联系人：聂红军 主任 18211071700（微信）  邮  箱：zqgphwz@126.com</w:t>
      </w:r>
    </w:p>
    <w:p>
      <w:pPr>
        <w:pStyle w:val="15"/>
        <w:autoSpaceDE/>
        <w:autoSpaceDN/>
        <w:spacing w:line="360" w:lineRule="exact"/>
        <w:ind w:left="0" w:leftChars="0" w:firstLine="281" w:firstLineChars="100"/>
        <w:outlineLvl w:val="0"/>
        <w:rPr>
          <w:rFonts w:hint="eastAsia" w:ascii="仿宋_GB2312" w:hAnsi="仿宋_GB2312" w:eastAsia="仿宋_GB2312" w:cs="仿宋_GB2312"/>
          <w:b/>
          <w:bCs w:val="0"/>
          <w:color w:val="000000"/>
          <w:kern w:val="2"/>
          <w:sz w:val="28"/>
          <w:szCs w:val="28"/>
        </w:rPr>
      </w:pPr>
      <w:r>
        <w:rPr>
          <w:rFonts w:hint="eastAsia" w:ascii="仿宋_GB2312" w:hAnsi="仿宋_GB2312" w:eastAsia="仿宋_GB2312" w:cs="仿宋_GB2312"/>
          <w:b/>
          <w:bCs w:val="0"/>
          <w:color w:val="000000"/>
          <w:kern w:val="2"/>
          <w:sz w:val="28"/>
          <w:szCs w:val="28"/>
        </w:rPr>
        <w:t xml:space="preserve">电话（传真）：010-87697580                    qq咨询：3177524020   </w:t>
      </w:r>
    </w:p>
    <w:p>
      <w:pPr>
        <w:pStyle w:val="15"/>
        <w:autoSpaceDE/>
        <w:autoSpaceDN/>
        <w:spacing w:line="360" w:lineRule="exact"/>
        <w:ind w:left="0" w:leftChars="0" w:firstLine="281" w:firstLineChars="100"/>
        <w:outlineLvl w:val="0"/>
        <w:rPr>
          <w:rFonts w:hint="eastAsia" w:ascii="仿宋_GB2312" w:hAnsi="仿宋_GB2312" w:eastAsia="仿宋_GB2312" w:cs="仿宋_GB2312"/>
          <w:b w:val="0"/>
          <w:bCs/>
          <w:color w:val="000000"/>
          <w:kern w:val="2"/>
          <w:sz w:val="28"/>
          <w:szCs w:val="28"/>
        </w:rPr>
      </w:pPr>
      <w:r>
        <w:rPr>
          <w:rFonts w:hint="eastAsia" w:ascii="仿宋_GB2312" w:hAnsi="仿宋_GB2312" w:eastAsia="仿宋_GB2312" w:cs="仿宋_GB2312"/>
          <w:b/>
          <w:bCs w:val="0"/>
          <w:color w:val="000000"/>
          <w:kern w:val="2"/>
          <w:sz w:val="28"/>
          <w:szCs w:val="28"/>
        </w:rPr>
        <w:t xml:space="preserve">网址查询：http://www.zqgpchina.cn/ </w:t>
      </w:r>
      <w:r>
        <w:rPr>
          <w:rFonts w:hint="eastAsia" w:ascii="仿宋_GB2312" w:hAnsi="仿宋_GB2312" w:eastAsia="仿宋_GB2312" w:cs="仿宋_GB2312"/>
          <w:b w:val="0"/>
          <w:bCs/>
          <w:color w:val="000000"/>
          <w:kern w:val="2"/>
          <w:sz w:val="28"/>
          <w:szCs w:val="28"/>
        </w:rPr>
        <w:t xml:space="preserve">   </w:t>
      </w:r>
    </w:p>
    <w:p>
      <w:pPr>
        <w:pStyle w:val="15"/>
        <w:autoSpaceDE/>
        <w:autoSpaceDN/>
        <w:spacing w:line="360" w:lineRule="exact"/>
        <w:ind w:left="0" w:leftChars="0" w:firstLine="0" w:firstLineChars="0"/>
        <w:outlineLvl w:val="0"/>
        <w:rPr>
          <w:rFonts w:hint="default" w:ascii="仿宋_GB2312" w:hAnsi="仿宋_GB2312" w:eastAsia="仿宋_GB2312" w:cs="仿宋_GB2312"/>
          <w:b w:val="0"/>
          <w:bCs/>
          <w:color w:val="000000"/>
          <w:kern w:val="2"/>
          <w:sz w:val="28"/>
          <w:szCs w:val="28"/>
        </w:rPr>
      </w:pPr>
    </w:p>
    <w:p>
      <w:pPr>
        <w:pStyle w:val="15"/>
        <w:autoSpaceDE/>
        <w:autoSpaceDN/>
        <w:spacing w:line="360" w:lineRule="exact"/>
        <w:ind w:firstLine="560"/>
        <w:outlineLvl w:val="0"/>
        <w:rPr>
          <w:rFonts w:hint="default" w:ascii="黑体" w:hAnsi="黑体" w:eastAsia="黑体" w:cs="黑体"/>
          <w:b w:val="0"/>
          <w:bCs/>
          <w:color w:val="000000"/>
          <w:kern w:val="2"/>
          <w:sz w:val="28"/>
          <w:szCs w:val="28"/>
        </w:rPr>
      </w:pPr>
      <w:r>
        <w:rPr>
          <w:rFonts w:ascii="黑体" w:hAnsi="黑体" w:eastAsia="黑体" w:cs="黑体"/>
          <w:b w:val="0"/>
          <w:bCs/>
          <w:color w:val="000000"/>
          <w:kern w:val="2"/>
          <w:sz w:val="28"/>
          <w:szCs w:val="28"/>
        </w:rPr>
        <w:t>附件：</w:t>
      </w:r>
    </w:p>
    <w:p>
      <w:pPr>
        <w:pStyle w:val="15"/>
        <w:autoSpaceDE/>
        <w:autoSpaceDN/>
        <w:spacing w:line="360" w:lineRule="exact"/>
        <w:ind w:left="480" w:leftChars="200" w:firstLine="0" w:firstLineChars="0"/>
        <w:outlineLvl w:val="0"/>
        <w:rPr>
          <w:rFonts w:hint="default" w:ascii="仿宋_GB2312" w:hAnsi="仿宋_GB2312" w:eastAsia="仿宋_GB2312" w:cs="仿宋_GB2312"/>
          <w:bCs/>
          <w:color w:val="000000"/>
          <w:kern w:val="2"/>
          <w:sz w:val="28"/>
          <w:szCs w:val="28"/>
        </w:rPr>
      </w:pPr>
      <w:r>
        <w:rPr>
          <w:rFonts w:ascii="仿宋_GB2312" w:hAnsi="仿宋_GB2312" w:eastAsia="仿宋_GB2312" w:cs="仿宋_GB2312"/>
          <w:bCs/>
          <w:color w:val="000000"/>
          <w:kern w:val="2"/>
          <w:sz w:val="28"/>
          <w:szCs w:val="28"/>
        </w:rPr>
        <w:t>1.培训内容</w:t>
      </w:r>
    </w:p>
    <w:p>
      <w:pPr>
        <w:pStyle w:val="15"/>
        <w:autoSpaceDE/>
        <w:autoSpaceDN/>
        <w:spacing w:line="360" w:lineRule="exact"/>
        <w:ind w:firstLine="560"/>
        <w:outlineLvl w:val="0"/>
        <w:rPr>
          <w:rFonts w:hint="default" w:ascii="仿宋_GB2312" w:hAnsi="仿宋_GB2312" w:eastAsia="仿宋_GB2312" w:cs="仿宋_GB2312"/>
          <w:bCs/>
          <w:color w:val="000000"/>
          <w:kern w:val="2"/>
          <w:sz w:val="30"/>
          <w:szCs w:val="30"/>
        </w:rPr>
      </w:pPr>
      <w:r>
        <w:rPr>
          <w:rFonts w:ascii="仿宋_GB2312" w:hAnsi="仿宋_GB2312" w:eastAsia="仿宋_GB2312" w:cs="仿宋_GB2312"/>
          <w:bCs/>
          <w:color w:val="000000"/>
          <w:kern w:val="2"/>
          <w:sz w:val="28"/>
          <w:szCs w:val="28"/>
        </w:rPr>
        <w:t>2.“</w:t>
      </w:r>
      <w:r>
        <w:rPr>
          <w:rFonts w:ascii="仿宋" w:hAnsi="仿宋" w:eastAsia="仿宋" w:cs="仿宋"/>
          <w:bCs/>
          <w:kern w:val="2"/>
          <w:sz w:val="28"/>
          <w:szCs w:val="28"/>
        </w:rPr>
        <w:t>贯彻国资授权经营改革、构造国企长效激励机制培训班</w:t>
      </w:r>
      <w:r>
        <w:rPr>
          <w:rFonts w:ascii="仿宋_GB2312" w:hAnsi="仿宋_GB2312" w:eastAsia="仿宋_GB2312" w:cs="仿宋_GB2312"/>
          <w:bCs/>
          <w:color w:val="000000"/>
          <w:kern w:val="2"/>
          <w:sz w:val="28"/>
          <w:szCs w:val="28"/>
        </w:rPr>
        <w:t>”报名回执表</w:t>
      </w:r>
    </w:p>
    <w:p>
      <w:pPr>
        <w:pStyle w:val="15"/>
        <w:autoSpaceDE/>
        <w:autoSpaceDN/>
        <w:spacing w:line="360" w:lineRule="exact"/>
        <w:ind w:firstLine="560"/>
        <w:outlineLvl w:val="0"/>
        <w:rPr>
          <w:rFonts w:hint="default" w:ascii="仿宋_GB2312" w:hAnsi="仿宋_GB2312" w:eastAsia="仿宋_GB2312" w:cs="仿宋_GB2312"/>
          <w:bCs/>
          <w:color w:val="000000"/>
          <w:kern w:val="2"/>
          <w:sz w:val="30"/>
          <w:szCs w:val="30"/>
        </w:rPr>
      </w:pPr>
      <w:r>
        <w:rPr>
          <w:rFonts w:ascii="仿宋" w:hAnsi="仿宋" w:eastAsia="仿宋" w:cs="仿宋"/>
          <w:color w:val="000000"/>
          <w:sz w:val="28"/>
          <w:szCs w:val="28"/>
        </w:rPr>
        <w:drawing>
          <wp:anchor distT="0" distB="0" distL="114300" distR="114300" simplePos="0" relativeHeight="251658240" behindDoc="0" locked="0" layoutInCell="1" allowOverlap="1">
            <wp:simplePos x="0" y="0"/>
            <wp:positionH relativeFrom="column">
              <wp:posOffset>-685800</wp:posOffset>
            </wp:positionH>
            <wp:positionV relativeFrom="paragraph">
              <wp:posOffset>30480</wp:posOffset>
            </wp:positionV>
            <wp:extent cx="7543800" cy="1767840"/>
            <wp:effectExtent l="0" t="0" r="0" b="3810"/>
            <wp:wrapNone/>
            <wp:docPr id="2" name="图片 2" descr="C:\Users\ADMINI~1\AppData\Local\Temp\WeChat Files\f6d198899a08f4bb0766958717937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f6d198899a08f4bb07669587179372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543800" cy="1767840"/>
                    </a:xfrm>
                    <a:prstGeom prst="rect">
                      <a:avLst/>
                    </a:prstGeom>
                    <a:noFill/>
                    <a:ln>
                      <a:noFill/>
                    </a:ln>
                  </pic:spPr>
                </pic:pic>
              </a:graphicData>
            </a:graphic>
          </wp:anchor>
        </w:drawing>
      </w:r>
    </w:p>
    <w:p>
      <w:pPr>
        <w:widowControl/>
        <w:autoSpaceDE/>
        <w:autoSpaceDN/>
        <w:spacing w:line="360" w:lineRule="exact"/>
        <w:jc w:val="center"/>
        <w:rPr>
          <w:rStyle w:val="8"/>
          <w:rFonts w:hint="default" w:ascii="仿宋" w:hAnsi="仿宋" w:eastAsia="仿宋" w:cs="仿宋"/>
          <w:b w:val="0"/>
          <w:bCs w:val="0"/>
          <w:color w:val="000000"/>
          <w:sz w:val="28"/>
          <w:szCs w:val="28"/>
        </w:rPr>
      </w:pPr>
      <w:r>
        <w:rPr>
          <w:rStyle w:val="8"/>
          <w:rFonts w:ascii="仿宋" w:hAnsi="仿宋" w:eastAsia="仿宋" w:cs="仿宋"/>
          <w:b w:val="0"/>
          <w:bCs w:val="0"/>
          <w:color w:val="000000"/>
          <w:sz w:val="28"/>
          <w:szCs w:val="28"/>
        </w:rPr>
        <w:t xml:space="preserve">                         </w:t>
      </w:r>
    </w:p>
    <w:p>
      <w:pPr>
        <w:widowControl/>
        <w:autoSpaceDE/>
        <w:autoSpaceDN/>
        <w:jc w:val="center"/>
        <w:rPr>
          <w:rStyle w:val="8"/>
          <w:rFonts w:hint="default" w:ascii="仿宋" w:hAnsi="仿宋" w:eastAsia="仿宋" w:cs="仿宋"/>
          <w:b w:val="0"/>
          <w:bCs w:val="0"/>
          <w:color w:val="000000"/>
          <w:sz w:val="28"/>
          <w:szCs w:val="28"/>
        </w:rPr>
      </w:pPr>
    </w:p>
    <w:p>
      <w:pPr>
        <w:widowControl/>
        <w:autoSpaceDE/>
        <w:autoSpaceDN/>
        <w:jc w:val="center"/>
        <w:rPr>
          <w:rStyle w:val="8"/>
          <w:rFonts w:hint="default" w:ascii="仿宋" w:hAnsi="仿宋" w:eastAsia="仿宋" w:cs="仿宋"/>
          <w:b w:val="0"/>
          <w:bCs w:val="0"/>
          <w:color w:val="000000"/>
          <w:sz w:val="28"/>
          <w:szCs w:val="28"/>
        </w:rPr>
      </w:pPr>
    </w:p>
    <w:p>
      <w:pPr>
        <w:widowControl/>
        <w:autoSpaceDE/>
        <w:autoSpaceDN/>
        <w:jc w:val="center"/>
        <w:rPr>
          <w:rStyle w:val="8"/>
          <w:rFonts w:hint="default" w:ascii="仿宋" w:hAnsi="仿宋" w:eastAsia="仿宋" w:cs="仿宋"/>
          <w:b w:val="0"/>
          <w:bCs w:val="0"/>
          <w:color w:val="000000"/>
          <w:sz w:val="28"/>
          <w:szCs w:val="28"/>
        </w:rPr>
      </w:pPr>
    </w:p>
    <w:p>
      <w:pPr>
        <w:autoSpaceDE/>
        <w:autoSpaceDN/>
        <w:adjustRightInd/>
        <w:spacing w:line="480" w:lineRule="exact"/>
        <w:jc w:val="both"/>
        <w:rPr>
          <w:rStyle w:val="8"/>
          <w:rFonts w:ascii="仿宋" w:hAnsi="仿宋" w:eastAsia="仿宋" w:cs="仿宋"/>
          <w:b w:val="0"/>
          <w:bCs w:val="0"/>
          <w:color w:val="000000"/>
          <w:sz w:val="28"/>
          <w:szCs w:val="28"/>
        </w:rPr>
      </w:pPr>
    </w:p>
    <w:p>
      <w:pPr>
        <w:autoSpaceDE/>
        <w:autoSpaceDN/>
        <w:adjustRightInd/>
        <w:spacing w:line="480" w:lineRule="exact"/>
        <w:jc w:val="both"/>
        <w:rPr>
          <w:rStyle w:val="8"/>
          <w:rFonts w:ascii="仿宋" w:hAnsi="仿宋" w:eastAsia="仿宋" w:cs="仿宋"/>
          <w:b w:val="0"/>
          <w:bCs w:val="0"/>
          <w:color w:val="000000"/>
          <w:sz w:val="28"/>
          <w:szCs w:val="28"/>
        </w:rPr>
      </w:pPr>
    </w:p>
    <w:p>
      <w:pPr>
        <w:autoSpaceDE/>
        <w:autoSpaceDN/>
        <w:adjustRightInd/>
        <w:spacing w:line="360" w:lineRule="exact"/>
        <w:jc w:val="both"/>
        <w:rPr>
          <w:rFonts w:hint="default" w:ascii="黑体" w:hAnsi="黑体" w:eastAsia="黑体" w:cs="黑体"/>
          <w:bCs/>
          <w:kern w:val="2"/>
          <w:sz w:val="28"/>
          <w:szCs w:val="28"/>
        </w:rPr>
      </w:pPr>
      <w:r>
        <w:rPr>
          <w:rFonts w:ascii="黑体" w:hAnsi="黑体" w:eastAsia="黑体" w:cs="黑体"/>
          <w:bCs/>
          <w:color w:val="000000"/>
          <w:kern w:val="2"/>
          <w:sz w:val="28"/>
          <w:szCs w:val="28"/>
        </w:rPr>
        <w:t>附件1.培训内容</w:t>
      </w:r>
      <w:r>
        <w:rPr>
          <w:rFonts w:ascii="黑体" w:hAnsi="黑体" w:eastAsia="黑体" w:cs="黑体"/>
          <w:b/>
          <w:bCs/>
          <w:kern w:val="2"/>
          <w:sz w:val="28"/>
          <w:szCs w:val="28"/>
        </w:rPr>
        <w:t xml:space="preserve"> </w:t>
      </w:r>
    </w:p>
    <w:p>
      <w:pPr>
        <w:autoSpaceDE/>
        <w:autoSpaceDN/>
        <w:adjustRightInd/>
        <w:spacing w:line="360" w:lineRule="exact"/>
        <w:ind w:firstLine="280" w:firstLineChars="100"/>
        <w:jc w:val="both"/>
        <w:rPr>
          <w:rFonts w:hint="default" w:ascii="楷体" w:hAnsi="楷体" w:eastAsia="楷体" w:cs="楷体"/>
          <w:kern w:val="2"/>
          <w:sz w:val="28"/>
          <w:szCs w:val="28"/>
        </w:rPr>
      </w:pPr>
      <w:r>
        <w:rPr>
          <w:rFonts w:ascii="楷体" w:hAnsi="楷体" w:eastAsia="楷体" w:cs="楷体"/>
          <w:kern w:val="2"/>
          <w:sz w:val="28"/>
          <w:szCs w:val="28"/>
        </w:rPr>
        <w:t>（一）国有企业改革相关政策解读</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1．国资国企改革“1+N”系列政策文件的重点内容解读  </w:t>
      </w:r>
    </w:p>
    <w:p>
      <w:pPr>
        <w:autoSpaceDE/>
        <w:autoSpaceDN/>
        <w:adjustRightInd/>
        <w:spacing w:line="36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2．习近平总书记有关国资国企改革的历次重要讲话和指示批示解读  </w:t>
      </w:r>
    </w:p>
    <w:p>
      <w:pPr>
        <w:autoSpaceDE/>
        <w:autoSpaceDN/>
        <w:adjustRightInd/>
        <w:spacing w:line="36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3．《国企改革“双百行动”工作方案》及相关政策精神全面解析 </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4.混合所有制改革的主要思路、操纵模式及公司治理的政策要点</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5.国有企业薪酬体系改革的政策解读</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6．国务院国资委、国家发改委分别牵头的改革试点以及先进省市国企混改和员工持股试点的实际进展情况 </w:t>
      </w:r>
    </w:p>
    <w:p>
      <w:pPr>
        <w:autoSpaceDE/>
        <w:autoSpaceDN/>
        <w:adjustRightInd/>
        <w:spacing w:line="360" w:lineRule="exact"/>
        <w:ind w:firstLine="280" w:firstLineChars="100"/>
        <w:jc w:val="both"/>
        <w:rPr>
          <w:rFonts w:hint="default" w:ascii="楷体" w:hAnsi="楷体" w:eastAsia="楷体" w:cs="楷体"/>
          <w:kern w:val="2"/>
          <w:sz w:val="28"/>
          <w:szCs w:val="28"/>
        </w:rPr>
      </w:pPr>
      <w:r>
        <w:rPr>
          <w:rFonts w:ascii="楷体" w:hAnsi="楷体" w:eastAsia="楷体" w:cs="楷体"/>
          <w:kern w:val="2"/>
          <w:sz w:val="28"/>
          <w:szCs w:val="28"/>
        </w:rPr>
        <w:t>（二）《改革国有资本授权经营体制方案》（国发〔2019〕9号）解读</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 《方案》如何突破了六个改革逻辑困局</w:t>
      </w:r>
    </w:p>
    <w:p>
      <w:pPr>
        <w:autoSpaceDE/>
        <w:autoSpaceDN/>
        <w:adjustRightInd/>
        <w:spacing w:line="36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2．针对两类公司的授权突破性</w:t>
      </w:r>
    </w:p>
    <w:p>
      <w:pPr>
        <w:autoSpaceDE/>
        <w:autoSpaceDN/>
        <w:adjustRightInd/>
        <w:spacing w:line="36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3．非两类公司授权上的关键要点</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4．授权经营体制改革后之后，出资人代表机构在新场景下如何更好的履职</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5．如何界定企业的行权能力</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6．《方案》中的其他突破</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7．《方案》 “一个明确、四个确保”五个要点的归结</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8．各地出资人代表机构未来如何做好国有资本授权经营</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9．经开区（含经开区、高新区、国家级新区，以下统称经开区）如何更好的确定国有资本投资运营公司</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10．国有资本运营公司如何打造及未来如何促进好国有资本运营公司的运作</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11．基于《方案》两类公司董事会建设应如何操作</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12．《方案》对股权激励的突破性进展在哪些方面</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13．各级政府如何推动方案落地执行</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14．《国务院国资委授权放权清单（2019年版）》解析</w:t>
      </w:r>
    </w:p>
    <w:p>
      <w:pPr>
        <w:autoSpaceDE/>
        <w:autoSpaceDN/>
        <w:adjustRightInd/>
        <w:spacing w:line="360" w:lineRule="exact"/>
        <w:ind w:firstLine="280" w:firstLineChars="100"/>
        <w:jc w:val="both"/>
        <w:rPr>
          <w:rFonts w:hint="default" w:ascii="楷体" w:hAnsi="楷体" w:eastAsia="楷体" w:cs="楷体"/>
          <w:kern w:val="2"/>
          <w:sz w:val="28"/>
          <w:szCs w:val="28"/>
        </w:rPr>
      </w:pPr>
      <w:r>
        <w:rPr>
          <w:rFonts w:ascii="楷体" w:hAnsi="楷体" w:eastAsia="楷体" w:cs="楷体"/>
          <w:kern w:val="2"/>
          <w:sz w:val="28"/>
          <w:szCs w:val="28"/>
        </w:rPr>
        <w:t>（三）国有资本投资、运营公司试点改革的操作模式</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1．公司组建方式及管控模式构建</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2．总部职能的界定</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3．子公司权限边界</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4．产业整合梳理</w:t>
      </w:r>
    </w:p>
    <w:p>
      <w:pPr>
        <w:autoSpaceDE/>
        <w:autoSpaceDN/>
        <w:adjustRightInd/>
        <w:spacing w:line="360" w:lineRule="exact"/>
        <w:ind w:firstLine="280" w:firstLineChars="100"/>
        <w:jc w:val="both"/>
        <w:rPr>
          <w:rFonts w:hint="default" w:ascii="楷体" w:hAnsi="楷体" w:eastAsia="楷体" w:cs="楷体"/>
          <w:kern w:val="2"/>
          <w:sz w:val="28"/>
          <w:szCs w:val="28"/>
        </w:rPr>
      </w:pPr>
      <w:r>
        <w:rPr>
          <w:rFonts w:ascii="楷体" w:hAnsi="楷体" w:eastAsia="楷体" w:cs="楷体"/>
          <w:kern w:val="2"/>
          <w:sz w:val="28"/>
          <w:szCs w:val="28"/>
        </w:rPr>
        <w:t>（四）国企混合所有制改革的难点解析、操作模式</w:t>
      </w:r>
      <w:r>
        <w:rPr>
          <w:rFonts w:hint="default" w:ascii="楷体" w:hAnsi="楷体" w:eastAsia="楷体" w:cs="楷体"/>
          <w:kern w:val="2"/>
          <w:sz w:val="28"/>
          <w:szCs w:val="28"/>
        </w:rPr>
        <w:t xml:space="preserve"> </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1．国企混改的经验教训总结 </w:t>
      </w:r>
    </w:p>
    <w:p>
      <w:pPr>
        <w:autoSpaceDE/>
        <w:autoSpaceDN/>
        <w:adjustRightInd/>
        <w:spacing w:line="36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w:t>
      </w:r>
      <w:r>
        <w:rPr>
          <w:rFonts w:ascii="仿宋" w:hAnsi="仿宋" w:eastAsia="仿宋" w:cs="仿宋"/>
          <w:bCs/>
          <w:kern w:val="2"/>
          <w:sz w:val="28"/>
          <w:szCs w:val="28"/>
        </w:rPr>
        <w:t xml:space="preserve"> </w:t>
      </w:r>
      <w:r>
        <w:rPr>
          <w:rFonts w:hint="default" w:ascii="仿宋" w:hAnsi="仿宋" w:eastAsia="仿宋" w:cs="仿宋"/>
          <w:bCs/>
          <w:kern w:val="2"/>
          <w:sz w:val="28"/>
          <w:szCs w:val="28"/>
        </w:rPr>
        <w:t xml:space="preserve"> 2．推行混合所有制改革的焦点和难点问题解析 </w:t>
      </w:r>
    </w:p>
    <w:p>
      <w:pPr>
        <w:autoSpaceDE/>
        <w:autoSpaceDN/>
        <w:adjustRightInd/>
        <w:spacing w:line="36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3．不同类型国有企业推行混改的操作模式以及可借鉴的典型案例</w:t>
      </w:r>
    </w:p>
    <w:p>
      <w:pPr>
        <w:autoSpaceDE/>
        <w:autoSpaceDN/>
        <w:adjustRightInd/>
        <w:spacing w:line="36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w:t>
      </w:r>
      <w:r>
        <w:rPr>
          <w:rFonts w:ascii="仿宋" w:hAnsi="仿宋" w:eastAsia="仿宋" w:cs="仿宋"/>
          <w:bCs/>
          <w:kern w:val="2"/>
          <w:sz w:val="28"/>
          <w:szCs w:val="28"/>
        </w:rPr>
        <w:t xml:space="preserve"> </w:t>
      </w:r>
      <w:r>
        <w:rPr>
          <w:rFonts w:hint="default" w:ascii="仿宋" w:hAnsi="仿宋" w:eastAsia="仿宋" w:cs="仿宋"/>
          <w:bCs/>
          <w:kern w:val="2"/>
          <w:sz w:val="28"/>
          <w:szCs w:val="28"/>
        </w:rPr>
        <w:t xml:space="preserve">4．国企混合所有制改革操作的权威指引详解（包含国企混改的基本流程、六大主要环节的操作要点等）  </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5．在混改筹划、实施过程中，如何将混改工作与企业转型发展、培育新兴产业、打造一流企业等战略性议题有效结合</w:t>
      </w:r>
    </w:p>
    <w:p>
      <w:pPr>
        <w:autoSpaceDE/>
        <w:autoSpaceDN/>
        <w:adjustRightInd/>
        <w:spacing w:line="36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w:t>
      </w:r>
      <w:r>
        <w:rPr>
          <w:rFonts w:ascii="仿宋" w:hAnsi="仿宋" w:eastAsia="仿宋" w:cs="仿宋"/>
          <w:bCs/>
          <w:kern w:val="2"/>
          <w:sz w:val="28"/>
          <w:szCs w:val="28"/>
        </w:rPr>
        <w:t xml:space="preserve"> </w:t>
      </w:r>
      <w:r>
        <w:rPr>
          <w:rFonts w:hint="default" w:ascii="仿宋" w:hAnsi="仿宋" w:eastAsia="仿宋" w:cs="仿宋"/>
          <w:bCs/>
          <w:kern w:val="2"/>
          <w:sz w:val="28"/>
          <w:szCs w:val="28"/>
        </w:rPr>
        <w:t xml:space="preserve"> 6．国企混改方案设计及组织实施疑难问题处理</w:t>
      </w:r>
    </w:p>
    <w:p>
      <w:pPr>
        <w:autoSpaceDE/>
        <w:autoSpaceDN/>
        <w:adjustRightInd/>
        <w:spacing w:line="360" w:lineRule="exact"/>
        <w:ind w:firstLine="280" w:firstLineChars="100"/>
        <w:jc w:val="both"/>
        <w:rPr>
          <w:rFonts w:hint="default" w:ascii="楷体" w:hAnsi="楷体" w:eastAsia="楷体" w:cs="楷体"/>
          <w:kern w:val="2"/>
          <w:sz w:val="28"/>
          <w:szCs w:val="28"/>
        </w:rPr>
      </w:pPr>
      <w:r>
        <w:rPr>
          <w:rFonts w:hint="default" w:ascii="楷体" w:hAnsi="楷体" w:eastAsia="楷体" w:cs="楷体"/>
          <w:kern w:val="2"/>
          <w:sz w:val="28"/>
          <w:szCs w:val="28"/>
        </w:rPr>
        <w:t>(五)</w:t>
      </w:r>
      <w:r>
        <w:rPr>
          <w:rFonts w:ascii="楷体" w:hAnsi="楷体" w:eastAsia="楷体" w:cs="楷体"/>
          <w:kern w:val="2"/>
          <w:sz w:val="28"/>
          <w:szCs w:val="28"/>
        </w:rPr>
        <w:t>《关于改革国有企业工资决定机制的意见》（国发〔2018〕16号）解读</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1.国有企业工资决定机制主要概念界定</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2.国资系统如何整体规划打造国企与干部员工的命运共同体</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3.国资委如何推动区域国企工资总额调整机制的建立</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4.企业分类确定工资效益联动指标</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5.国企如何利用一企一策改革个性化确定工资总额形成公式</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6.基于工资总额机制的内部差异化薪酬      </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7.国有企业工资分配监管体制</w:t>
      </w:r>
    </w:p>
    <w:p>
      <w:pPr>
        <w:autoSpaceDE/>
        <w:autoSpaceDN/>
        <w:adjustRightInd/>
        <w:spacing w:line="360" w:lineRule="exact"/>
        <w:ind w:firstLine="280" w:firstLineChars="100"/>
        <w:jc w:val="both"/>
        <w:rPr>
          <w:rFonts w:hint="default" w:ascii="楷体" w:hAnsi="楷体" w:eastAsia="楷体" w:cs="楷体"/>
          <w:kern w:val="2"/>
          <w:sz w:val="28"/>
          <w:szCs w:val="28"/>
        </w:rPr>
      </w:pPr>
      <w:r>
        <w:rPr>
          <w:rFonts w:hint="default" w:ascii="楷体" w:hAnsi="楷体" w:eastAsia="楷体" w:cs="楷体"/>
          <w:kern w:val="2"/>
          <w:sz w:val="28"/>
          <w:szCs w:val="28"/>
        </w:rPr>
        <w:t>(六) 国有企业人才管理机制及薪酬绩效管理体系改革</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1.国有企业薪酬体系改革的政策解读</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2.国有企业人才流动机制的建立与完善</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3.绩效管理的操作步骤、指标设计及管理模式</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4.国有企业改革中建立以绩效为导向和市场接轨的薪酬体系</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5.国有企业绩效考核的难点及解决思路</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6.国企三项制度改革的重点、难点问题解析</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7. 三项制度改革的推进策略、实施路径及典型成功案例解析</w:t>
      </w:r>
    </w:p>
    <w:p>
      <w:pPr>
        <w:autoSpaceDE/>
        <w:autoSpaceDN/>
        <w:adjustRightInd/>
        <w:spacing w:line="360" w:lineRule="exact"/>
        <w:ind w:firstLine="280" w:firstLineChars="100"/>
        <w:jc w:val="both"/>
        <w:rPr>
          <w:rFonts w:hint="default" w:ascii="楷体" w:hAnsi="楷体" w:eastAsia="楷体" w:cs="楷体"/>
          <w:kern w:val="2"/>
          <w:sz w:val="28"/>
          <w:szCs w:val="28"/>
        </w:rPr>
      </w:pPr>
      <w:r>
        <w:rPr>
          <w:rFonts w:hint="default" w:ascii="楷体" w:hAnsi="楷体" w:eastAsia="楷体" w:cs="楷体"/>
          <w:kern w:val="2"/>
          <w:sz w:val="28"/>
          <w:szCs w:val="28"/>
        </w:rPr>
        <w:t>(七) 国企薪酬改革、员工持股与长期激励机制设计</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1.薪酬体系构成与设计原则</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2.国企薪酬诊断分析与案例</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3.薪酬设计“6+1”</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4.国企不同级别员工的薪酬构成</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5.股权顶层设计--股权治理机制</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6.与薪酬体系匹配的激励方式</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7.股权激励机制的现状与设计模式</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8.国企长期激励实施的要点</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9.股权激励机制主要操作障碍</w:t>
      </w:r>
    </w:p>
    <w:p>
      <w:pPr>
        <w:autoSpaceDE/>
        <w:autoSpaceDN/>
        <w:adjustRightInd/>
        <w:spacing w:line="360" w:lineRule="exact"/>
        <w:ind w:firstLine="280" w:firstLineChars="100"/>
        <w:jc w:val="both"/>
        <w:rPr>
          <w:rFonts w:hint="default" w:ascii="楷体" w:hAnsi="楷体" w:eastAsia="楷体" w:cs="楷体"/>
          <w:kern w:val="2"/>
          <w:sz w:val="28"/>
          <w:szCs w:val="28"/>
        </w:rPr>
      </w:pPr>
      <w:r>
        <w:rPr>
          <w:rFonts w:hint="default" w:ascii="楷体" w:hAnsi="楷体" w:eastAsia="楷体" w:cs="楷体"/>
          <w:kern w:val="2"/>
          <w:sz w:val="28"/>
          <w:szCs w:val="28"/>
        </w:rPr>
        <w:t xml:space="preserve">（八）国企混改中职工持股、股权和分红激励的操作要点 </w:t>
      </w:r>
    </w:p>
    <w:p>
      <w:pPr>
        <w:autoSpaceDE/>
        <w:autoSpaceDN/>
        <w:adjustRightInd/>
        <w:spacing w:line="36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1．国企职工持股的经验教训总结</w:t>
      </w:r>
    </w:p>
    <w:p>
      <w:pPr>
        <w:autoSpaceDE/>
        <w:autoSpaceDN/>
        <w:adjustRightInd/>
        <w:spacing w:line="36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2．不同类型国有企业推行骨干职工持股的操作模式及可借鉴的典型案例 </w:t>
      </w:r>
    </w:p>
    <w:p>
      <w:pPr>
        <w:autoSpaceDE/>
        <w:autoSpaceDN/>
        <w:adjustRightInd/>
        <w:spacing w:line="36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3．职工持股的可选载体及其适用性、利弊分析 </w:t>
      </w:r>
    </w:p>
    <w:p>
      <w:pPr>
        <w:autoSpaceDE/>
        <w:autoSpaceDN/>
        <w:adjustRightInd/>
        <w:spacing w:line="36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4．国企混改中预留股权的操作方法与技巧（注：预留股权常用于吸引和激励优秀人才） </w:t>
      </w:r>
    </w:p>
    <w:p>
      <w:pPr>
        <w:autoSpaceDE/>
        <w:autoSpaceDN/>
        <w:adjustRightInd/>
        <w:spacing w:line="36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5．目前尚不符合职工持股试点意见所要求条件的国企，如何创新设计改革方式和操作路径，依法依规分步推进混改和职工持股工作  </w:t>
      </w:r>
    </w:p>
    <w:p>
      <w:pPr>
        <w:autoSpaceDE/>
        <w:autoSpaceDN/>
        <w:adjustRightInd/>
        <w:spacing w:line="36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6．国有企业股权和分红激励的适用范围、操作模式及可借鉴的典型案例 </w:t>
      </w:r>
    </w:p>
    <w:p>
      <w:pPr>
        <w:autoSpaceDE/>
        <w:autoSpaceDN/>
        <w:adjustRightInd/>
        <w:spacing w:line="360" w:lineRule="exact"/>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   7．国企混改中职工持股方案、股权和分红激励方案的设计及实施疑难问题处理 </w:t>
      </w:r>
    </w:p>
    <w:p>
      <w:pPr>
        <w:autoSpaceDE/>
        <w:autoSpaceDN/>
        <w:adjustRightInd/>
        <w:spacing w:line="360" w:lineRule="exact"/>
        <w:ind w:firstLine="280" w:firstLineChars="100"/>
        <w:jc w:val="both"/>
        <w:rPr>
          <w:rFonts w:hint="default" w:ascii="楷体" w:hAnsi="楷体" w:eastAsia="楷体" w:cs="楷体"/>
          <w:kern w:val="2"/>
          <w:sz w:val="28"/>
          <w:szCs w:val="28"/>
        </w:rPr>
      </w:pPr>
      <w:r>
        <w:rPr>
          <w:rFonts w:hint="default" w:ascii="楷体" w:hAnsi="楷体" w:eastAsia="楷体" w:cs="楷体"/>
          <w:kern w:val="2"/>
          <w:sz w:val="28"/>
          <w:szCs w:val="28"/>
        </w:rPr>
        <w:t>(九) 市场化选聘经营管理者与职业经理人</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 《关于开展市场化选聘和管理国有企业经营管理者试点工作的意见》解读</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2.中国特色现代企业治理机制</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3.董事会职权落实</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4.市场化选聘经营管理者</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5.分类改革与分类治理</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6.“管资本”模式下国有出资人的职责履行</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7.市场化选聘模式分析</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8.契约制和聘用制                                          </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9.推行职业经理人制度的总体要求</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10.职业经理人制度建设相关政策分析</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11.职业经理人制度体系建设与实施的经验借鉴</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12.职业经理人制度与国企党建的重要工作</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13.案例分析:职业经理人选聘、薪酬机制模式</w:t>
      </w:r>
    </w:p>
    <w:p>
      <w:pPr>
        <w:autoSpaceDE/>
        <w:autoSpaceDN/>
        <w:adjustRightInd/>
        <w:spacing w:line="360" w:lineRule="exact"/>
        <w:ind w:firstLine="280" w:firstLineChars="100"/>
        <w:jc w:val="both"/>
        <w:rPr>
          <w:rFonts w:hint="default" w:ascii="楷体" w:hAnsi="楷体" w:eastAsia="楷体" w:cs="楷体"/>
          <w:kern w:val="2"/>
          <w:sz w:val="28"/>
          <w:szCs w:val="28"/>
        </w:rPr>
      </w:pPr>
      <w:r>
        <w:rPr>
          <w:rFonts w:hint="default" w:ascii="楷体" w:hAnsi="楷体" w:eastAsia="楷体" w:cs="楷体"/>
          <w:kern w:val="2"/>
          <w:sz w:val="28"/>
          <w:szCs w:val="28"/>
        </w:rPr>
        <w:t>（十）债转股的背景与相关政策解读</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1．债转股定义及背景</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2．两轮债转股的差异对比</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3．市场化债转股的实施情况</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4．国务院《关于积极稳妥降低企业杠杆率的意见》（国发</w:t>
      </w:r>
      <w:r>
        <w:rPr>
          <w:rFonts w:ascii="仿宋" w:hAnsi="仿宋" w:eastAsia="仿宋" w:cs="仿宋"/>
          <w:bCs/>
          <w:kern w:val="2"/>
          <w:sz w:val="28"/>
          <w:szCs w:val="28"/>
        </w:rPr>
        <w:t>〔2016〕</w:t>
      </w:r>
      <w:r>
        <w:rPr>
          <w:rFonts w:hint="default" w:ascii="仿宋" w:hAnsi="仿宋" w:eastAsia="仿宋" w:cs="仿宋"/>
          <w:bCs/>
          <w:kern w:val="2"/>
          <w:sz w:val="28"/>
          <w:szCs w:val="28"/>
        </w:rPr>
        <w:t>54号）及其配套文件《关于市场化银行债权转股权的指导意见》、《关于市场化银行债权转股权实施中有关具体政策问题的通知》解读</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5．2018年，七部委《关于市场化银行债权转股权实施中有关具体政策问题的通知》及五部委《关于鼓励相关机构参与市场化债转股的通知》等相关政策解读</w:t>
      </w:r>
    </w:p>
    <w:p>
      <w:pPr>
        <w:autoSpaceDE/>
        <w:autoSpaceDN/>
        <w:adjustRightInd/>
        <w:spacing w:line="360" w:lineRule="exact"/>
        <w:ind w:firstLine="280" w:firstLineChars="100"/>
        <w:jc w:val="both"/>
        <w:rPr>
          <w:rFonts w:hint="default" w:ascii="楷体" w:hAnsi="楷体" w:eastAsia="楷体" w:cs="楷体"/>
          <w:kern w:val="2"/>
          <w:sz w:val="28"/>
          <w:szCs w:val="28"/>
        </w:rPr>
      </w:pPr>
      <w:r>
        <w:rPr>
          <w:rFonts w:hint="default" w:ascii="楷体" w:hAnsi="楷体" w:eastAsia="楷体" w:cs="楷体"/>
          <w:kern w:val="2"/>
          <w:sz w:val="28"/>
          <w:szCs w:val="28"/>
        </w:rPr>
        <w:t>（十一）债转股对象、条件及实施路径</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1．企业选择标准</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2．债权选择标准</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3．资金寻找问题</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4．债转股如何实施</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 xml:space="preserve">5．利益相关方的谈判 </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6．债转股后如何管理和退出</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7．后续资金的支持</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8．债转股业务的收益及风险分析</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9．银行主导的债转股及案例分析</w:t>
      </w:r>
    </w:p>
    <w:p>
      <w:pPr>
        <w:autoSpaceDE/>
        <w:autoSpaceDN/>
        <w:adjustRightInd/>
        <w:spacing w:line="360" w:lineRule="exact"/>
        <w:ind w:firstLine="420" w:firstLineChars="150"/>
        <w:jc w:val="both"/>
        <w:rPr>
          <w:rFonts w:hint="default" w:ascii="仿宋" w:hAnsi="仿宋" w:eastAsia="仿宋" w:cs="仿宋"/>
          <w:bCs/>
          <w:kern w:val="2"/>
          <w:sz w:val="28"/>
          <w:szCs w:val="28"/>
        </w:rPr>
      </w:pPr>
      <w:r>
        <w:rPr>
          <w:rFonts w:hint="default" w:ascii="仿宋" w:hAnsi="仿宋" w:eastAsia="仿宋" w:cs="仿宋"/>
          <w:bCs/>
          <w:kern w:val="2"/>
          <w:sz w:val="28"/>
          <w:szCs w:val="28"/>
        </w:rPr>
        <w:t>10．非银金融机构主导的债转股案例分析</w:t>
      </w:r>
    </w:p>
    <w:p>
      <w:pPr>
        <w:rPr>
          <w:rFonts w:hint="default"/>
        </w:rPr>
      </w:pPr>
    </w:p>
    <w:p>
      <w:pPr>
        <w:rPr>
          <w:rFonts w:hint="default"/>
        </w:rPr>
      </w:pPr>
    </w:p>
    <w:p>
      <w:pPr>
        <w:rPr>
          <w:rFonts w:hint="default"/>
        </w:rPr>
      </w:pPr>
    </w:p>
    <w:p>
      <w:pPr>
        <w:rPr>
          <w:rFonts w:hint="default"/>
        </w:rPr>
      </w:pPr>
    </w:p>
    <w:p>
      <w:pPr>
        <w:keepNext w:val="0"/>
        <w:keepLines w:val="0"/>
        <w:pageBreakBefore w:val="0"/>
        <w:widowControl/>
        <w:kinsoku/>
        <w:wordWrap/>
        <w:overflowPunct/>
        <w:topLinePunct w:val="0"/>
        <w:autoSpaceDE/>
        <w:autoSpaceDN/>
        <w:bidi w:val="0"/>
        <w:snapToGrid/>
        <w:spacing w:line="400" w:lineRule="exact"/>
        <w:textAlignment w:val="auto"/>
        <w:rPr>
          <w:rStyle w:val="8"/>
          <w:rFonts w:hint="default" w:ascii="黑体" w:hAnsi="黑体" w:eastAsia="黑体" w:cs="黑体"/>
          <w:b w:val="0"/>
          <w:bCs w:val="0"/>
          <w:color w:val="000000"/>
          <w:sz w:val="28"/>
          <w:szCs w:val="28"/>
          <w:lang w:val="zh-CN"/>
        </w:rPr>
      </w:pPr>
      <w:r>
        <w:rPr>
          <w:rStyle w:val="8"/>
          <w:rFonts w:ascii="黑体" w:hAnsi="黑体" w:eastAsia="黑体" w:cs="黑体"/>
          <w:b w:val="0"/>
          <w:bCs w:val="0"/>
          <w:color w:val="000000"/>
          <w:sz w:val="28"/>
          <w:szCs w:val="28"/>
        </w:rPr>
        <w:t>附件2.“贯彻国资授权经营改革、构造国企长效激励机制</w:t>
      </w:r>
      <w:r>
        <w:rPr>
          <w:rStyle w:val="8"/>
          <w:rFonts w:ascii="黑体" w:hAnsi="黑体" w:eastAsia="黑体" w:cs="黑体"/>
          <w:b w:val="0"/>
          <w:bCs w:val="0"/>
          <w:color w:val="000000"/>
          <w:sz w:val="28"/>
          <w:szCs w:val="28"/>
          <w:lang w:val="zh-CN"/>
        </w:rPr>
        <w:t>培训班</w:t>
      </w:r>
      <w:r>
        <w:rPr>
          <w:rStyle w:val="8"/>
          <w:rFonts w:ascii="黑体" w:hAnsi="黑体" w:eastAsia="黑体" w:cs="黑体"/>
          <w:b w:val="0"/>
          <w:bCs w:val="0"/>
          <w:color w:val="000000"/>
          <w:sz w:val="28"/>
          <w:szCs w:val="28"/>
        </w:rPr>
        <w:t>”</w:t>
      </w:r>
      <w:r>
        <w:rPr>
          <w:rStyle w:val="8"/>
          <w:rFonts w:ascii="黑体" w:hAnsi="黑体" w:eastAsia="黑体" w:cs="黑体"/>
          <w:b w:val="0"/>
          <w:bCs w:val="0"/>
          <w:color w:val="000000"/>
          <w:sz w:val="28"/>
          <w:szCs w:val="28"/>
          <w:lang w:val="zh-CN"/>
        </w:rPr>
        <w:t>报名回执表</w:t>
      </w:r>
    </w:p>
    <w:tbl>
      <w:tblPr>
        <w:tblStyle w:val="6"/>
        <w:tblpPr w:leftFromText="180" w:rightFromText="180" w:vertAnchor="text" w:horzAnchor="margin" w:tblpXSpec="center" w:tblpY="70"/>
        <w:tblW w:w="10287"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5"/>
        <w:gridCol w:w="566"/>
        <w:gridCol w:w="810"/>
        <w:gridCol w:w="907"/>
        <w:gridCol w:w="1125"/>
        <w:gridCol w:w="1290"/>
        <w:gridCol w:w="1365"/>
        <w:gridCol w:w="206"/>
        <w:gridCol w:w="784"/>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6"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单位名称</w:t>
            </w:r>
          </w:p>
        </w:tc>
        <w:tc>
          <w:tcPr>
            <w:tcW w:w="7626"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4"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通讯地址</w:t>
            </w:r>
          </w:p>
        </w:tc>
        <w:tc>
          <w:tcPr>
            <w:tcW w:w="7626"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8" w:hRule="exact"/>
          <w:jc w:val="center"/>
        </w:trPr>
        <w:tc>
          <w:tcPr>
            <w:tcW w:w="1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lang w:val="zh-CN"/>
              </w:rPr>
              <w:t>审批人</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职 务</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电  话</w:t>
            </w: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c>
          <w:tcPr>
            <w:tcW w:w="99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lang w:val="zh-CN"/>
              </w:rPr>
              <w:t>手</w:t>
            </w:r>
            <w:r>
              <w:rPr>
                <w:rFonts w:ascii="仿宋" w:hAnsi="仿宋" w:eastAsia="仿宋" w:cs="仿宋"/>
                <w:sz w:val="28"/>
                <w:szCs w:val="28"/>
              </w:rPr>
              <w:t xml:space="preserve">  </w:t>
            </w:r>
            <w:r>
              <w:rPr>
                <w:rFonts w:ascii="仿宋" w:hAnsi="仿宋" w:eastAsia="仿宋" w:cs="仿宋"/>
                <w:sz w:val="28"/>
                <w:szCs w:val="28"/>
                <w:lang w:val="zh-CN"/>
              </w:rPr>
              <w:t>机</w:t>
            </w:r>
          </w:p>
        </w:tc>
        <w:tc>
          <w:tcPr>
            <w:tcW w:w="19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exact"/>
          <w:jc w:val="center"/>
        </w:trPr>
        <w:tc>
          <w:tcPr>
            <w:tcW w:w="12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lang w:val="zh-CN"/>
              </w:rPr>
              <w:t>联系人</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职 务</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电  话</w:t>
            </w:r>
          </w:p>
        </w:tc>
        <w:tc>
          <w:tcPr>
            <w:tcW w:w="1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c>
          <w:tcPr>
            <w:tcW w:w="99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lang w:val="zh-CN"/>
              </w:rPr>
              <w:t>手</w:t>
            </w:r>
            <w:r>
              <w:rPr>
                <w:rFonts w:ascii="仿宋" w:hAnsi="仿宋" w:eastAsia="仿宋" w:cs="仿宋"/>
                <w:sz w:val="28"/>
                <w:szCs w:val="28"/>
              </w:rPr>
              <w:t xml:space="preserve">  </w:t>
            </w:r>
            <w:r>
              <w:rPr>
                <w:rFonts w:ascii="仿宋" w:hAnsi="仿宋" w:eastAsia="仿宋" w:cs="仿宋"/>
                <w:sz w:val="28"/>
                <w:szCs w:val="28"/>
                <w:lang w:val="zh-CN"/>
              </w:rPr>
              <w:t>机</w:t>
            </w:r>
          </w:p>
        </w:tc>
        <w:tc>
          <w:tcPr>
            <w:tcW w:w="19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0" w:hRule="exact"/>
          <w:jc w:val="center"/>
        </w:trPr>
        <w:tc>
          <w:tcPr>
            <w:tcW w:w="266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lang w:val="zh-CN"/>
              </w:rPr>
              <w:t>参会人</w:t>
            </w:r>
            <w:r>
              <w:rPr>
                <w:rFonts w:ascii="仿宋" w:hAnsi="仿宋" w:eastAsia="仿宋" w:cs="仿宋"/>
                <w:sz w:val="28"/>
                <w:szCs w:val="28"/>
              </w:rPr>
              <w:t>姓名</w:t>
            </w:r>
          </w:p>
        </w:tc>
        <w:tc>
          <w:tcPr>
            <w:tcW w:w="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性 别</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部  门</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职  务</w:t>
            </w:r>
          </w:p>
        </w:tc>
        <w:tc>
          <w:tcPr>
            <w:tcW w:w="23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手 机</w:t>
            </w:r>
          </w:p>
        </w:tc>
        <w:tc>
          <w:tcPr>
            <w:tcW w:w="19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0"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1"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1"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1"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1"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1"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7" w:hRule="exact"/>
          <w:jc w:val="center"/>
        </w:trPr>
        <w:tc>
          <w:tcPr>
            <w:tcW w:w="266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9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2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c>
          <w:tcPr>
            <w:tcW w:w="194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8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是否住宿</w:t>
            </w:r>
          </w:p>
        </w:tc>
        <w:tc>
          <w:tcPr>
            <w:tcW w:w="28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□是     □否</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住宿要求</w:t>
            </w:r>
          </w:p>
        </w:tc>
        <w:tc>
          <w:tcPr>
            <w:tcW w:w="430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□单住(需另补床位费)□合住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1" w:hRule="atLeast"/>
          <w:jc w:val="center"/>
        </w:trPr>
        <w:tc>
          <w:tcPr>
            <w:tcW w:w="18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费用选择</w:t>
            </w:r>
          </w:p>
        </w:tc>
        <w:tc>
          <w:tcPr>
            <w:tcW w:w="843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□A：2800             □B：4980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8" w:hRule="atLeast"/>
          <w:jc w:val="center"/>
        </w:trPr>
        <w:tc>
          <w:tcPr>
            <w:tcW w:w="18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参加地点</w:t>
            </w:r>
          </w:p>
        </w:tc>
        <w:tc>
          <w:tcPr>
            <w:tcW w:w="843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□南宁    □厦门    □深圳    □杭州    □海口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5" w:hRule="atLeast"/>
          <w:jc w:val="center"/>
        </w:trPr>
        <w:tc>
          <w:tcPr>
            <w:tcW w:w="185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开票信息</w:t>
            </w:r>
          </w:p>
        </w:tc>
        <w:tc>
          <w:tcPr>
            <w:tcW w:w="8436" w:type="dxa"/>
            <w:gridSpan w:val="8"/>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 xml:space="preserve">    □增值税专用发票            □增值税普票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0" w:hRule="exact"/>
          <w:jc w:val="center"/>
        </w:trPr>
        <w:tc>
          <w:tcPr>
            <w:tcW w:w="18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单位名称</w:t>
            </w:r>
          </w:p>
        </w:tc>
        <w:tc>
          <w:tcPr>
            <w:tcW w:w="843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exact"/>
          <w:jc w:val="center"/>
        </w:trPr>
        <w:tc>
          <w:tcPr>
            <w:tcW w:w="18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纳税人识别号</w:t>
            </w:r>
          </w:p>
        </w:tc>
        <w:tc>
          <w:tcPr>
            <w:tcW w:w="843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exact"/>
          <w:jc w:val="center"/>
        </w:trPr>
        <w:tc>
          <w:tcPr>
            <w:tcW w:w="18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地址电话</w:t>
            </w:r>
          </w:p>
        </w:tc>
        <w:tc>
          <w:tcPr>
            <w:tcW w:w="843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18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开户行账号</w:t>
            </w:r>
          </w:p>
        </w:tc>
        <w:tc>
          <w:tcPr>
            <w:tcW w:w="843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3" w:hRule="exact"/>
          <w:jc w:val="center"/>
        </w:trPr>
        <w:tc>
          <w:tcPr>
            <w:tcW w:w="185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收款账户</w:t>
            </w:r>
          </w:p>
        </w:tc>
        <w:tc>
          <w:tcPr>
            <w:tcW w:w="8436" w:type="dxa"/>
            <w:gridSpan w:val="8"/>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zh-CN"/>
              </w:rPr>
            </w:pPr>
            <w:r>
              <w:rPr>
                <w:rFonts w:ascii="仿宋_GB2312" w:hAnsi="Times New Roman" w:eastAsia="仿宋_GB2312"/>
                <w:kern w:val="2"/>
                <w:sz w:val="28"/>
                <w:szCs w:val="28"/>
              </w:rPr>
              <w:t>单</w:t>
            </w:r>
            <w:r>
              <w:rPr>
                <w:rFonts w:ascii="仿宋" w:hAnsi="仿宋" w:eastAsia="仿宋" w:cs="仿宋"/>
                <w:sz w:val="28"/>
                <w:szCs w:val="28"/>
                <w:lang w:val="zh-CN"/>
              </w:rPr>
              <w:t>位全称</w:t>
            </w:r>
            <w:r>
              <w:rPr>
                <w:rFonts w:hint="default" w:ascii="仿宋" w:hAnsi="仿宋" w:eastAsia="仿宋" w:cs="仿宋"/>
                <w:sz w:val="28"/>
                <w:szCs w:val="28"/>
                <w:lang w:val="zh-CN"/>
              </w:rPr>
              <w:t xml:space="preserve">: 北京国网信科技术培训中心 </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zh-CN"/>
              </w:rPr>
            </w:pPr>
            <w:r>
              <w:rPr>
                <w:rFonts w:ascii="仿宋" w:hAnsi="仿宋" w:eastAsia="仿宋" w:cs="仿宋"/>
                <w:sz w:val="28"/>
                <w:szCs w:val="28"/>
                <w:lang w:val="zh-CN"/>
              </w:rPr>
              <w:t>开</w:t>
            </w:r>
            <w:r>
              <w:rPr>
                <w:rFonts w:hint="default" w:ascii="仿宋" w:hAnsi="仿宋" w:eastAsia="仿宋" w:cs="仿宋"/>
                <w:sz w:val="28"/>
                <w:szCs w:val="28"/>
                <w:lang w:val="zh-CN"/>
              </w:rPr>
              <w:t xml:space="preserve"> 户 行：中国工商银行股份有限公司北京半壁店支行</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zh-CN"/>
              </w:rPr>
            </w:pPr>
            <w:r>
              <w:rPr>
                <w:rFonts w:ascii="仿宋" w:hAnsi="仿宋" w:eastAsia="仿宋" w:cs="仿宋"/>
                <w:sz w:val="28"/>
                <w:szCs w:val="28"/>
              </w:rPr>
              <w:t>账</w:t>
            </w:r>
            <w:r>
              <w:rPr>
                <w:rFonts w:hint="default" w:ascii="仿宋" w:hAnsi="仿宋" w:eastAsia="仿宋" w:cs="仿宋"/>
                <w:sz w:val="28"/>
                <w:szCs w:val="28"/>
                <w:lang w:val="zh-CN"/>
              </w:rPr>
              <w:t xml:space="preserve">    户： 0200 2470 0920 0063 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24" w:hRule="exact"/>
          <w:jc w:val="center"/>
        </w:trPr>
        <w:tc>
          <w:tcPr>
            <w:tcW w:w="185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p>
          <w:p>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仿宋" w:hAnsi="仿宋" w:eastAsia="仿宋" w:cs="仿宋"/>
                <w:sz w:val="28"/>
                <w:szCs w:val="28"/>
              </w:rPr>
            </w:pPr>
            <w:r>
              <w:rPr>
                <w:rFonts w:ascii="仿宋" w:hAnsi="仿宋" w:eastAsia="仿宋" w:cs="仿宋"/>
                <w:sz w:val="28"/>
                <w:szCs w:val="28"/>
              </w:rPr>
              <w:t>备注</w:t>
            </w:r>
          </w:p>
        </w:tc>
        <w:tc>
          <w:tcPr>
            <w:tcW w:w="5703"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zh-CN"/>
              </w:rPr>
            </w:pPr>
            <w:r>
              <w:rPr>
                <w:rFonts w:ascii="仿宋" w:hAnsi="仿宋" w:eastAsia="仿宋" w:cs="仿宋"/>
                <w:sz w:val="28"/>
                <w:szCs w:val="28"/>
                <w:lang w:val="zh-CN"/>
              </w:rPr>
              <w:t>请及时将回执表回传或E-mail至</w:t>
            </w:r>
            <w:r>
              <w:rPr>
                <w:rFonts w:ascii="仿宋" w:hAnsi="仿宋" w:eastAsia="仿宋" w:cs="仿宋"/>
                <w:sz w:val="28"/>
                <w:szCs w:val="28"/>
              </w:rPr>
              <w:t>会</w:t>
            </w:r>
            <w:r>
              <w:rPr>
                <w:rFonts w:ascii="仿宋" w:hAnsi="仿宋" w:eastAsia="仿宋" w:cs="仿宋"/>
                <w:sz w:val="28"/>
                <w:szCs w:val="28"/>
                <w:lang w:val="zh-CN"/>
              </w:rPr>
              <w:t>务组，在报名5日内将费用通过银行转账付款，会务组确认到款后即发《报到通知》，其中将详细注明报到时间、报到详细地点等具体安排事项，各参训学员凭证入场。</w:t>
            </w:r>
          </w:p>
        </w:tc>
        <w:tc>
          <w:tcPr>
            <w:tcW w:w="2733"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zh-CN"/>
              </w:rPr>
            </w:pPr>
            <w:r>
              <w:rPr>
                <w:rFonts w:ascii="仿宋" w:hAnsi="仿宋" w:eastAsia="仿宋" w:cs="仿宋"/>
                <w:sz w:val="28"/>
                <w:szCs w:val="28"/>
                <w:lang w:val="zh-CN"/>
              </w:rPr>
              <w:t>单位印章</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zh-CN"/>
              </w:rPr>
            </w:pPr>
            <w:r>
              <w:rPr>
                <w:rFonts w:ascii="仿宋" w:hAnsi="仿宋" w:eastAsia="仿宋" w:cs="仿宋"/>
                <w:sz w:val="28"/>
                <w:szCs w:val="28"/>
              </w:rPr>
              <w:t>2019</w:t>
            </w:r>
            <w:r>
              <w:rPr>
                <w:rFonts w:ascii="仿宋" w:hAnsi="仿宋" w:eastAsia="仿宋" w:cs="仿宋"/>
                <w:sz w:val="28"/>
                <w:szCs w:val="28"/>
                <w:lang w:val="zh-CN"/>
              </w:rPr>
              <w:t>年</w:t>
            </w:r>
            <w:r>
              <w:rPr>
                <w:rFonts w:ascii="仿宋" w:hAnsi="仿宋" w:eastAsia="仿宋" w:cs="仿宋"/>
                <w:sz w:val="28"/>
                <w:szCs w:val="28"/>
              </w:rPr>
              <w:t xml:space="preserve">  </w:t>
            </w:r>
            <w:r>
              <w:rPr>
                <w:rFonts w:ascii="仿宋" w:hAnsi="仿宋" w:eastAsia="仿宋" w:cs="仿宋"/>
                <w:sz w:val="28"/>
                <w:szCs w:val="28"/>
                <w:lang w:val="zh-CN"/>
              </w:rPr>
              <w:t xml:space="preserve"> 月</w:t>
            </w:r>
            <w:r>
              <w:rPr>
                <w:rFonts w:ascii="仿宋" w:hAnsi="仿宋" w:eastAsia="仿宋" w:cs="仿宋"/>
                <w:sz w:val="28"/>
                <w:szCs w:val="28"/>
              </w:rPr>
              <w:t xml:space="preserve"> </w:t>
            </w:r>
            <w:r>
              <w:rPr>
                <w:rFonts w:ascii="仿宋" w:hAnsi="仿宋" w:eastAsia="仿宋" w:cs="仿宋"/>
                <w:sz w:val="28"/>
                <w:szCs w:val="28"/>
                <w:lang w:val="zh-CN"/>
              </w:rPr>
              <w:t xml:space="preserve"> </w:t>
            </w:r>
            <w:r>
              <w:rPr>
                <w:rFonts w:ascii="仿宋" w:hAnsi="仿宋" w:eastAsia="仿宋" w:cs="仿宋"/>
                <w:sz w:val="28"/>
                <w:szCs w:val="28"/>
              </w:rPr>
              <w:t xml:space="preserve"> </w:t>
            </w:r>
            <w:r>
              <w:rPr>
                <w:rFonts w:ascii="仿宋" w:hAnsi="仿宋" w:eastAsia="仿宋" w:cs="仿宋"/>
                <w:sz w:val="28"/>
                <w:szCs w:val="28"/>
                <w:lang w:val="zh-CN"/>
              </w:rPr>
              <w:t>日</w:t>
            </w:r>
          </w:p>
        </w:tc>
      </w:tr>
    </w:tbl>
    <w:p>
      <w:pPr>
        <w:keepNext w:val="0"/>
        <w:keepLines w:val="0"/>
        <w:pageBreakBefore w:val="0"/>
        <w:widowControl/>
        <w:kinsoku/>
        <w:wordWrap/>
        <w:overflowPunct/>
        <w:topLinePunct w:val="0"/>
        <w:autoSpaceDE/>
        <w:autoSpaceDN/>
        <w:bidi w:val="0"/>
        <w:snapToGrid/>
        <w:spacing w:line="400" w:lineRule="exact"/>
        <w:textAlignment w:val="auto"/>
        <w:rPr>
          <w:rFonts w:hint="default" w:ascii="仿宋" w:hAnsi="仿宋" w:eastAsia="仿宋" w:cs="仿宋"/>
          <w:sz w:val="28"/>
          <w:szCs w:val="28"/>
        </w:rPr>
      </w:pPr>
      <w:r>
        <w:rPr>
          <w:rFonts w:ascii="仿宋" w:hAnsi="仿宋" w:eastAsia="仿宋" w:cs="仿宋"/>
          <w:sz w:val="28"/>
          <w:szCs w:val="28"/>
        </w:rPr>
        <w:t>备注：培训班名额有限,请尽早报名，额满为止。报名表加盖印章有效</w:t>
      </w:r>
    </w:p>
    <w:p>
      <w:pPr>
        <w:keepNext w:val="0"/>
        <w:keepLines w:val="0"/>
        <w:pageBreakBefore w:val="0"/>
        <w:widowControl/>
        <w:kinsoku/>
        <w:wordWrap/>
        <w:overflowPunct/>
        <w:topLinePunct w:val="0"/>
        <w:autoSpaceDE/>
        <w:autoSpaceDN/>
        <w:bidi w:val="0"/>
        <w:snapToGrid/>
        <w:spacing w:line="4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报名联系人：聂红军 主任 18211071700（微信）   邮  箱：zqgphwz@126.com</w:t>
      </w:r>
    </w:p>
    <w:p>
      <w:pPr>
        <w:keepNext w:val="0"/>
        <w:keepLines w:val="0"/>
        <w:pageBreakBefore w:val="0"/>
        <w:widowControl/>
        <w:kinsoku/>
        <w:wordWrap/>
        <w:overflowPunct/>
        <w:topLinePunct w:val="0"/>
        <w:autoSpaceDE/>
        <w:autoSpaceDN/>
        <w:bidi w:val="0"/>
        <w:snapToGrid/>
        <w:spacing w:line="4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电话（传真）：010-87697580             </w:t>
      </w:r>
      <w:bookmarkStart w:id="0" w:name="_GoBack"/>
      <w:bookmarkEnd w:id="0"/>
      <w:r>
        <w:rPr>
          <w:rFonts w:hint="eastAsia" w:ascii="仿宋" w:hAnsi="仿宋" w:eastAsia="仿宋" w:cs="仿宋"/>
          <w:b/>
          <w:bCs/>
          <w:sz w:val="28"/>
          <w:szCs w:val="28"/>
        </w:rPr>
        <w:t xml:space="preserve">    qq咨询：3177524020   </w:t>
      </w:r>
    </w:p>
    <w:p>
      <w:pPr>
        <w:keepNext w:val="0"/>
        <w:keepLines w:val="0"/>
        <w:pageBreakBefore w:val="0"/>
        <w:widowControl/>
        <w:kinsoku/>
        <w:wordWrap/>
        <w:overflowPunct/>
        <w:topLinePunct w:val="0"/>
        <w:autoSpaceDE/>
        <w:autoSpaceDN/>
        <w:bidi w:val="0"/>
        <w:snapToGrid/>
        <w:spacing w:line="400" w:lineRule="exact"/>
        <w:textAlignment w:val="auto"/>
        <w:rPr>
          <w:rStyle w:val="9"/>
          <w:rFonts w:hint="default" w:ascii="仿宋" w:hAnsi="仿宋" w:eastAsia="仿宋" w:cs="仿宋"/>
          <w:kern w:val="2"/>
          <w:sz w:val="28"/>
          <w:szCs w:val="28"/>
        </w:rPr>
      </w:pPr>
      <w:r>
        <w:rPr>
          <w:rFonts w:hint="eastAsia" w:ascii="仿宋" w:hAnsi="仿宋" w:eastAsia="仿宋" w:cs="仿宋"/>
          <w:b/>
          <w:bCs/>
          <w:sz w:val="28"/>
          <w:szCs w:val="28"/>
        </w:rPr>
        <w:t xml:space="preserve">网址查询：http://www.zqgpchina.cn/ </w:t>
      </w:r>
      <w:r>
        <w:rPr>
          <w:rFonts w:hint="eastAsia" w:ascii="仿宋" w:hAnsi="仿宋" w:eastAsia="仿宋" w:cs="仿宋"/>
          <w:sz w:val="28"/>
          <w:szCs w:val="28"/>
        </w:rPr>
        <w:t xml:space="preserve"> </w:t>
      </w:r>
      <w:r>
        <w:rPr>
          <w:rFonts w:hint="eastAsia" w:ascii="仿宋" w:hAnsi="仿宋" w:eastAsia="仿宋" w:cs="仿宋"/>
        </w:rPr>
        <w:t xml:space="preserve">  </w:t>
      </w:r>
    </w:p>
    <w:sectPr>
      <w:footerReference r:id="rId3" w:type="default"/>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fldChar w:fldCharType="begin"/>
                          </w:r>
                          <w:r>
                            <w:instrText xml:space="preserve"> PAGE  \* MERGEFORMAT </w:instrText>
                          </w:r>
                          <w:r>
                            <w:fldChar w:fldCharType="separate"/>
                          </w:r>
                          <w:r>
                            <w:rPr>
                              <w:rFonts w:hint="default"/>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F1A80"/>
    <w:multiLevelType w:val="singleLevel"/>
    <w:tmpl w:val="3D4F1A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04FDC"/>
    <w:rsid w:val="00067BD4"/>
    <w:rsid w:val="00071470"/>
    <w:rsid w:val="0009632B"/>
    <w:rsid w:val="000B5CF0"/>
    <w:rsid w:val="000E468A"/>
    <w:rsid w:val="0011590F"/>
    <w:rsid w:val="001B15FC"/>
    <w:rsid w:val="001D5820"/>
    <w:rsid w:val="001F266D"/>
    <w:rsid w:val="001F2CC6"/>
    <w:rsid w:val="00246647"/>
    <w:rsid w:val="00272295"/>
    <w:rsid w:val="002733FA"/>
    <w:rsid w:val="00276F17"/>
    <w:rsid w:val="0029009D"/>
    <w:rsid w:val="002949F3"/>
    <w:rsid w:val="002A36D0"/>
    <w:rsid w:val="002A49D2"/>
    <w:rsid w:val="002B34D8"/>
    <w:rsid w:val="003178D4"/>
    <w:rsid w:val="003C5EEF"/>
    <w:rsid w:val="003C7777"/>
    <w:rsid w:val="00412431"/>
    <w:rsid w:val="004127EC"/>
    <w:rsid w:val="00444929"/>
    <w:rsid w:val="00464121"/>
    <w:rsid w:val="00483CEC"/>
    <w:rsid w:val="00486C2F"/>
    <w:rsid w:val="00496BBF"/>
    <w:rsid w:val="004A7ED3"/>
    <w:rsid w:val="004C2C6B"/>
    <w:rsid w:val="00574464"/>
    <w:rsid w:val="005A4681"/>
    <w:rsid w:val="005C173C"/>
    <w:rsid w:val="005D62EA"/>
    <w:rsid w:val="005F1C0F"/>
    <w:rsid w:val="00605B40"/>
    <w:rsid w:val="00656E4A"/>
    <w:rsid w:val="00657822"/>
    <w:rsid w:val="00661902"/>
    <w:rsid w:val="00683A30"/>
    <w:rsid w:val="006A09B2"/>
    <w:rsid w:val="006B38C8"/>
    <w:rsid w:val="006E23D4"/>
    <w:rsid w:val="006F58F0"/>
    <w:rsid w:val="00724CD7"/>
    <w:rsid w:val="0075016B"/>
    <w:rsid w:val="007715BD"/>
    <w:rsid w:val="007B182F"/>
    <w:rsid w:val="007B7767"/>
    <w:rsid w:val="008116B5"/>
    <w:rsid w:val="00817E51"/>
    <w:rsid w:val="00832BCD"/>
    <w:rsid w:val="00852438"/>
    <w:rsid w:val="00860964"/>
    <w:rsid w:val="00862FA1"/>
    <w:rsid w:val="00880E88"/>
    <w:rsid w:val="008B199B"/>
    <w:rsid w:val="008C34BF"/>
    <w:rsid w:val="008E378E"/>
    <w:rsid w:val="008E633F"/>
    <w:rsid w:val="008E79C6"/>
    <w:rsid w:val="008F11AC"/>
    <w:rsid w:val="00915C1A"/>
    <w:rsid w:val="00921932"/>
    <w:rsid w:val="00924672"/>
    <w:rsid w:val="009410E9"/>
    <w:rsid w:val="009700EB"/>
    <w:rsid w:val="00971ABA"/>
    <w:rsid w:val="00981D3A"/>
    <w:rsid w:val="009A029B"/>
    <w:rsid w:val="009A4718"/>
    <w:rsid w:val="009C31CC"/>
    <w:rsid w:val="00A47F72"/>
    <w:rsid w:val="00A55121"/>
    <w:rsid w:val="00A6330C"/>
    <w:rsid w:val="00A80C12"/>
    <w:rsid w:val="00AB4C35"/>
    <w:rsid w:val="00AC6CA2"/>
    <w:rsid w:val="00B13388"/>
    <w:rsid w:val="00B76269"/>
    <w:rsid w:val="00B865F7"/>
    <w:rsid w:val="00B87A6C"/>
    <w:rsid w:val="00B94216"/>
    <w:rsid w:val="00BB0019"/>
    <w:rsid w:val="00BB1E4F"/>
    <w:rsid w:val="00BC0636"/>
    <w:rsid w:val="00BC37A5"/>
    <w:rsid w:val="00BE0FB0"/>
    <w:rsid w:val="00BE59C6"/>
    <w:rsid w:val="00C44BC1"/>
    <w:rsid w:val="00C6260C"/>
    <w:rsid w:val="00C876D5"/>
    <w:rsid w:val="00C96EE4"/>
    <w:rsid w:val="00C96EFB"/>
    <w:rsid w:val="00CA285C"/>
    <w:rsid w:val="00CB3436"/>
    <w:rsid w:val="00CB7AEA"/>
    <w:rsid w:val="00D038F2"/>
    <w:rsid w:val="00D1139F"/>
    <w:rsid w:val="00D20196"/>
    <w:rsid w:val="00D26D1E"/>
    <w:rsid w:val="00D74547"/>
    <w:rsid w:val="00DA4E2E"/>
    <w:rsid w:val="00DC5B74"/>
    <w:rsid w:val="00DD52A1"/>
    <w:rsid w:val="00DE487B"/>
    <w:rsid w:val="00E40FB3"/>
    <w:rsid w:val="00E539F9"/>
    <w:rsid w:val="00E57878"/>
    <w:rsid w:val="00E73C89"/>
    <w:rsid w:val="00EF1D2F"/>
    <w:rsid w:val="00EF3778"/>
    <w:rsid w:val="00F2027E"/>
    <w:rsid w:val="00F675D5"/>
    <w:rsid w:val="00F87486"/>
    <w:rsid w:val="00FA0A5B"/>
    <w:rsid w:val="00FA2137"/>
    <w:rsid w:val="00FA5D57"/>
    <w:rsid w:val="00FB6D92"/>
    <w:rsid w:val="00FD00BF"/>
    <w:rsid w:val="00FE1E75"/>
    <w:rsid w:val="013C4826"/>
    <w:rsid w:val="02565E52"/>
    <w:rsid w:val="03AF094C"/>
    <w:rsid w:val="03FA1040"/>
    <w:rsid w:val="048617D0"/>
    <w:rsid w:val="04E92B33"/>
    <w:rsid w:val="05737D9B"/>
    <w:rsid w:val="06CB57B7"/>
    <w:rsid w:val="07254CC5"/>
    <w:rsid w:val="08B74BF5"/>
    <w:rsid w:val="08FB5F7C"/>
    <w:rsid w:val="09572D09"/>
    <w:rsid w:val="09FB6650"/>
    <w:rsid w:val="0A607113"/>
    <w:rsid w:val="0AC31668"/>
    <w:rsid w:val="0B450963"/>
    <w:rsid w:val="0B972151"/>
    <w:rsid w:val="0BE151F8"/>
    <w:rsid w:val="0C3B01D9"/>
    <w:rsid w:val="0C8F176A"/>
    <w:rsid w:val="0DB52364"/>
    <w:rsid w:val="0F24680E"/>
    <w:rsid w:val="0F96125B"/>
    <w:rsid w:val="0FFD0FAF"/>
    <w:rsid w:val="106B32BA"/>
    <w:rsid w:val="107213A8"/>
    <w:rsid w:val="10753162"/>
    <w:rsid w:val="1086655D"/>
    <w:rsid w:val="10A04439"/>
    <w:rsid w:val="11076420"/>
    <w:rsid w:val="11F90A5D"/>
    <w:rsid w:val="121370EA"/>
    <w:rsid w:val="12572A57"/>
    <w:rsid w:val="12CB1540"/>
    <w:rsid w:val="13021481"/>
    <w:rsid w:val="13834970"/>
    <w:rsid w:val="13D97A15"/>
    <w:rsid w:val="13F302A0"/>
    <w:rsid w:val="141800D3"/>
    <w:rsid w:val="14C43AEC"/>
    <w:rsid w:val="14D832DC"/>
    <w:rsid w:val="15500571"/>
    <w:rsid w:val="15765FF3"/>
    <w:rsid w:val="15942474"/>
    <w:rsid w:val="1643713D"/>
    <w:rsid w:val="16934B2C"/>
    <w:rsid w:val="17647DD7"/>
    <w:rsid w:val="176A280F"/>
    <w:rsid w:val="17731828"/>
    <w:rsid w:val="17F61E11"/>
    <w:rsid w:val="18171DB6"/>
    <w:rsid w:val="18227EFA"/>
    <w:rsid w:val="189928E0"/>
    <w:rsid w:val="191C67DD"/>
    <w:rsid w:val="199C534B"/>
    <w:rsid w:val="19FC3149"/>
    <w:rsid w:val="1A070EC9"/>
    <w:rsid w:val="1B3225F5"/>
    <w:rsid w:val="1B9B6F09"/>
    <w:rsid w:val="1C284904"/>
    <w:rsid w:val="1C3279DD"/>
    <w:rsid w:val="1CA4420E"/>
    <w:rsid w:val="1D050900"/>
    <w:rsid w:val="1D3D2FA5"/>
    <w:rsid w:val="1DB901B8"/>
    <w:rsid w:val="1DC70D48"/>
    <w:rsid w:val="1DE05818"/>
    <w:rsid w:val="20DC77B0"/>
    <w:rsid w:val="20E92516"/>
    <w:rsid w:val="21272D57"/>
    <w:rsid w:val="23041999"/>
    <w:rsid w:val="231A7FDC"/>
    <w:rsid w:val="2398750B"/>
    <w:rsid w:val="23A638AA"/>
    <w:rsid w:val="23B83BCD"/>
    <w:rsid w:val="24C36398"/>
    <w:rsid w:val="24DE1804"/>
    <w:rsid w:val="25577413"/>
    <w:rsid w:val="259034D9"/>
    <w:rsid w:val="26597D67"/>
    <w:rsid w:val="26995568"/>
    <w:rsid w:val="269D3BA7"/>
    <w:rsid w:val="27CA7DC8"/>
    <w:rsid w:val="280F41DD"/>
    <w:rsid w:val="284E6A6F"/>
    <w:rsid w:val="28D72642"/>
    <w:rsid w:val="29A377DE"/>
    <w:rsid w:val="29E945B1"/>
    <w:rsid w:val="2A3032BF"/>
    <w:rsid w:val="2C6701ED"/>
    <w:rsid w:val="2D6B291D"/>
    <w:rsid w:val="2F297404"/>
    <w:rsid w:val="2F825EB9"/>
    <w:rsid w:val="2FB12ABC"/>
    <w:rsid w:val="302D51EF"/>
    <w:rsid w:val="30A02C3A"/>
    <w:rsid w:val="30EF17C3"/>
    <w:rsid w:val="33686491"/>
    <w:rsid w:val="339D5AA0"/>
    <w:rsid w:val="33E65787"/>
    <w:rsid w:val="348B7116"/>
    <w:rsid w:val="3514633A"/>
    <w:rsid w:val="3530765A"/>
    <w:rsid w:val="35951A5E"/>
    <w:rsid w:val="35F27052"/>
    <w:rsid w:val="36CE6D9F"/>
    <w:rsid w:val="36FA4079"/>
    <w:rsid w:val="37284C14"/>
    <w:rsid w:val="380079C4"/>
    <w:rsid w:val="38677600"/>
    <w:rsid w:val="38E86EEA"/>
    <w:rsid w:val="390214D3"/>
    <w:rsid w:val="396E3218"/>
    <w:rsid w:val="3A483242"/>
    <w:rsid w:val="3A8E0AA8"/>
    <w:rsid w:val="3A965770"/>
    <w:rsid w:val="3CB069CD"/>
    <w:rsid w:val="3D1D751E"/>
    <w:rsid w:val="3DB70369"/>
    <w:rsid w:val="3DC70258"/>
    <w:rsid w:val="3DE66196"/>
    <w:rsid w:val="3DF21441"/>
    <w:rsid w:val="3EDA224C"/>
    <w:rsid w:val="41795F6E"/>
    <w:rsid w:val="42E56AFC"/>
    <w:rsid w:val="445F3812"/>
    <w:rsid w:val="44F32F01"/>
    <w:rsid w:val="457D5E20"/>
    <w:rsid w:val="459D1D3A"/>
    <w:rsid w:val="46303CCF"/>
    <w:rsid w:val="468E48DF"/>
    <w:rsid w:val="46A32AD5"/>
    <w:rsid w:val="46CA20E8"/>
    <w:rsid w:val="47622558"/>
    <w:rsid w:val="478C40A4"/>
    <w:rsid w:val="47B338EE"/>
    <w:rsid w:val="481869F4"/>
    <w:rsid w:val="482D52D0"/>
    <w:rsid w:val="483D4944"/>
    <w:rsid w:val="48927C1A"/>
    <w:rsid w:val="48CA14BA"/>
    <w:rsid w:val="48DE6614"/>
    <w:rsid w:val="49E41BBA"/>
    <w:rsid w:val="4A566980"/>
    <w:rsid w:val="4AE376FD"/>
    <w:rsid w:val="4AEF6D02"/>
    <w:rsid w:val="4B713A2E"/>
    <w:rsid w:val="4BF31917"/>
    <w:rsid w:val="4C48177B"/>
    <w:rsid w:val="4C98391A"/>
    <w:rsid w:val="4CB401EA"/>
    <w:rsid w:val="4D947D12"/>
    <w:rsid w:val="4DC9417F"/>
    <w:rsid w:val="4DD548CA"/>
    <w:rsid w:val="4E141515"/>
    <w:rsid w:val="4E7405AA"/>
    <w:rsid w:val="4EF10196"/>
    <w:rsid w:val="4F460527"/>
    <w:rsid w:val="50185595"/>
    <w:rsid w:val="501B7217"/>
    <w:rsid w:val="50AD2344"/>
    <w:rsid w:val="50D7710D"/>
    <w:rsid w:val="50F40030"/>
    <w:rsid w:val="51974A5B"/>
    <w:rsid w:val="54A247FA"/>
    <w:rsid w:val="552769AB"/>
    <w:rsid w:val="553866B2"/>
    <w:rsid w:val="558B1DE6"/>
    <w:rsid w:val="55D6725C"/>
    <w:rsid w:val="56851373"/>
    <w:rsid w:val="57284DC5"/>
    <w:rsid w:val="575D3B01"/>
    <w:rsid w:val="589914B9"/>
    <w:rsid w:val="58D94758"/>
    <w:rsid w:val="59A16CF1"/>
    <w:rsid w:val="5A045CC5"/>
    <w:rsid w:val="5A841353"/>
    <w:rsid w:val="5AB9390F"/>
    <w:rsid w:val="5E861164"/>
    <w:rsid w:val="5ECE31BE"/>
    <w:rsid w:val="60985150"/>
    <w:rsid w:val="60B34590"/>
    <w:rsid w:val="60B544EC"/>
    <w:rsid w:val="61195DAB"/>
    <w:rsid w:val="616203E2"/>
    <w:rsid w:val="62B913D1"/>
    <w:rsid w:val="635A3887"/>
    <w:rsid w:val="63667399"/>
    <w:rsid w:val="63B43533"/>
    <w:rsid w:val="63D91066"/>
    <w:rsid w:val="653B5354"/>
    <w:rsid w:val="65E63644"/>
    <w:rsid w:val="6658799D"/>
    <w:rsid w:val="674804EC"/>
    <w:rsid w:val="67EF0321"/>
    <w:rsid w:val="6843048B"/>
    <w:rsid w:val="6A594258"/>
    <w:rsid w:val="6A8B6B05"/>
    <w:rsid w:val="6AAF33AE"/>
    <w:rsid w:val="6ACB0D65"/>
    <w:rsid w:val="6BCE5518"/>
    <w:rsid w:val="6CC37179"/>
    <w:rsid w:val="6EB555B2"/>
    <w:rsid w:val="6F352C96"/>
    <w:rsid w:val="6FD25511"/>
    <w:rsid w:val="6FFF5962"/>
    <w:rsid w:val="70250144"/>
    <w:rsid w:val="71130C53"/>
    <w:rsid w:val="712758D5"/>
    <w:rsid w:val="713D6289"/>
    <w:rsid w:val="716B7B3C"/>
    <w:rsid w:val="71DB3388"/>
    <w:rsid w:val="73851E6C"/>
    <w:rsid w:val="74477A59"/>
    <w:rsid w:val="74D801CB"/>
    <w:rsid w:val="74E75E3A"/>
    <w:rsid w:val="753139E9"/>
    <w:rsid w:val="75AD5BAB"/>
    <w:rsid w:val="75BB2BCB"/>
    <w:rsid w:val="75CC140D"/>
    <w:rsid w:val="763A764C"/>
    <w:rsid w:val="767014FA"/>
    <w:rsid w:val="769D3081"/>
    <w:rsid w:val="76D27266"/>
    <w:rsid w:val="76EC312D"/>
    <w:rsid w:val="77013F85"/>
    <w:rsid w:val="77355DDE"/>
    <w:rsid w:val="78133C5B"/>
    <w:rsid w:val="79315451"/>
    <w:rsid w:val="797018DB"/>
    <w:rsid w:val="79CC0D72"/>
    <w:rsid w:val="7A21725D"/>
    <w:rsid w:val="7B546BD8"/>
    <w:rsid w:val="7B721961"/>
    <w:rsid w:val="7BAE5199"/>
    <w:rsid w:val="7BEA6524"/>
    <w:rsid w:val="7BEF2B26"/>
    <w:rsid w:val="7C195D2D"/>
    <w:rsid w:val="7C8964CB"/>
    <w:rsid w:val="7CD47A49"/>
    <w:rsid w:val="7CEA4ED8"/>
    <w:rsid w:val="7D555F23"/>
    <w:rsid w:val="7D5D2E80"/>
    <w:rsid w:val="7E746C8A"/>
    <w:rsid w:val="7E97026D"/>
    <w:rsid w:val="7EBF4BA7"/>
    <w:rsid w:val="7F171C07"/>
    <w:rsid w:val="7F7441F1"/>
    <w:rsid w:val="7F78487A"/>
    <w:rsid w:val="7FBA0C9A"/>
    <w:rsid w:val="7FCA5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character" w:styleId="8">
    <w:name w:val="Strong"/>
    <w:basedOn w:val="7"/>
    <w:qFormat/>
    <w:uiPriority w:val="99"/>
    <w:rPr>
      <w:rFonts w:cs="Times New Roman"/>
      <w:b/>
      <w:bCs/>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widowControl/>
      <w:autoSpaceDE/>
      <w:autoSpaceDN/>
      <w:adjustRightInd/>
      <w:ind w:firstLine="420" w:firstLineChars="200"/>
    </w:pPr>
    <w:rPr>
      <w:rFonts w:hint="default" w:cs="宋体"/>
      <w:szCs w:val="24"/>
    </w:rPr>
  </w:style>
  <w:style w:type="character" w:customStyle="1" w:styleId="13">
    <w:name w:val="批注框文本 Char"/>
    <w:basedOn w:val="7"/>
    <w:link w:val="2"/>
    <w:semiHidden/>
    <w:qFormat/>
    <w:uiPriority w:val="99"/>
    <w:rPr>
      <w:rFonts w:ascii="宋体" w:hAnsi="宋体"/>
      <w:sz w:val="18"/>
      <w:szCs w:val="18"/>
    </w:rPr>
  </w:style>
  <w:style w:type="paragraph" w:customStyle="1" w:styleId="14">
    <w:name w:val="Char Char Char Char Char Char Char"/>
    <w:basedOn w:val="1"/>
    <w:qFormat/>
    <w:uiPriority w:val="0"/>
    <w:pPr>
      <w:widowControl/>
      <w:autoSpaceDE/>
      <w:autoSpaceDN/>
      <w:adjustRightInd/>
      <w:spacing w:after="160" w:line="240" w:lineRule="exact"/>
    </w:pPr>
    <w:rPr>
      <w:rFonts w:hint="default" w:ascii="Times New Roman" w:hAnsi="Times New Roman"/>
      <w:kern w:val="2"/>
      <w:sz w:val="21"/>
      <w:szCs w:val="24"/>
    </w:rPr>
  </w:style>
  <w:style w:type="paragraph" w:customStyle="1" w:styleId="15">
    <w:name w:val="列出段落1"/>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1A2A6-5925-4FCC-9D02-7C0632F0025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683</Words>
  <Characters>3899</Characters>
  <Lines>32</Lines>
  <Paragraphs>9</Paragraphs>
  <TotalTime>23</TotalTime>
  <ScaleCrop>false</ScaleCrop>
  <LinksUpToDate>false</LinksUpToDate>
  <CharactersWithSpaces>4573</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2019-01-16T10:23:00Z</dcterms:created>
  <dc:creator>微软用户</dc:creator>
  <cp:lastModifiedBy>Administrator</cp:lastModifiedBy>
  <dcterms:modified xsi:type="dcterms:W3CDTF">2019-08-14T04:03:35Z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