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48" w:type="dxa"/>
        <w:jc w:val="center"/>
        <w:tblInd w:w="-77"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1" w:hRule="atLeast"/>
          <w:jc w:val="center"/>
        </w:trPr>
        <w:tc>
          <w:tcPr>
            <w:tcW w:w="9248" w:type="dxa"/>
            <w:vAlign w:val="center"/>
          </w:tcPr>
          <w:p>
            <w:pPr>
              <w:autoSpaceDE/>
              <w:autoSpaceDN/>
              <w:jc w:val="center"/>
              <w:rPr>
                <w:rFonts w:hint="default" w:ascii="楷体" w:hAnsi="楷体" w:eastAsia="楷体"/>
                <w:color w:val="FF0000"/>
                <w:sz w:val="90"/>
                <w:szCs w:val="90"/>
              </w:rPr>
            </w:pPr>
            <w:r>
              <w:rPr>
                <w:rFonts w:ascii="楷体" w:hAnsi="楷体" w:eastAsia="楷体" w:cs="宋体"/>
                <w:color w:val="000000" w:themeColor="text1"/>
                <w:szCs w:val="24"/>
                <w:lang w:val="zh-CN"/>
                <w14:textFill>
                  <w14:solidFill>
                    <w14:schemeClr w14:val="tx1"/>
                  </w14:solidFill>
                </w14:textFill>
              </w:rPr>
              <w:t xml:space="preserve"> </w:t>
            </w:r>
            <w:r>
              <w:rPr>
                <w:rFonts w:ascii="楷体" w:hAnsi="楷体" w:eastAsia="楷体"/>
                <w:color w:val="FF0000"/>
                <w:sz w:val="90"/>
                <w:szCs w:val="90"/>
              </w:rPr>
              <w:t>中 国 投 资 协 会</w:t>
            </w:r>
          </w:p>
          <w:p>
            <w:pPr>
              <w:autoSpaceDE/>
              <w:autoSpaceDN/>
              <w:jc w:val="center"/>
              <w:rPr>
                <w:rFonts w:hint="default" w:ascii="楷体" w:hAnsi="楷体" w:eastAsia="楷体"/>
                <w:color w:val="FF0000"/>
                <w:sz w:val="66"/>
                <w:szCs w:val="66"/>
              </w:rPr>
            </w:pPr>
            <w:r>
              <w:rPr>
                <w:rFonts w:ascii="楷体" w:hAnsi="楷体" w:eastAsia="楷体"/>
                <w:color w:val="FF0000"/>
                <w:sz w:val="66"/>
                <w:szCs w:val="66"/>
              </w:rPr>
              <w:t>项目投融资专业委员会文件</w:t>
            </w:r>
          </w:p>
          <w:p>
            <w:pPr>
              <w:autoSpaceDE/>
              <w:autoSpaceDN/>
              <w:jc w:val="center"/>
              <w:rPr>
                <w:rFonts w:hint="default" w:ascii="楷体" w:hAnsi="楷体" w:eastAsia="楷体"/>
                <w:color w:val="000000" w:themeColor="text1"/>
                <w:sz w:val="66"/>
                <w:szCs w:val="66"/>
                <w14:textFill>
                  <w14:solidFill>
                    <w14:schemeClr w14:val="tx1"/>
                  </w14:solidFill>
                </w14:textFill>
              </w:rPr>
            </w:pPr>
            <w:r>
              <w:rPr>
                <w:rFonts w:ascii="楷体" w:hAnsi="楷体" w:eastAsia="楷体" w:cs="宋体"/>
                <w:sz w:val="30"/>
                <w:szCs w:val="30"/>
              </w:rPr>
              <w:t>投融字〔</w:t>
            </w:r>
            <w:r>
              <w:rPr>
                <w:rFonts w:ascii="楷体" w:hAnsi="楷体" w:eastAsia="楷体"/>
                <w:sz w:val="30"/>
                <w:szCs w:val="30"/>
              </w:rPr>
              <w:t>2019</w:t>
            </w:r>
            <w:r>
              <w:rPr>
                <w:rFonts w:ascii="楷体" w:hAnsi="楷体" w:eastAsia="楷体" w:cs="宋体"/>
                <w:sz w:val="30"/>
                <w:szCs w:val="30"/>
              </w:rPr>
              <w:t>〕10号</w:t>
            </w:r>
          </w:p>
        </w:tc>
      </w:tr>
    </w:tbl>
    <w:p>
      <w:pPr>
        <w:autoSpaceDE/>
        <w:autoSpaceDN/>
        <w:adjustRightInd/>
        <w:spacing w:line="400" w:lineRule="exact"/>
        <w:jc w:val="both"/>
        <w:rPr>
          <w:rFonts w:hint="default" w:ascii="仿宋" w:hAnsi="仿宋" w:eastAsia="仿宋" w:cs="仿宋"/>
          <w:b/>
          <w:bCs/>
          <w:kern w:val="2"/>
          <w:sz w:val="28"/>
          <w:szCs w:val="28"/>
        </w:rPr>
      </w:pPr>
    </w:p>
    <w:p>
      <w:pPr>
        <w:spacing w:line="400" w:lineRule="exact"/>
        <w:jc w:val="center"/>
        <w:rPr>
          <w:rFonts w:hint="default" w:ascii="黑体" w:hAnsi="黑体" w:eastAsia="黑体" w:cs="黑体"/>
          <w:color w:val="000000"/>
          <w:sz w:val="32"/>
          <w:szCs w:val="32"/>
        </w:rPr>
      </w:pPr>
      <w:r>
        <w:rPr>
          <w:rFonts w:asciiTheme="majorEastAsia" w:hAnsiTheme="majorEastAsia" w:eastAsiaTheme="majorEastAsia" w:cstheme="majorEastAsia"/>
          <w:b/>
          <w:bCs/>
          <w:color w:val="000000"/>
          <w:sz w:val="36"/>
          <w:szCs w:val="36"/>
        </w:rPr>
        <w:t>关于举办“</w:t>
      </w:r>
      <w:bookmarkStart w:id="3" w:name="_GoBack"/>
      <w:r>
        <w:rPr>
          <w:rFonts w:asciiTheme="majorEastAsia" w:hAnsiTheme="majorEastAsia" w:eastAsiaTheme="majorEastAsia" w:cstheme="majorEastAsia"/>
          <w:b/>
          <w:bCs/>
          <w:color w:val="000000"/>
          <w:sz w:val="36"/>
          <w:szCs w:val="36"/>
        </w:rPr>
        <w:t xml:space="preserve">加强国企资产负债约束 促进社会资本规范运作 </w:t>
      </w:r>
      <w:bookmarkEnd w:id="3"/>
      <w:r>
        <w:rPr>
          <w:rFonts w:asciiTheme="majorEastAsia" w:hAnsiTheme="majorEastAsia" w:eastAsiaTheme="majorEastAsia" w:cstheme="majorEastAsia"/>
          <w:b/>
          <w:bCs/>
          <w:color w:val="000000"/>
          <w:sz w:val="36"/>
          <w:szCs w:val="36"/>
        </w:rPr>
        <w:t xml:space="preserve"> 培训班”的通知</w:t>
      </w:r>
    </w:p>
    <w:p>
      <w:pPr>
        <w:autoSpaceDE/>
        <w:autoSpaceDN/>
        <w:adjustRightInd/>
        <w:spacing w:line="200" w:lineRule="exact"/>
        <w:jc w:val="both"/>
        <w:rPr>
          <w:rFonts w:hint="default" w:ascii="仿宋" w:hAnsi="仿宋" w:eastAsia="仿宋" w:cs="仿宋"/>
          <w:b/>
          <w:bCs/>
          <w:kern w:val="2"/>
          <w:sz w:val="28"/>
          <w:szCs w:val="28"/>
        </w:rPr>
      </w:pPr>
    </w:p>
    <w:p>
      <w:pPr>
        <w:autoSpaceDE/>
        <w:autoSpaceDN/>
        <w:adjustRightInd/>
        <w:spacing w:line="360" w:lineRule="exact"/>
        <w:jc w:val="both"/>
        <w:rPr>
          <w:rFonts w:hint="default" w:ascii="华文中宋" w:hAnsi="华文中宋" w:eastAsia="华文中宋" w:cs="仿宋"/>
          <w:b/>
          <w:bCs/>
          <w:kern w:val="2"/>
          <w:sz w:val="32"/>
          <w:szCs w:val="32"/>
        </w:rPr>
      </w:pPr>
      <w:r>
        <w:rPr>
          <w:rFonts w:ascii="仿宋" w:hAnsi="仿宋" w:eastAsia="仿宋" w:cs="仿宋"/>
          <w:b/>
          <w:bCs/>
          <w:kern w:val="2"/>
          <w:sz w:val="28"/>
          <w:szCs w:val="28"/>
        </w:rPr>
        <w:t>各有关单位</w:t>
      </w:r>
      <w:r>
        <w:rPr>
          <w:rFonts w:hint="default" w:ascii="仿宋" w:hAnsi="仿宋" w:eastAsia="仿宋" w:cs="仿宋"/>
          <w:b/>
          <w:bCs/>
          <w:kern w:val="2"/>
          <w:sz w:val="28"/>
          <w:szCs w:val="28"/>
        </w:rPr>
        <w:t>:</w:t>
      </w:r>
    </w:p>
    <w:p>
      <w:pPr>
        <w:pStyle w:val="2"/>
        <w:widowControl/>
        <w:shd w:val="clear" w:color="auto" w:fill="FFFFFF"/>
        <w:spacing w:beforeAutospacing="0" w:afterAutospacing="0" w:line="360" w:lineRule="exact"/>
        <w:ind w:firstLine="560"/>
        <w:rPr>
          <w:rFonts w:hint="default" w:ascii="仿宋" w:hAnsi="仿宋" w:eastAsia="仿宋" w:cs="仿宋"/>
          <w:b w:val="0"/>
          <w:kern w:val="2"/>
          <w:sz w:val="28"/>
          <w:szCs w:val="28"/>
        </w:rPr>
      </w:pPr>
      <w:r>
        <w:rPr>
          <w:rFonts w:ascii="仿宋" w:hAnsi="仿宋" w:eastAsia="仿宋" w:cs="仿宋"/>
          <w:b w:val="0"/>
          <w:kern w:val="2"/>
          <w:sz w:val="28"/>
          <w:szCs w:val="28"/>
        </w:rPr>
        <w:t>为贯彻落实</w:t>
      </w:r>
      <w:r>
        <w:rPr>
          <w:rFonts w:hint="default" w:ascii="仿宋" w:hAnsi="仿宋" w:eastAsia="仿宋" w:cs="仿宋"/>
          <w:b w:val="0"/>
          <w:kern w:val="2"/>
          <w:sz w:val="28"/>
          <w:szCs w:val="28"/>
        </w:rPr>
        <w:t>中共中央</w:t>
      </w:r>
      <w:r>
        <w:rPr>
          <w:rFonts w:ascii="仿宋" w:hAnsi="仿宋" w:eastAsia="仿宋" w:cs="仿宋"/>
          <w:b w:val="0"/>
          <w:kern w:val="2"/>
          <w:sz w:val="28"/>
          <w:szCs w:val="28"/>
        </w:rPr>
        <w:t>、</w:t>
      </w:r>
      <w:r>
        <w:rPr>
          <w:rFonts w:hint="default" w:ascii="仿宋" w:hAnsi="仿宋" w:eastAsia="仿宋" w:cs="仿宋"/>
          <w:b w:val="0"/>
          <w:kern w:val="2"/>
          <w:sz w:val="28"/>
          <w:szCs w:val="28"/>
        </w:rPr>
        <w:t>国务院《关于加强国有企业资产负债约束的指导意见》</w:t>
      </w:r>
      <w:r>
        <w:rPr>
          <w:rFonts w:ascii="仿宋" w:hAnsi="仿宋" w:eastAsia="仿宋" w:cs="仿宋"/>
          <w:b w:val="0"/>
          <w:kern w:val="2"/>
          <w:sz w:val="28"/>
          <w:szCs w:val="28"/>
        </w:rPr>
        <w:t>（国办发</w:t>
      </w:r>
      <w:bookmarkStart w:id="0" w:name="OLE_LINK1"/>
      <w:r>
        <w:rPr>
          <w:rFonts w:ascii="仿宋" w:hAnsi="仿宋" w:eastAsia="仿宋" w:cs="仿宋"/>
          <w:b w:val="0"/>
          <w:kern w:val="2"/>
          <w:sz w:val="28"/>
          <w:szCs w:val="28"/>
        </w:rPr>
        <w:t>〔2018〕</w:t>
      </w:r>
      <w:bookmarkEnd w:id="0"/>
      <w:r>
        <w:rPr>
          <w:rFonts w:ascii="仿宋" w:hAnsi="仿宋" w:eastAsia="仿宋" w:cs="仿宋"/>
          <w:b w:val="0"/>
          <w:kern w:val="2"/>
          <w:sz w:val="28"/>
          <w:szCs w:val="28"/>
        </w:rPr>
        <w:t>27号）关于“通过建立和完善国有企业资产负债约束机制，强化监督管理，促使高负债国有企业资产负债率尽快回归合理水平”的总体要求，深入学习国务院《政府投资条例》（国令第712号）以及国务院办公厅《关于保持基础设施领域补短板力度的指导意见》（国办发〔2018〕101号）等文件精神，防范化解地方政府债务风险，加强国有企业资产负债约束，降低国有企业杠杆率，增强经济发展韧性，提高经济发展质量，中国投资协会项目投融资专业委员会会同北京中科鼎创管理咨询有限公司举办“加强国企资产负债约束、促进社会资本规范运作培训班”。</w:t>
      </w:r>
    </w:p>
    <w:p>
      <w:pPr>
        <w:spacing w:line="360" w:lineRule="exact"/>
        <w:ind w:firstLine="560"/>
        <w:rPr>
          <w:rFonts w:hint="default" w:ascii="仿宋" w:hAnsi="仿宋" w:eastAsia="仿宋" w:cs="仿宋"/>
          <w:kern w:val="2"/>
          <w:sz w:val="28"/>
          <w:szCs w:val="28"/>
          <w:lang w:bidi="ar"/>
        </w:rPr>
      </w:pPr>
      <w:r>
        <w:rPr>
          <w:rFonts w:ascii="仿宋" w:hAnsi="仿宋" w:eastAsia="仿宋" w:cs="仿宋"/>
          <w:kern w:val="2"/>
          <w:sz w:val="28"/>
          <w:szCs w:val="28"/>
          <w:lang w:bidi="ar"/>
        </w:rPr>
        <w:t>本次培训旨在帮助地方政府学习掌握国家相关政策、健全地方政府举债融资机制、规范有序化解地方隐性债务、拓宽融资渠道；协助社</w:t>
      </w:r>
      <w:r>
        <w:rPr>
          <w:rFonts w:ascii="仿宋_GB2312" w:hAnsi="仿宋_GB2312" w:eastAsia="仿宋_GB2312" w:cs="仿宋_GB2312"/>
          <w:bCs/>
          <w:color w:val="000000"/>
          <w:kern w:val="2"/>
          <w:sz w:val="28"/>
          <w:szCs w:val="28"/>
        </w:rPr>
        <w:t>会资本规范参与PPP项目、合规开展“融资代建</w:t>
      </w:r>
      <w:r>
        <w:rPr>
          <w:rFonts w:ascii="仿宋" w:hAnsi="仿宋" w:eastAsia="仿宋" w:cs="仿宋"/>
          <w:kern w:val="2"/>
          <w:sz w:val="28"/>
          <w:szCs w:val="28"/>
          <w:lang w:bidi="ar"/>
        </w:rPr>
        <w:t>”模式、集合产业基金资源、</w:t>
      </w:r>
      <w:r>
        <w:rPr>
          <w:rFonts w:hint="default" w:ascii="仿宋" w:hAnsi="仿宋" w:eastAsia="仿宋" w:cs="仿宋"/>
          <w:kern w:val="2"/>
          <w:sz w:val="28"/>
          <w:szCs w:val="28"/>
          <w:lang w:bidi="ar"/>
        </w:rPr>
        <w:t>合规参与地方</w:t>
      </w:r>
      <w:r>
        <w:rPr>
          <w:rFonts w:ascii="仿宋" w:hAnsi="仿宋" w:eastAsia="仿宋" w:cs="仿宋"/>
          <w:kern w:val="2"/>
          <w:sz w:val="28"/>
          <w:szCs w:val="28"/>
          <w:lang w:bidi="ar"/>
        </w:rPr>
        <w:t>基建项目、防范投资风险。现将有关事宜通知如下：</w:t>
      </w:r>
    </w:p>
    <w:p>
      <w:pPr>
        <w:numPr>
          <w:ilvl w:val="0"/>
          <w:numId w:val="1"/>
        </w:numPr>
        <w:spacing w:line="360" w:lineRule="exact"/>
        <w:ind w:firstLine="560" w:firstLineChars="200"/>
        <w:rPr>
          <w:rFonts w:hint="default" w:ascii="黑体" w:hAnsi="黑体" w:eastAsia="黑体" w:cs="黑体"/>
          <w:bCs/>
          <w:kern w:val="2"/>
          <w:sz w:val="28"/>
          <w:szCs w:val="28"/>
        </w:rPr>
      </w:pPr>
      <w:r>
        <w:rPr>
          <w:rFonts w:ascii="黑体" w:hAnsi="黑体" w:eastAsia="黑体" w:cs="黑体"/>
          <w:bCs/>
          <w:kern w:val="2"/>
          <w:sz w:val="28"/>
          <w:szCs w:val="28"/>
        </w:rPr>
        <w:t>组织机构</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主办单位：中国投资协会项目投融资专业委员会</w:t>
      </w:r>
    </w:p>
    <w:p>
      <w:pPr>
        <w:spacing w:line="360" w:lineRule="exact"/>
        <w:ind w:firstLine="560" w:firstLineChars="200"/>
        <w:rPr>
          <w:rFonts w:hint="default" w:ascii="仿宋" w:hAnsi="仿宋" w:eastAsia="仿宋" w:cs="仿宋"/>
          <w:kern w:val="2"/>
          <w:sz w:val="28"/>
          <w:szCs w:val="28"/>
          <w:lang w:bidi="ar"/>
        </w:rPr>
      </w:pPr>
      <w:r>
        <w:rPr>
          <w:rFonts w:ascii="仿宋" w:hAnsi="仿宋" w:eastAsia="仿宋" w:cs="仿宋"/>
          <w:kern w:val="2"/>
          <w:sz w:val="28"/>
          <w:szCs w:val="28"/>
        </w:rPr>
        <w:t>承办单位：</w:t>
      </w:r>
      <w:r>
        <w:rPr>
          <w:rFonts w:ascii="仿宋" w:hAnsi="仿宋" w:eastAsia="仿宋" w:cstheme="minorBidi"/>
          <w:kern w:val="2"/>
          <w:sz w:val="28"/>
          <w:szCs w:val="28"/>
        </w:rPr>
        <w:t>北京中科鼎创管理咨询有限公司</w:t>
      </w:r>
    </w:p>
    <w:p>
      <w:pPr>
        <w:autoSpaceDE/>
        <w:autoSpaceDN/>
        <w:adjustRightInd/>
        <w:spacing w:line="360" w:lineRule="exact"/>
        <w:ind w:firstLine="560" w:firstLineChars="200"/>
        <w:jc w:val="both"/>
        <w:rPr>
          <w:rFonts w:hint="default" w:ascii="黑体" w:hAnsi="黑体" w:eastAsia="黑体" w:cs="黑体"/>
          <w:kern w:val="2"/>
          <w:sz w:val="28"/>
          <w:szCs w:val="28"/>
        </w:rPr>
      </w:pPr>
      <w:r>
        <w:rPr>
          <w:rFonts w:ascii="黑体" w:hAnsi="黑体" w:eastAsia="黑体" w:cs="黑体"/>
          <w:kern w:val="2"/>
          <w:sz w:val="28"/>
          <w:szCs w:val="28"/>
        </w:rPr>
        <w:t>二、培训内容</w:t>
      </w:r>
      <w:r>
        <w:rPr>
          <w:rFonts w:ascii="楷体" w:hAnsi="楷体" w:eastAsia="楷体" w:cs="楷体"/>
          <w:bCs/>
          <w:kern w:val="2"/>
          <w:sz w:val="28"/>
          <w:szCs w:val="28"/>
        </w:rPr>
        <w:t>（详细内容见附件）</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1.当前我国地方政府投资建设类项目的形势分析</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2.地方政府投融资模式的重构</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3.</w:t>
      </w:r>
      <w:r>
        <w:rPr>
          <w:rFonts w:hint="default" w:ascii="仿宋" w:hAnsi="仿宋" w:eastAsia="仿宋" w:cs="仿宋"/>
          <w:kern w:val="2"/>
          <w:sz w:val="28"/>
          <w:szCs w:val="28"/>
        </w:rPr>
        <w:t>新形势下投资人、施工企业、金融机构（以下简称：社会资本方）参与政府公益性项目的模式</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4.城市运营领域的合作模式</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5.社会投资人在平台公司作为社会资本方的形势下参与</w:t>
      </w:r>
      <w:r>
        <w:rPr>
          <w:rFonts w:hint="default" w:ascii="仿宋" w:hAnsi="仿宋" w:eastAsia="仿宋" w:cs="仿宋"/>
          <w:kern w:val="2"/>
          <w:sz w:val="28"/>
          <w:szCs w:val="28"/>
        </w:rPr>
        <w:t>PPP的模式</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6.社会资本方参与片区综合开发中的机遇</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7.社会资本方参与平台公司转型后的特殊业务</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8.社会资本方如何合规开展“融资代建”模式</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9.社会资本方在新规下的资本金解决路径</w:t>
      </w:r>
    </w:p>
    <w:p>
      <w:pPr>
        <w:autoSpaceDE/>
        <w:autoSpaceDN/>
        <w:adjustRightInd/>
        <w:spacing w:line="3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10.社会资本方运用产业基金参与地方政府基建项目</w:t>
      </w:r>
    </w:p>
    <w:p>
      <w:pPr>
        <w:autoSpaceDE/>
        <w:autoSpaceDN/>
        <w:adjustRightInd/>
        <w:spacing w:line="360" w:lineRule="exact"/>
        <w:ind w:firstLine="560" w:firstLineChars="200"/>
        <w:jc w:val="both"/>
        <w:rPr>
          <w:rFonts w:hint="default" w:ascii="黑体" w:hAnsi="黑体" w:eastAsia="黑体" w:cs="黑体"/>
          <w:kern w:val="2"/>
          <w:sz w:val="28"/>
          <w:szCs w:val="28"/>
        </w:rPr>
      </w:pPr>
      <w:r>
        <w:rPr>
          <w:rFonts w:ascii="黑体" w:hAnsi="黑体" w:eastAsia="黑体" w:cs="黑体"/>
          <w:kern w:val="2"/>
          <w:sz w:val="28"/>
          <w:szCs w:val="28"/>
        </w:rPr>
        <w:t>三、培训范围</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1.各地方政府发改、财政、住建、交通、环保、农业等部门相关负责人；</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w:t>
      </w:r>
      <w:r>
        <w:rPr>
          <w:rFonts w:ascii="仿宋" w:hAnsi="仿宋" w:eastAsia="仿宋" w:cs="仿宋"/>
          <w:bCs/>
          <w:kern w:val="2"/>
          <w:sz w:val="28"/>
          <w:szCs w:val="28"/>
        </w:rPr>
        <w:t xml:space="preserve">  2.各地方投资咨询机构、城投转型机构、资产管理机构、国有资本运营机构等相关负责人。</w:t>
      </w:r>
    </w:p>
    <w:p>
      <w:pPr>
        <w:autoSpaceDE/>
        <w:autoSpaceDN/>
        <w:adjustRightInd/>
        <w:spacing w:line="360" w:lineRule="exact"/>
        <w:ind w:firstLine="560" w:firstLineChars="200"/>
        <w:jc w:val="both"/>
        <w:rPr>
          <w:rFonts w:hint="default" w:ascii="黑体" w:hAnsi="黑体" w:eastAsia="黑体" w:cs="黑体"/>
          <w:kern w:val="2"/>
          <w:sz w:val="28"/>
          <w:szCs w:val="28"/>
        </w:rPr>
      </w:pPr>
      <w:r>
        <w:rPr>
          <w:rFonts w:ascii="黑体" w:hAnsi="黑体" w:eastAsia="黑体" w:cs="黑体"/>
          <w:kern w:val="2"/>
          <w:sz w:val="28"/>
          <w:szCs w:val="28"/>
        </w:rPr>
        <w:t xml:space="preserve">四、授课专家                </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拟邀请国务院国资委相关部门、中国人事科学研究院、中国财政科学研究院等单位的领导专家授课, 并组织交流与研讨。</w:t>
      </w:r>
    </w:p>
    <w:p>
      <w:pPr>
        <w:autoSpaceDE/>
        <w:autoSpaceDN/>
        <w:adjustRightInd/>
        <w:spacing w:line="360" w:lineRule="exact"/>
        <w:ind w:firstLine="560" w:firstLineChars="200"/>
        <w:jc w:val="both"/>
        <w:rPr>
          <w:rFonts w:hint="default" w:ascii="黑体" w:hAnsi="黑体" w:eastAsia="黑体" w:cs="黑体"/>
          <w:kern w:val="2"/>
          <w:sz w:val="28"/>
          <w:szCs w:val="28"/>
        </w:rPr>
      </w:pPr>
      <w:r>
        <w:rPr>
          <w:rFonts w:ascii="黑体" w:hAnsi="黑体" w:eastAsia="黑体" w:cs="黑体"/>
          <w:kern w:val="2"/>
          <w:sz w:val="28"/>
          <w:szCs w:val="28"/>
        </w:rPr>
        <w:t>五、时间地点</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 xml:space="preserve">第一期 </w:t>
      </w:r>
      <w:r>
        <w:rPr>
          <w:rFonts w:hint="default" w:ascii="仿宋" w:hAnsi="仿宋" w:eastAsia="仿宋" w:cs="仿宋"/>
          <w:bCs/>
          <w:kern w:val="2"/>
          <w:sz w:val="28"/>
          <w:szCs w:val="28"/>
        </w:rPr>
        <w:t>2019年10月25日—10月29日（25日报到</w:t>
      </w:r>
      <w:r>
        <w:rPr>
          <w:rFonts w:ascii="仿宋" w:hAnsi="仿宋" w:eastAsia="仿宋" w:cs="仿宋"/>
          <w:bCs/>
          <w:kern w:val="2"/>
          <w:sz w:val="28"/>
          <w:szCs w:val="28"/>
        </w:rPr>
        <w:t>，29日返程</w:t>
      </w:r>
      <w:r>
        <w:rPr>
          <w:rFonts w:hint="default" w:ascii="仿宋" w:hAnsi="仿宋" w:eastAsia="仿宋" w:cs="仿宋"/>
          <w:bCs/>
          <w:kern w:val="2"/>
          <w:sz w:val="28"/>
          <w:szCs w:val="28"/>
        </w:rPr>
        <w:t>）</w:t>
      </w:r>
      <w:r>
        <w:rPr>
          <w:rFonts w:ascii="仿宋" w:hAnsi="仿宋" w:eastAsia="仿宋" w:cs="仿宋"/>
          <w:bCs/>
          <w:kern w:val="2"/>
          <w:sz w:val="28"/>
          <w:szCs w:val="28"/>
        </w:rPr>
        <w:t>南京市</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 xml:space="preserve">第二期 </w:t>
      </w:r>
      <w:r>
        <w:rPr>
          <w:rFonts w:hint="default" w:ascii="仿宋" w:hAnsi="仿宋" w:eastAsia="仿宋" w:cs="仿宋"/>
          <w:bCs/>
          <w:kern w:val="2"/>
          <w:sz w:val="28"/>
          <w:szCs w:val="28"/>
        </w:rPr>
        <w:t>2019年11月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8</w:t>
      </w:r>
      <w:r>
        <w:rPr>
          <w:rFonts w:hint="default" w:ascii="仿宋" w:hAnsi="仿宋" w:eastAsia="仿宋" w:cs="仿宋"/>
          <w:bCs/>
          <w:kern w:val="2"/>
          <w:sz w:val="28"/>
          <w:szCs w:val="28"/>
        </w:rPr>
        <w:t>日—11月</w:t>
      </w:r>
      <w:r>
        <w:rPr>
          <w:rFonts w:ascii="仿宋" w:hAnsi="仿宋" w:eastAsia="仿宋" w:cs="仿宋"/>
          <w:bCs/>
          <w:kern w:val="2"/>
          <w:sz w:val="28"/>
          <w:szCs w:val="28"/>
        </w:rPr>
        <w:t>12</w:t>
      </w:r>
      <w:r>
        <w:rPr>
          <w:rFonts w:hint="default" w:ascii="仿宋" w:hAnsi="仿宋" w:eastAsia="仿宋" w:cs="仿宋"/>
          <w:bCs/>
          <w:kern w:val="2"/>
          <w:sz w:val="28"/>
          <w:szCs w:val="28"/>
        </w:rPr>
        <w:t>日（</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8</w:t>
      </w:r>
      <w:r>
        <w:rPr>
          <w:rFonts w:hint="default" w:ascii="仿宋" w:hAnsi="仿宋" w:eastAsia="仿宋" w:cs="仿宋"/>
          <w:bCs/>
          <w:kern w:val="2"/>
          <w:sz w:val="28"/>
          <w:szCs w:val="28"/>
        </w:rPr>
        <w:t>日报到</w:t>
      </w:r>
      <w:r>
        <w:rPr>
          <w:rFonts w:ascii="仿宋" w:hAnsi="仿宋" w:eastAsia="仿宋" w:cs="仿宋"/>
          <w:bCs/>
          <w:kern w:val="2"/>
          <w:sz w:val="28"/>
          <w:szCs w:val="28"/>
        </w:rPr>
        <w:t>，12日返程</w:t>
      </w:r>
      <w:r>
        <w:rPr>
          <w:rFonts w:hint="default" w:ascii="仿宋" w:hAnsi="仿宋" w:eastAsia="仿宋" w:cs="仿宋"/>
          <w:bCs/>
          <w:kern w:val="2"/>
          <w:sz w:val="28"/>
          <w:szCs w:val="28"/>
        </w:rPr>
        <w:t>）南宁市</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 xml:space="preserve">第三期 </w:t>
      </w:r>
      <w:r>
        <w:rPr>
          <w:rFonts w:hint="default" w:ascii="仿宋" w:hAnsi="仿宋" w:eastAsia="仿宋" w:cs="仿宋"/>
          <w:bCs/>
          <w:kern w:val="2"/>
          <w:sz w:val="28"/>
          <w:szCs w:val="28"/>
        </w:rPr>
        <w:t>2019年11月21日—11月25日（21日报到</w:t>
      </w:r>
      <w:r>
        <w:rPr>
          <w:rFonts w:ascii="仿宋" w:hAnsi="仿宋" w:eastAsia="仿宋" w:cs="仿宋"/>
          <w:bCs/>
          <w:kern w:val="2"/>
          <w:sz w:val="28"/>
          <w:szCs w:val="28"/>
        </w:rPr>
        <w:t>，25日返程</w:t>
      </w:r>
      <w:r>
        <w:rPr>
          <w:rFonts w:hint="default" w:ascii="仿宋" w:hAnsi="仿宋" w:eastAsia="仿宋" w:cs="仿宋"/>
          <w:bCs/>
          <w:kern w:val="2"/>
          <w:sz w:val="28"/>
          <w:szCs w:val="28"/>
        </w:rPr>
        <w:t>）厦门市</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 xml:space="preserve">第四期 </w:t>
      </w:r>
      <w:r>
        <w:rPr>
          <w:rFonts w:hint="default" w:ascii="仿宋" w:hAnsi="仿宋" w:eastAsia="仿宋" w:cs="仿宋"/>
          <w:bCs/>
          <w:kern w:val="2"/>
          <w:sz w:val="28"/>
          <w:szCs w:val="28"/>
        </w:rPr>
        <w:t>2019年1</w:t>
      </w:r>
      <w:r>
        <w:rPr>
          <w:rFonts w:ascii="仿宋" w:hAnsi="仿宋" w:eastAsia="仿宋" w:cs="仿宋"/>
          <w:bCs/>
          <w:kern w:val="2"/>
          <w:sz w:val="28"/>
          <w:szCs w:val="28"/>
        </w:rPr>
        <w:t>2</w:t>
      </w:r>
      <w:r>
        <w:rPr>
          <w:rFonts w:hint="default"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w:t>
      </w:r>
      <w:r>
        <w:rPr>
          <w:rFonts w:hint="default" w:ascii="仿宋" w:hAnsi="仿宋" w:eastAsia="仿宋" w:cs="仿宋"/>
          <w:bCs/>
          <w:kern w:val="2"/>
          <w:sz w:val="28"/>
          <w:szCs w:val="28"/>
        </w:rPr>
        <w:t>日—1</w:t>
      </w:r>
      <w:r>
        <w:rPr>
          <w:rFonts w:ascii="仿宋" w:hAnsi="仿宋" w:eastAsia="仿宋" w:cs="仿宋"/>
          <w:bCs/>
          <w:kern w:val="2"/>
          <w:sz w:val="28"/>
          <w:szCs w:val="28"/>
        </w:rPr>
        <w:t>2</w:t>
      </w:r>
      <w:r>
        <w:rPr>
          <w:rFonts w:hint="default" w:ascii="仿宋" w:hAnsi="仿宋" w:eastAsia="仿宋" w:cs="仿宋"/>
          <w:bCs/>
          <w:kern w:val="2"/>
          <w:sz w:val="28"/>
          <w:szCs w:val="28"/>
        </w:rPr>
        <w:t>月</w:t>
      </w:r>
      <w:r>
        <w:rPr>
          <w:rFonts w:ascii="仿宋" w:hAnsi="仿宋" w:eastAsia="仿宋" w:cs="仿宋"/>
          <w:bCs/>
          <w:kern w:val="2"/>
          <w:sz w:val="28"/>
          <w:szCs w:val="28"/>
        </w:rPr>
        <w:t>10</w:t>
      </w:r>
      <w:r>
        <w:rPr>
          <w:rFonts w:hint="default" w:ascii="仿宋" w:hAnsi="仿宋" w:eastAsia="仿宋" w:cs="仿宋"/>
          <w:bCs/>
          <w:kern w:val="2"/>
          <w:sz w:val="28"/>
          <w:szCs w:val="28"/>
        </w:rPr>
        <w:t>日（</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w:t>
      </w:r>
      <w:r>
        <w:rPr>
          <w:rFonts w:hint="default" w:ascii="仿宋" w:hAnsi="仿宋" w:eastAsia="仿宋" w:cs="仿宋"/>
          <w:bCs/>
          <w:kern w:val="2"/>
          <w:sz w:val="28"/>
          <w:szCs w:val="28"/>
        </w:rPr>
        <w:t>日报到</w:t>
      </w:r>
      <w:r>
        <w:rPr>
          <w:rFonts w:ascii="仿宋" w:hAnsi="仿宋" w:eastAsia="仿宋" w:cs="仿宋"/>
          <w:bCs/>
          <w:kern w:val="2"/>
          <w:sz w:val="28"/>
          <w:szCs w:val="28"/>
        </w:rPr>
        <w:t>，10日返程</w:t>
      </w:r>
      <w:r>
        <w:rPr>
          <w:rFonts w:hint="default" w:ascii="仿宋" w:hAnsi="仿宋" w:eastAsia="仿宋" w:cs="仿宋"/>
          <w:bCs/>
          <w:kern w:val="2"/>
          <w:sz w:val="28"/>
          <w:szCs w:val="28"/>
        </w:rPr>
        <w:t>）</w:t>
      </w:r>
      <w:r>
        <w:rPr>
          <w:rFonts w:ascii="仿宋" w:hAnsi="仿宋" w:eastAsia="仿宋" w:cs="仿宋"/>
          <w:bCs/>
          <w:kern w:val="2"/>
          <w:sz w:val="28"/>
          <w:szCs w:val="28"/>
        </w:rPr>
        <w:t>深圳市</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 xml:space="preserve">第五期 </w:t>
      </w:r>
      <w:r>
        <w:rPr>
          <w:rFonts w:hint="default" w:ascii="仿宋" w:hAnsi="仿宋" w:eastAsia="仿宋" w:cs="仿宋"/>
          <w:bCs/>
          <w:kern w:val="2"/>
          <w:sz w:val="28"/>
          <w:szCs w:val="28"/>
        </w:rPr>
        <w:t>2019年12月19日—12月23日（</w:t>
      </w:r>
      <w:r>
        <w:rPr>
          <w:rFonts w:ascii="仿宋" w:hAnsi="仿宋" w:eastAsia="仿宋" w:cs="仿宋"/>
          <w:bCs/>
          <w:kern w:val="2"/>
          <w:sz w:val="28"/>
          <w:szCs w:val="28"/>
        </w:rPr>
        <w:t>19</w:t>
      </w:r>
      <w:r>
        <w:rPr>
          <w:rFonts w:hint="default" w:ascii="仿宋" w:hAnsi="仿宋" w:eastAsia="仿宋" w:cs="仿宋"/>
          <w:bCs/>
          <w:kern w:val="2"/>
          <w:sz w:val="28"/>
          <w:szCs w:val="28"/>
        </w:rPr>
        <w:t>日报到</w:t>
      </w:r>
      <w:r>
        <w:rPr>
          <w:rFonts w:ascii="仿宋" w:hAnsi="仿宋" w:eastAsia="仿宋" w:cs="仿宋"/>
          <w:bCs/>
          <w:kern w:val="2"/>
          <w:sz w:val="28"/>
          <w:szCs w:val="28"/>
        </w:rPr>
        <w:t>，23日返程</w:t>
      </w:r>
      <w:r>
        <w:rPr>
          <w:rFonts w:hint="default" w:ascii="仿宋" w:hAnsi="仿宋" w:eastAsia="仿宋" w:cs="仿宋"/>
          <w:bCs/>
          <w:kern w:val="2"/>
          <w:sz w:val="28"/>
          <w:szCs w:val="28"/>
        </w:rPr>
        <w:t>）杭州市</w:t>
      </w:r>
    </w:p>
    <w:p>
      <w:pPr>
        <w:autoSpaceDE/>
        <w:autoSpaceDN/>
        <w:adjustRightInd/>
        <w:spacing w:line="360" w:lineRule="exact"/>
        <w:ind w:firstLine="420" w:firstLineChars="150"/>
        <w:jc w:val="both"/>
        <w:rPr>
          <w:rFonts w:hint="default" w:ascii="仿宋" w:hAnsi="仿宋" w:eastAsia="仿宋" w:cs="Helvetica"/>
          <w:color w:val="000000"/>
          <w:sz w:val="28"/>
          <w:szCs w:val="28"/>
        </w:rPr>
      </w:pPr>
      <w:r>
        <w:rPr>
          <w:rFonts w:ascii="仿宋" w:hAnsi="仿宋" w:eastAsia="仿宋" w:cs="仿宋"/>
          <w:bCs/>
          <w:kern w:val="2"/>
          <w:sz w:val="28"/>
          <w:szCs w:val="28"/>
        </w:rPr>
        <w:t xml:space="preserve">第六期 </w:t>
      </w:r>
      <w:r>
        <w:rPr>
          <w:rFonts w:hint="default"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hint="default" w:ascii="仿宋" w:hAnsi="仿宋" w:eastAsia="仿宋" w:cs="仿宋"/>
          <w:bCs/>
          <w:kern w:val="2"/>
          <w:sz w:val="28"/>
          <w:szCs w:val="28"/>
        </w:rPr>
        <w:t>1月07日—</w:t>
      </w:r>
      <w:r>
        <w:rPr>
          <w:rFonts w:hint="eastAsia" w:ascii="仿宋" w:hAnsi="仿宋" w:eastAsia="仿宋" w:cs="仿宋"/>
          <w:bCs/>
          <w:kern w:val="2"/>
          <w:sz w:val="28"/>
          <w:szCs w:val="28"/>
          <w:lang w:val="en-US" w:eastAsia="zh-CN"/>
        </w:rPr>
        <w:t>0</w:t>
      </w:r>
      <w:r>
        <w:rPr>
          <w:rFonts w:hint="default" w:ascii="仿宋" w:hAnsi="仿宋" w:eastAsia="仿宋" w:cs="仿宋"/>
          <w:bCs/>
          <w:kern w:val="2"/>
          <w:sz w:val="28"/>
          <w:szCs w:val="28"/>
        </w:rPr>
        <w:t>1月12日（</w:t>
      </w:r>
      <w:r>
        <w:rPr>
          <w:rFonts w:hint="eastAsia" w:ascii="仿宋" w:hAnsi="仿宋" w:eastAsia="仿宋" w:cs="仿宋"/>
          <w:bCs/>
          <w:kern w:val="2"/>
          <w:sz w:val="28"/>
          <w:szCs w:val="28"/>
          <w:lang w:val="en-US" w:eastAsia="zh-CN"/>
        </w:rPr>
        <w:t>0</w:t>
      </w:r>
      <w:r>
        <w:rPr>
          <w:rFonts w:hint="default" w:ascii="仿宋" w:hAnsi="仿宋" w:eastAsia="仿宋" w:cs="仿宋"/>
          <w:bCs/>
          <w:kern w:val="2"/>
          <w:sz w:val="28"/>
          <w:szCs w:val="28"/>
        </w:rPr>
        <w:t>7日报到</w:t>
      </w:r>
      <w:r>
        <w:rPr>
          <w:rFonts w:ascii="仿宋" w:hAnsi="仿宋" w:eastAsia="仿宋" w:cs="仿宋"/>
          <w:bCs/>
          <w:kern w:val="2"/>
          <w:sz w:val="28"/>
          <w:szCs w:val="28"/>
        </w:rPr>
        <w:t>，12日返程</w:t>
      </w:r>
      <w:r>
        <w:rPr>
          <w:rFonts w:hint="default" w:ascii="仿宋" w:hAnsi="仿宋" w:eastAsia="仿宋" w:cs="仿宋"/>
          <w:bCs/>
          <w:kern w:val="2"/>
          <w:sz w:val="28"/>
          <w:szCs w:val="28"/>
        </w:rPr>
        <w:t>）海口市</w:t>
      </w:r>
    </w:p>
    <w:p>
      <w:pPr>
        <w:tabs>
          <w:tab w:val="left" w:pos="567"/>
          <w:tab w:val="left" w:pos="709"/>
        </w:tabs>
        <w:autoSpaceDE/>
        <w:autoSpaceDN/>
        <w:adjustRightInd/>
        <w:spacing w:line="360" w:lineRule="exact"/>
        <w:ind w:firstLine="560" w:firstLineChars="200"/>
        <w:textAlignment w:val="baseline"/>
        <w:outlineLvl w:val="0"/>
        <w:rPr>
          <w:rFonts w:hint="default" w:ascii="黑体" w:hAnsi="黑体" w:eastAsia="黑体" w:cs="黑体"/>
          <w:bCs/>
          <w:color w:val="000000"/>
          <w:sz w:val="28"/>
          <w:szCs w:val="28"/>
        </w:rPr>
      </w:pPr>
      <w:r>
        <w:rPr>
          <w:rFonts w:ascii="黑体" w:hAnsi="黑体" w:eastAsia="黑体" w:cs="黑体"/>
          <w:bCs/>
          <w:color w:val="000000"/>
          <w:sz w:val="28"/>
          <w:szCs w:val="28"/>
        </w:rPr>
        <w:t>六、相关事宜</w:t>
      </w:r>
    </w:p>
    <w:p>
      <w:pPr>
        <w:pStyle w:val="15"/>
        <w:autoSpaceDE/>
        <w:autoSpaceDN/>
        <w:spacing w:line="360" w:lineRule="exact"/>
        <w:ind w:firstLine="560"/>
        <w:outlineLvl w:val="0"/>
        <w:rPr>
          <w:rFonts w:hint="default" w:ascii="楷体" w:hAnsi="楷体" w:eastAsia="楷体" w:cs="楷体"/>
          <w:bCs/>
          <w:color w:val="000000"/>
          <w:kern w:val="2"/>
          <w:sz w:val="28"/>
          <w:szCs w:val="28"/>
        </w:rPr>
      </w:pPr>
      <w:r>
        <w:rPr>
          <w:rFonts w:ascii="楷体" w:hAnsi="楷体" w:eastAsia="楷体" w:cs="楷体"/>
          <w:bCs/>
          <w:color w:val="000000"/>
          <w:kern w:val="2"/>
          <w:sz w:val="28"/>
          <w:szCs w:val="28"/>
        </w:rPr>
        <w:t>（一）培训费用</w:t>
      </w:r>
    </w:p>
    <w:p>
      <w:pPr>
        <w:pStyle w:val="15"/>
        <w:autoSpaceDE/>
        <w:autoSpaceDN/>
        <w:spacing w:line="360" w:lineRule="exact"/>
        <w:ind w:firstLine="560"/>
        <w:outlineLvl w:val="0"/>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A.2800元/人（含培训、资料、电子课件、场地），食宿统一安排，费用自理。</w:t>
      </w:r>
    </w:p>
    <w:p>
      <w:pPr>
        <w:pStyle w:val="15"/>
        <w:autoSpaceDE/>
        <w:autoSpaceDN/>
        <w:spacing w:line="360" w:lineRule="exact"/>
        <w:ind w:firstLine="560"/>
        <w:outlineLvl w:val="0"/>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B.4980元/人（含培训、资料、电子课件、场地、食宿），住宿为双人标间，如单人入住补交差价。</w:t>
      </w:r>
    </w:p>
    <w:p>
      <w:pPr>
        <w:pStyle w:val="15"/>
        <w:autoSpaceDE/>
        <w:autoSpaceDN/>
        <w:spacing w:line="360" w:lineRule="exact"/>
        <w:ind w:firstLine="560"/>
        <w:outlineLvl w:val="0"/>
        <w:rPr>
          <w:rFonts w:hint="default" w:ascii="楷体" w:hAnsi="楷体" w:eastAsia="楷体" w:cs="楷体"/>
          <w:bCs/>
          <w:color w:val="000000"/>
          <w:kern w:val="2"/>
          <w:sz w:val="28"/>
          <w:szCs w:val="28"/>
        </w:rPr>
      </w:pPr>
      <w:r>
        <w:rPr>
          <w:rFonts w:ascii="楷体" w:hAnsi="楷体" w:eastAsia="楷体" w:cs="楷体"/>
          <w:bCs/>
          <w:color w:val="000000"/>
          <w:kern w:val="2"/>
          <w:sz w:val="28"/>
          <w:szCs w:val="28"/>
        </w:rPr>
        <w:t>（二）联系方式</w:t>
      </w:r>
    </w:p>
    <w:p>
      <w:pPr>
        <w:pStyle w:val="15"/>
        <w:autoSpaceDE/>
        <w:autoSpaceDN/>
        <w:spacing w:line="360" w:lineRule="exact"/>
        <w:ind w:left="0" w:leftChars="0" w:firstLine="281" w:firstLineChars="100"/>
        <w:outlineLvl w:val="0"/>
        <w:rPr>
          <w:rFonts w:hint="eastAsia" w:ascii="仿宋_GB2312" w:hAnsi="仿宋_GB2312" w:eastAsia="仿宋_GB2312" w:cs="仿宋_GB2312"/>
          <w:b/>
          <w:bCs w:val="0"/>
          <w:color w:val="000000"/>
          <w:kern w:val="2"/>
          <w:sz w:val="28"/>
          <w:szCs w:val="28"/>
        </w:rPr>
      </w:pPr>
      <w:r>
        <w:rPr>
          <w:rFonts w:hint="eastAsia" w:ascii="仿宋_GB2312" w:hAnsi="仿宋_GB2312" w:eastAsia="仿宋_GB2312" w:cs="仿宋_GB2312"/>
          <w:b/>
          <w:bCs w:val="0"/>
          <w:color w:val="000000"/>
          <w:kern w:val="2"/>
          <w:sz w:val="28"/>
          <w:szCs w:val="28"/>
        </w:rPr>
        <w:t>报名联系人：聂红军 主任 18211071700（微信）     邮  箱：zqgphwz@126.com</w:t>
      </w:r>
    </w:p>
    <w:p>
      <w:pPr>
        <w:pStyle w:val="15"/>
        <w:autoSpaceDE/>
        <w:autoSpaceDN/>
        <w:spacing w:line="360" w:lineRule="exact"/>
        <w:ind w:left="0" w:leftChars="0" w:firstLine="281" w:firstLineChars="100"/>
        <w:outlineLvl w:val="0"/>
        <w:rPr>
          <w:rFonts w:hint="eastAsia" w:ascii="仿宋_GB2312" w:hAnsi="仿宋_GB2312" w:eastAsia="仿宋_GB2312" w:cs="仿宋_GB2312"/>
          <w:b/>
          <w:bCs w:val="0"/>
          <w:color w:val="000000"/>
          <w:kern w:val="2"/>
          <w:sz w:val="28"/>
          <w:szCs w:val="28"/>
        </w:rPr>
      </w:pPr>
      <w:r>
        <w:rPr>
          <w:rFonts w:hint="eastAsia" w:ascii="仿宋_GB2312" w:hAnsi="仿宋_GB2312" w:eastAsia="仿宋_GB2312" w:cs="仿宋_GB2312"/>
          <w:b/>
          <w:bCs w:val="0"/>
          <w:color w:val="000000"/>
          <w:kern w:val="2"/>
          <w:sz w:val="28"/>
          <w:szCs w:val="28"/>
        </w:rPr>
        <w:t xml:space="preserve">电话（传真）：010-87697580                   qq咨询：3177524020   </w:t>
      </w:r>
    </w:p>
    <w:p>
      <w:pPr>
        <w:pStyle w:val="15"/>
        <w:autoSpaceDE/>
        <w:autoSpaceDN/>
        <w:spacing w:line="360" w:lineRule="exact"/>
        <w:ind w:left="0" w:leftChars="0" w:firstLine="281" w:firstLineChars="100"/>
        <w:outlineLvl w:val="0"/>
        <w:rPr>
          <w:rFonts w:hint="default" w:ascii="仿宋_GB2312" w:hAnsi="仿宋_GB2312" w:eastAsia="仿宋_GB2312" w:cs="仿宋_GB2312"/>
          <w:bCs/>
          <w:color w:val="000000"/>
          <w:kern w:val="2"/>
          <w:sz w:val="28"/>
          <w:szCs w:val="28"/>
        </w:rPr>
      </w:pPr>
      <w:r>
        <w:rPr>
          <w:rFonts w:hint="eastAsia" w:ascii="仿宋_GB2312" w:hAnsi="仿宋_GB2312" w:eastAsia="仿宋_GB2312" w:cs="仿宋_GB2312"/>
          <w:b/>
          <w:bCs w:val="0"/>
          <w:color w:val="000000"/>
          <w:kern w:val="2"/>
          <w:sz w:val="28"/>
          <w:szCs w:val="28"/>
        </w:rPr>
        <w:t>网址查询：http://www.zqgpchina.cn/</w:t>
      </w:r>
      <w:r>
        <w:rPr>
          <w:rFonts w:hint="eastAsia" w:ascii="仿宋_GB2312" w:hAnsi="仿宋_GB2312" w:eastAsia="仿宋_GB2312" w:cs="仿宋_GB2312"/>
          <w:bCs/>
          <w:color w:val="000000"/>
          <w:kern w:val="2"/>
          <w:sz w:val="28"/>
          <w:szCs w:val="28"/>
        </w:rPr>
        <w:t xml:space="preserve">    </w:t>
      </w:r>
    </w:p>
    <w:p>
      <w:pPr>
        <w:widowControl/>
        <w:autoSpaceDE/>
        <w:autoSpaceDN/>
        <w:spacing w:line="360" w:lineRule="exact"/>
        <w:ind w:firstLine="560" w:firstLineChars="200"/>
        <w:jc w:val="both"/>
        <w:rPr>
          <w:rFonts w:hint="default" w:ascii="黑体" w:hAnsi="黑体" w:eastAsia="黑体" w:cs="黑体"/>
          <w:bCs/>
          <w:color w:val="000000"/>
          <w:kern w:val="2"/>
          <w:sz w:val="28"/>
          <w:szCs w:val="28"/>
        </w:rPr>
      </w:pPr>
      <w:r>
        <w:rPr>
          <w:rFonts w:ascii="黑体" w:hAnsi="黑体" w:eastAsia="黑体" w:cs="黑体"/>
          <w:bCs/>
          <w:color w:val="000000"/>
          <w:kern w:val="2"/>
          <w:sz w:val="28"/>
          <w:szCs w:val="28"/>
        </w:rPr>
        <w:t>附件：</w:t>
      </w:r>
    </w:p>
    <w:p>
      <w:pPr>
        <w:widowControl/>
        <w:autoSpaceDE/>
        <w:autoSpaceDN/>
        <w:spacing w:line="360" w:lineRule="exact"/>
        <w:ind w:firstLine="560" w:firstLineChars="200"/>
        <w:jc w:val="both"/>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1.培训内容</w:t>
      </w:r>
    </w:p>
    <w:p>
      <w:pPr>
        <w:widowControl/>
        <w:autoSpaceDE/>
        <w:autoSpaceDN/>
        <w:spacing w:line="360" w:lineRule="exact"/>
        <w:ind w:firstLine="560" w:firstLineChars="200"/>
        <w:jc w:val="both"/>
        <w:rPr>
          <w:rFonts w:hint="default" w:ascii="仿宋_GB2312" w:hAnsi="仿宋_GB2312" w:eastAsia="仿宋_GB2312" w:cs="仿宋_GB2312"/>
          <w:bCs/>
          <w:color w:val="000000"/>
          <w:kern w:val="2"/>
          <w:sz w:val="28"/>
          <w:szCs w:val="28"/>
          <w:lang w:val="zh-CN"/>
        </w:rPr>
      </w:pPr>
      <w:r>
        <w:rPr>
          <w:rFonts w:ascii="仿宋_GB2312" w:hAnsi="仿宋_GB2312" w:eastAsia="仿宋_GB2312" w:cs="仿宋_GB2312"/>
          <w:bCs/>
          <w:color w:val="000000"/>
          <w:kern w:val="2"/>
          <w:sz w:val="28"/>
          <w:szCs w:val="28"/>
        </w:rPr>
        <w:t>2.</w:t>
      </w:r>
      <w:r>
        <w:rPr>
          <w:rFonts w:ascii="仿宋" w:hAnsi="仿宋" w:eastAsia="仿宋" w:cs="仿宋"/>
          <w:kern w:val="2"/>
          <w:sz w:val="28"/>
          <w:szCs w:val="28"/>
        </w:rPr>
        <w:t>“加强国企资产负债约束、促进社会资本规范运作培训班”</w:t>
      </w:r>
      <w:r>
        <w:rPr>
          <w:rFonts w:ascii="仿宋_GB2312" w:hAnsi="仿宋_GB2312" w:eastAsia="仿宋_GB2312" w:cs="仿宋_GB2312"/>
          <w:bCs/>
          <w:color w:val="000000"/>
          <w:kern w:val="2"/>
          <w:sz w:val="28"/>
          <w:szCs w:val="28"/>
          <w:lang w:val="zh-CN"/>
        </w:rPr>
        <w:t>报名回执表</w:t>
      </w:r>
    </w:p>
    <w:p>
      <w:pPr>
        <w:widowControl/>
        <w:autoSpaceDE/>
        <w:autoSpaceDN/>
        <w:spacing w:line="360" w:lineRule="exact"/>
        <w:jc w:val="center"/>
        <w:rPr>
          <w:rStyle w:val="9"/>
          <w:rFonts w:hint="default" w:cs="宋体"/>
          <w:color w:val="000000"/>
          <w:sz w:val="28"/>
          <w:szCs w:val="28"/>
          <w:lang w:val="zh-CN"/>
        </w:rPr>
      </w:pPr>
      <w:r>
        <w:rPr>
          <w:rFonts w:ascii="仿宋" w:hAnsi="仿宋" w:eastAsia="仿宋" w:cs="仿宋"/>
          <w:color w:val="000000"/>
          <w:sz w:val="28"/>
          <w:szCs w:val="28"/>
        </w:rPr>
        <w:drawing>
          <wp:anchor distT="0" distB="0" distL="114300" distR="114300" simplePos="0" relativeHeight="251658240" behindDoc="1" locked="0" layoutInCell="1" allowOverlap="1">
            <wp:simplePos x="0" y="0"/>
            <wp:positionH relativeFrom="column">
              <wp:posOffset>-703580</wp:posOffset>
            </wp:positionH>
            <wp:positionV relativeFrom="paragraph">
              <wp:posOffset>15240</wp:posOffset>
            </wp:positionV>
            <wp:extent cx="7581900" cy="1684020"/>
            <wp:effectExtent l="0" t="0" r="0" b="0"/>
            <wp:wrapNone/>
            <wp:docPr id="1" name="图片 1" descr="C:\Users\ADMINI~1\AppData\Local\Temp\WeChat Files\c1f250a3024f6150020bc4fc472a6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c1f250a3024f6150020bc4fc472a69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581900" cy="1684020"/>
                    </a:xfrm>
                    <a:prstGeom prst="rect">
                      <a:avLst/>
                    </a:prstGeom>
                    <a:noFill/>
                    <a:ln>
                      <a:noFill/>
                    </a:ln>
                  </pic:spPr>
                </pic:pic>
              </a:graphicData>
            </a:graphic>
          </wp:anchor>
        </w:drawing>
      </w:r>
    </w:p>
    <w:p>
      <w:pPr>
        <w:widowControl/>
        <w:autoSpaceDE/>
        <w:autoSpaceDN/>
        <w:spacing w:line="360" w:lineRule="exact"/>
        <w:jc w:val="center"/>
        <w:rPr>
          <w:rStyle w:val="9"/>
          <w:rFonts w:hint="default" w:ascii="仿宋" w:hAnsi="仿宋" w:eastAsia="仿宋" w:cs="仿宋"/>
          <w:b w:val="0"/>
          <w:bCs w:val="0"/>
          <w:color w:val="000000"/>
          <w:sz w:val="28"/>
          <w:szCs w:val="28"/>
        </w:rPr>
      </w:pPr>
      <w:r>
        <w:rPr>
          <w:rStyle w:val="9"/>
          <w:rFonts w:cs="宋体"/>
          <w:color w:val="000000"/>
          <w:sz w:val="28"/>
          <w:szCs w:val="28"/>
        </w:rPr>
        <w:t xml:space="preserve">                            </w:t>
      </w:r>
      <w:r>
        <w:rPr>
          <w:rStyle w:val="9"/>
          <w:rFonts w:ascii="仿宋" w:hAnsi="仿宋" w:eastAsia="仿宋" w:cs="仿宋"/>
          <w:b w:val="0"/>
          <w:bCs w:val="0"/>
          <w:color w:val="000000"/>
          <w:sz w:val="28"/>
          <w:szCs w:val="28"/>
        </w:rPr>
        <w:t xml:space="preserve"> </w:t>
      </w:r>
    </w:p>
    <w:p>
      <w:pPr>
        <w:widowControl/>
        <w:autoSpaceDE/>
        <w:autoSpaceDN/>
        <w:spacing w:line="560" w:lineRule="exact"/>
        <w:jc w:val="center"/>
        <w:rPr>
          <w:rStyle w:val="9"/>
          <w:rFonts w:hint="default" w:ascii="仿宋" w:hAnsi="仿宋" w:eastAsia="仿宋" w:cs="仿宋"/>
          <w:b w:val="0"/>
          <w:bCs w:val="0"/>
          <w:color w:val="000000"/>
          <w:sz w:val="28"/>
          <w:szCs w:val="28"/>
        </w:rPr>
      </w:pPr>
    </w:p>
    <w:p>
      <w:pPr>
        <w:widowControl/>
        <w:autoSpaceDE/>
        <w:autoSpaceDN/>
        <w:spacing w:line="560" w:lineRule="exact"/>
        <w:jc w:val="both"/>
        <w:rPr>
          <w:rStyle w:val="9"/>
          <w:rFonts w:hint="default" w:ascii="仿宋" w:hAnsi="仿宋" w:eastAsia="仿宋" w:cs="仿宋"/>
          <w:b w:val="0"/>
          <w:bCs w:val="0"/>
          <w:color w:val="000000"/>
          <w:sz w:val="28"/>
          <w:szCs w:val="28"/>
        </w:rPr>
      </w:pPr>
    </w:p>
    <w:p>
      <w:pPr>
        <w:autoSpaceDE/>
        <w:autoSpaceDN/>
        <w:adjustRightInd/>
        <w:spacing w:line="340" w:lineRule="exact"/>
        <w:jc w:val="both"/>
        <w:rPr>
          <w:rFonts w:ascii="黑体" w:hAnsi="黑体" w:eastAsia="黑体" w:cs="黑体"/>
          <w:kern w:val="2"/>
          <w:sz w:val="28"/>
          <w:szCs w:val="28"/>
        </w:rPr>
      </w:pPr>
    </w:p>
    <w:p>
      <w:pPr>
        <w:autoSpaceDE/>
        <w:autoSpaceDN/>
        <w:adjustRightInd/>
        <w:spacing w:line="340" w:lineRule="exact"/>
        <w:jc w:val="both"/>
        <w:rPr>
          <w:rFonts w:ascii="黑体" w:hAnsi="黑体" w:eastAsia="黑体" w:cs="黑体"/>
          <w:kern w:val="2"/>
          <w:sz w:val="28"/>
          <w:szCs w:val="28"/>
        </w:rPr>
      </w:pPr>
    </w:p>
    <w:p>
      <w:pPr>
        <w:autoSpaceDE/>
        <w:autoSpaceDN/>
        <w:adjustRightInd/>
        <w:spacing w:line="340" w:lineRule="exact"/>
        <w:jc w:val="both"/>
        <w:rPr>
          <w:rFonts w:ascii="黑体" w:hAnsi="黑体" w:eastAsia="黑体" w:cs="黑体"/>
          <w:kern w:val="2"/>
          <w:sz w:val="28"/>
          <w:szCs w:val="28"/>
        </w:rPr>
      </w:pPr>
    </w:p>
    <w:p>
      <w:pPr>
        <w:autoSpaceDE/>
        <w:autoSpaceDN/>
        <w:adjustRightInd/>
        <w:spacing w:line="340" w:lineRule="exact"/>
        <w:jc w:val="both"/>
        <w:rPr>
          <w:rFonts w:hint="default" w:ascii="仿宋" w:hAnsi="仿宋" w:eastAsia="仿宋" w:cs="仿宋"/>
          <w:bCs/>
          <w:kern w:val="2"/>
          <w:sz w:val="28"/>
          <w:szCs w:val="28"/>
        </w:rPr>
      </w:pPr>
      <w:r>
        <w:rPr>
          <w:rFonts w:ascii="黑体" w:hAnsi="黑体" w:eastAsia="黑体" w:cs="黑体"/>
          <w:kern w:val="2"/>
          <w:sz w:val="28"/>
          <w:szCs w:val="28"/>
        </w:rPr>
        <w:t>附件1.培训内容</w:t>
      </w:r>
      <w:r>
        <w:rPr>
          <w:rFonts w:ascii="华文中宋" w:hAnsi="华文中宋" w:eastAsia="华文中宋" w:cs="仿宋"/>
          <w:b/>
          <w:bCs/>
          <w:kern w:val="2"/>
          <w:sz w:val="28"/>
          <w:szCs w:val="28"/>
        </w:rPr>
        <w:t xml:space="preserve"> </w:t>
      </w:r>
    </w:p>
    <w:p>
      <w:pPr>
        <w:autoSpaceDE/>
        <w:autoSpaceDN/>
        <w:adjustRightInd/>
        <w:spacing w:line="340" w:lineRule="exact"/>
        <w:jc w:val="both"/>
        <w:rPr>
          <w:rFonts w:hint="default" w:ascii="仿宋" w:hAnsi="仿宋" w:eastAsia="仿宋" w:cs="仿宋"/>
          <w:b/>
          <w:bCs/>
          <w:kern w:val="2"/>
          <w:sz w:val="28"/>
          <w:szCs w:val="28"/>
        </w:rPr>
      </w:pPr>
      <w:r>
        <w:rPr>
          <w:rFonts w:ascii="楷体" w:hAnsi="楷体" w:eastAsia="楷体" w:cs="楷体"/>
          <w:kern w:val="2"/>
          <w:sz w:val="28"/>
          <w:szCs w:val="28"/>
        </w:rPr>
        <w:t>（一）当前我国地方政府投资建设类项目的形势分析</w:t>
      </w:r>
    </w:p>
    <w:p>
      <w:pPr>
        <w:autoSpaceDE/>
        <w:autoSpaceDN/>
        <w:adjustRightInd/>
        <w:spacing w:line="340" w:lineRule="exact"/>
        <w:ind w:firstLine="280" w:firstLineChars="100"/>
        <w:jc w:val="both"/>
        <w:rPr>
          <w:rFonts w:hint="default" w:ascii="楷体" w:hAnsi="楷体" w:eastAsia="楷体" w:cs="楷体"/>
          <w:bCs/>
          <w:kern w:val="2"/>
          <w:sz w:val="28"/>
          <w:szCs w:val="28"/>
        </w:rPr>
      </w:pPr>
      <w:r>
        <w:rPr>
          <w:rFonts w:ascii="仿宋" w:hAnsi="仿宋" w:eastAsia="仿宋" w:cs="仿宋"/>
          <w:bCs/>
          <w:kern w:val="2"/>
          <w:sz w:val="28"/>
          <w:szCs w:val="28"/>
        </w:rPr>
        <w:t>1.政府债务的监管形势实务分析</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1）我国当前财政与金融风险的形势分析</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2）政府相关债务的分类与认定</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3）政府隐性债务的化解与处置</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4）中办国办《关于做好地方政府专项债券发行及项目配套融资工作的通知》、国务院《政府投资条例》、银保监《关于开展“巩固治乱象成果促进合规建设”工作的通知》等文件的</w:t>
      </w:r>
      <w:r>
        <w:rPr>
          <w:rFonts w:ascii="仿宋" w:hAnsi="仿宋" w:eastAsia="仿宋" w:cs="仿宋"/>
          <w:bCs/>
          <w:kern w:val="2"/>
          <w:sz w:val="28"/>
          <w:szCs w:val="28"/>
        </w:rPr>
        <w:t>相关</w:t>
      </w:r>
      <w:r>
        <w:rPr>
          <w:rFonts w:hint="default" w:ascii="仿宋" w:hAnsi="仿宋" w:eastAsia="仿宋" w:cs="仿宋"/>
          <w:bCs/>
          <w:kern w:val="2"/>
          <w:sz w:val="28"/>
          <w:szCs w:val="28"/>
        </w:rPr>
        <w:t>问题解读</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2.平台公司在新政策形势下的发展趋势</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1）国家对平台公司的最新认定标准</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2）当前形势下平台公司的融资现状</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3）推进平台公司市场化转型的政策梳理与意义</w:t>
      </w:r>
    </w:p>
    <w:p>
      <w:pPr>
        <w:autoSpaceDE/>
        <w:autoSpaceDN/>
        <w:adjustRightInd/>
        <w:spacing w:line="340" w:lineRule="exact"/>
        <w:jc w:val="both"/>
        <w:rPr>
          <w:rFonts w:hint="default" w:ascii="仿宋" w:hAnsi="仿宋" w:eastAsia="仿宋" w:cs="仿宋"/>
          <w:b/>
          <w:bCs/>
          <w:kern w:val="2"/>
          <w:sz w:val="28"/>
          <w:szCs w:val="28"/>
        </w:rPr>
      </w:pPr>
      <w:r>
        <w:rPr>
          <w:rFonts w:ascii="楷体" w:hAnsi="楷体" w:eastAsia="楷体" w:cs="楷体"/>
          <w:kern w:val="2"/>
          <w:sz w:val="28"/>
          <w:szCs w:val="28"/>
        </w:rPr>
        <w:t>（二）地方政府投融资模式的重构</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1.地方政府投融资模式重构的背景</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1）隐性债务过高将会造成区域财政危机或金融危机</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2）监管政策彻底打破传统的政信合作机制</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2.地方政府投融资模式的重构</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1）政府融资平台公司职能的重新定位</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2）地方投融资交易结构的转变</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3）提供基建及公共服务市场化模式的转变</w:t>
      </w:r>
    </w:p>
    <w:p>
      <w:pPr>
        <w:autoSpaceDE/>
        <w:autoSpaceDN/>
        <w:adjustRightInd/>
        <w:spacing w:line="340" w:lineRule="exact"/>
        <w:jc w:val="both"/>
        <w:rPr>
          <w:rFonts w:hint="default" w:ascii="仿宋" w:hAnsi="仿宋" w:eastAsia="仿宋" w:cs="仿宋"/>
          <w:b/>
          <w:bCs/>
          <w:kern w:val="2"/>
          <w:sz w:val="28"/>
          <w:szCs w:val="28"/>
        </w:rPr>
      </w:pPr>
      <w:r>
        <w:rPr>
          <w:rFonts w:ascii="楷体" w:hAnsi="楷体" w:eastAsia="楷体" w:cs="楷体"/>
          <w:kern w:val="2"/>
          <w:sz w:val="28"/>
          <w:szCs w:val="28"/>
        </w:rPr>
        <w:t>（三）新形势下投资人、施工企业、金融机构（以下简称：社会资本方）参与政府公益性项目的模式</w:t>
      </w:r>
    </w:p>
    <w:p>
      <w:pPr>
        <w:autoSpaceDE/>
        <w:autoSpaceDN/>
        <w:adjustRightInd/>
        <w:spacing w:line="340" w:lineRule="exact"/>
        <w:ind w:firstLine="280" w:firstLineChars="100"/>
        <w:jc w:val="both"/>
        <w:rPr>
          <w:rFonts w:hint="default" w:ascii="楷体" w:hAnsi="楷体" w:eastAsia="楷体" w:cs="楷体"/>
          <w:bCs/>
          <w:kern w:val="2"/>
          <w:sz w:val="28"/>
          <w:szCs w:val="28"/>
        </w:rPr>
      </w:pPr>
      <w:r>
        <w:rPr>
          <w:rFonts w:ascii="仿宋" w:hAnsi="仿宋" w:eastAsia="仿宋" w:cs="仿宋"/>
          <w:bCs/>
          <w:kern w:val="2"/>
          <w:sz w:val="28"/>
          <w:szCs w:val="28"/>
        </w:rPr>
        <w:t>1.直接参与投资公益性项目</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1）政府债券与平台公司债券</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2）PPP与政府购买服务模式的比较分析</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3）若干政府违规融资与建设模式的梳理与分析</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2.以平台公司为新载体开展公益性项目合作</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1）平台公司参与公益性项目的政策性支持</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2）平台公司参与公益性项目的流程</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3）合作投融资模式的设计</w:t>
      </w:r>
    </w:p>
    <w:p>
      <w:pPr>
        <w:autoSpaceDE/>
        <w:autoSpaceDN/>
        <w:adjustRightInd/>
        <w:spacing w:line="340" w:lineRule="exact"/>
        <w:jc w:val="both"/>
        <w:rPr>
          <w:rFonts w:hint="default" w:ascii="楷体" w:hAnsi="楷体" w:eastAsia="楷体" w:cs="楷体"/>
          <w:kern w:val="2"/>
          <w:sz w:val="28"/>
          <w:szCs w:val="28"/>
        </w:rPr>
      </w:pPr>
      <w:r>
        <w:rPr>
          <w:rFonts w:ascii="楷体" w:hAnsi="楷体" w:eastAsia="楷体" w:cs="楷体"/>
          <w:kern w:val="2"/>
          <w:sz w:val="28"/>
          <w:szCs w:val="28"/>
        </w:rPr>
        <w:t>（四）城市运营领域的合作模式</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1.城市运营的概念及发展趋势</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1）城市运营领域的分类</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2）城市运营领域是平台公司的重要发展方向</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2.目前我国运营类项目的现状</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1）垄断性项目的运营状况</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2）竞争性项目的运营状况</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3.城市运营类项目的合作模式</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1）运营类项目的性质深入分析</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2）运营类项目采用特性及融资深入分析</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3）如何将政府的背书转化为合规的现金流</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4.当前我国运营类企业的性质分析</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5.社会资本方参与城市运营的模式分析与设计</w:t>
      </w:r>
    </w:p>
    <w:p>
      <w:pPr>
        <w:autoSpaceDE/>
        <w:autoSpaceDN/>
        <w:adjustRightInd/>
        <w:spacing w:line="340" w:lineRule="exact"/>
        <w:jc w:val="both"/>
        <w:rPr>
          <w:rFonts w:hint="default" w:ascii="仿宋" w:hAnsi="仿宋" w:eastAsia="仿宋" w:cs="仿宋"/>
          <w:b/>
          <w:bCs/>
          <w:kern w:val="2"/>
          <w:sz w:val="28"/>
          <w:szCs w:val="28"/>
        </w:rPr>
      </w:pPr>
      <w:r>
        <w:rPr>
          <w:rFonts w:ascii="楷体" w:hAnsi="楷体" w:eastAsia="楷体" w:cs="楷体"/>
          <w:kern w:val="2"/>
          <w:sz w:val="28"/>
          <w:szCs w:val="28"/>
        </w:rPr>
        <w:t>（五）社会投资人在平台公司作为社会资本方的形势下参与PPP的模式</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1.PPP模式的收紧（结合2017年以来新政）</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1）资管新规及</w:t>
      </w:r>
      <w:r>
        <w:rPr>
          <w:rFonts w:ascii="仿宋" w:hAnsi="仿宋" w:eastAsia="仿宋" w:cs="仿宋"/>
          <w:bCs/>
          <w:kern w:val="2"/>
          <w:sz w:val="28"/>
          <w:szCs w:val="28"/>
        </w:rPr>
        <w:t>《关于规范金融企业对地方政府和国有企业投融资行为有关问题的通知》（财金〔2018〕23号）</w:t>
      </w:r>
      <w:r>
        <w:rPr>
          <w:rFonts w:hint="default" w:ascii="仿宋" w:hAnsi="仿宋" w:eastAsia="仿宋" w:cs="仿宋"/>
          <w:bCs/>
          <w:kern w:val="2"/>
          <w:sz w:val="28"/>
          <w:szCs w:val="28"/>
        </w:rPr>
        <w:t>对PPP项目资本金的严重影响</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w:t>
      </w:r>
      <w:r>
        <w:rPr>
          <w:rFonts w:ascii="仿宋" w:hAnsi="仿宋" w:eastAsia="仿宋" w:cs="仿宋"/>
          <w:bCs/>
          <w:kern w:val="2"/>
          <w:sz w:val="28"/>
          <w:szCs w:val="28"/>
        </w:rPr>
        <w:t>《关于规范政府和社会资本合作(PPP)综合信息平台项目库管理的通知》(财办金〔2017〕92号）《关于进一步加强政府和社会资本合作(PPP)示范项目 规范管理的通知》(财金〔2018〕54号)</w:t>
      </w:r>
      <w:r>
        <w:rPr>
          <w:rFonts w:hint="default" w:ascii="仿宋" w:hAnsi="仿宋" w:eastAsia="仿宋" w:cs="仿宋"/>
          <w:bCs/>
          <w:kern w:val="2"/>
          <w:sz w:val="28"/>
          <w:szCs w:val="28"/>
        </w:rPr>
        <w:t>及</w:t>
      </w:r>
      <w:bookmarkStart w:id="1" w:name="OLE_LINK2"/>
      <w:r>
        <w:rPr>
          <w:rFonts w:ascii="仿宋" w:hAnsi="仿宋" w:eastAsia="仿宋" w:cs="仿宋"/>
          <w:bCs/>
          <w:kern w:val="2"/>
          <w:sz w:val="28"/>
          <w:szCs w:val="28"/>
        </w:rPr>
        <w:t>《关于推进政府和社会资本合作规范发展的实施意见》（财金〔2019〕10号）</w:t>
      </w:r>
      <w:bookmarkEnd w:id="1"/>
      <w:r>
        <w:rPr>
          <w:rFonts w:hint="default" w:ascii="仿宋" w:hAnsi="仿宋" w:eastAsia="仿宋" w:cs="仿宋"/>
          <w:bCs/>
          <w:kern w:val="2"/>
          <w:sz w:val="28"/>
          <w:szCs w:val="28"/>
        </w:rPr>
        <w:t>等对PPP项目的影响</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2.平台公司参与PPP的职能转变</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3.平台公司参与PPP的优势与劣势</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4.社会资本方与转型后的平台公司PPP领域的合作机遇</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1）平台公司转型的几个重要方向</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2）社会资本方参与地方平台转型业务的重要性及优势分析</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5.央企国企等企业与平台公司在PPP项目中的双赢合作</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1）增加业务获取概率</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 xml:space="preserve">2）资本金的相互补充（同时解决央企出表） </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6.运营与PPP模式的挂钩问题</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1）财政补贴项目的应用领域</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2）深入分析</w:t>
      </w:r>
      <w:r>
        <w:rPr>
          <w:rFonts w:ascii="仿宋" w:hAnsi="仿宋" w:eastAsia="仿宋" w:cs="仿宋"/>
          <w:bCs/>
          <w:kern w:val="2"/>
          <w:sz w:val="28"/>
          <w:szCs w:val="28"/>
        </w:rPr>
        <w:t>《关于规范政府和社会资本合作(PPP)综合信息平台项目库管理的通知》(财办金〔2017〕92号）</w:t>
      </w:r>
      <w:r>
        <w:rPr>
          <w:rFonts w:hint="default" w:ascii="仿宋" w:hAnsi="仿宋" w:eastAsia="仿宋" w:cs="仿宋"/>
          <w:bCs/>
          <w:kern w:val="2"/>
          <w:sz w:val="28"/>
          <w:szCs w:val="28"/>
        </w:rPr>
        <w:t>和</w:t>
      </w:r>
      <w:r>
        <w:rPr>
          <w:rFonts w:ascii="仿宋" w:hAnsi="仿宋" w:eastAsia="仿宋" w:cs="仿宋"/>
          <w:bCs/>
          <w:kern w:val="2"/>
          <w:sz w:val="28"/>
          <w:szCs w:val="28"/>
        </w:rPr>
        <w:t>《关于推进政府和社会资本合作规范发展的实施意见》（财金〔2019〕10号）</w:t>
      </w:r>
      <w:r>
        <w:rPr>
          <w:rFonts w:hint="default" w:ascii="仿宋" w:hAnsi="仿宋" w:eastAsia="仿宋" w:cs="仿宋"/>
          <w:bCs/>
          <w:kern w:val="2"/>
          <w:sz w:val="28"/>
          <w:szCs w:val="28"/>
        </w:rPr>
        <w:t>中的绩效考核挂钩</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3）使用者付费在PPP项目中的占比问题</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4）几种财政补贴项目落地难点分析及金融机构的关注要点</w:t>
      </w:r>
    </w:p>
    <w:p>
      <w:pPr>
        <w:autoSpaceDE/>
        <w:autoSpaceDN/>
        <w:adjustRightInd/>
        <w:spacing w:line="340" w:lineRule="exact"/>
        <w:jc w:val="both"/>
        <w:rPr>
          <w:rFonts w:hint="default" w:ascii="楷体" w:hAnsi="楷体" w:eastAsia="楷体" w:cs="楷体"/>
          <w:kern w:val="2"/>
          <w:sz w:val="28"/>
          <w:szCs w:val="28"/>
        </w:rPr>
      </w:pPr>
      <w:r>
        <w:rPr>
          <w:rFonts w:ascii="楷体" w:hAnsi="楷体" w:eastAsia="楷体" w:cs="楷体"/>
          <w:kern w:val="2"/>
          <w:sz w:val="28"/>
          <w:szCs w:val="28"/>
        </w:rPr>
        <w:t>（六）社会资本方参与片区综合开发中的机遇</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1.当前状况下片区综合开发的模式分析</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1）工业地产开发模式</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2）产业新城开发模式</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3）产业加投资开发模式</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2.社会资本方开展片区综合开发的模式分析</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3.如何处理土地“招拍挂”问题（尤其关注涉及商业地产的合规性问题）</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4.深入分析资源补偿类项目的融资难点</w:t>
      </w:r>
    </w:p>
    <w:p>
      <w:pPr>
        <w:autoSpaceDE/>
        <w:autoSpaceDN/>
        <w:adjustRightInd/>
        <w:spacing w:line="340" w:lineRule="exact"/>
        <w:ind w:firstLine="280" w:firstLineChars="100"/>
        <w:jc w:val="both"/>
        <w:rPr>
          <w:rFonts w:hint="default" w:ascii="楷体" w:hAnsi="楷体" w:eastAsia="楷体" w:cs="楷体"/>
          <w:bCs/>
          <w:kern w:val="2"/>
          <w:sz w:val="28"/>
          <w:szCs w:val="28"/>
        </w:rPr>
      </w:pPr>
      <w:r>
        <w:rPr>
          <w:rFonts w:ascii="仿宋" w:hAnsi="仿宋" w:eastAsia="仿宋" w:cs="仿宋"/>
          <w:bCs/>
          <w:kern w:val="2"/>
          <w:sz w:val="28"/>
          <w:szCs w:val="28"/>
        </w:rPr>
        <w:t>5.片区开发项目如何处理与房地产商之间的关系</w:t>
      </w:r>
    </w:p>
    <w:p>
      <w:pPr>
        <w:autoSpaceDE/>
        <w:autoSpaceDN/>
        <w:adjustRightInd/>
        <w:spacing w:line="340" w:lineRule="exact"/>
        <w:jc w:val="both"/>
        <w:rPr>
          <w:rFonts w:hint="default" w:ascii="仿宋" w:hAnsi="仿宋" w:eastAsia="仿宋" w:cs="仿宋"/>
          <w:b/>
          <w:bCs/>
          <w:kern w:val="2"/>
          <w:sz w:val="28"/>
          <w:szCs w:val="28"/>
        </w:rPr>
      </w:pPr>
      <w:r>
        <w:rPr>
          <w:rFonts w:ascii="楷体" w:hAnsi="楷体" w:eastAsia="楷体" w:cs="楷体"/>
          <w:kern w:val="2"/>
          <w:sz w:val="28"/>
          <w:szCs w:val="28"/>
        </w:rPr>
        <w:t>（七）社会资本方参与平台公司转型后的特殊业务</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1.合作参与金融机构业务</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1）平台公司参与金融机构的意义</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2）主要业务发展方向及模式</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2.央企国企等参与平台公司的产业投资项目</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1）优质房地产开发项目</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2）地方特色资源和产业项目</w:t>
      </w:r>
    </w:p>
    <w:p>
      <w:pPr>
        <w:autoSpaceDE/>
        <w:autoSpaceDN/>
        <w:adjustRightInd/>
        <w:spacing w:line="340" w:lineRule="exact"/>
        <w:jc w:val="both"/>
        <w:rPr>
          <w:rFonts w:hint="default" w:ascii="楷体" w:hAnsi="楷体" w:eastAsia="楷体" w:cs="楷体"/>
          <w:kern w:val="2"/>
          <w:sz w:val="28"/>
          <w:szCs w:val="28"/>
        </w:rPr>
      </w:pPr>
      <w:r>
        <w:rPr>
          <w:rFonts w:ascii="楷体" w:hAnsi="楷体" w:eastAsia="楷体" w:cs="楷体"/>
          <w:kern w:val="2"/>
          <w:sz w:val="28"/>
          <w:szCs w:val="28"/>
        </w:rPr>
        <w:t>（八）社会资本方如何合规开展“融资代建”模式</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1.新形式下施工项目的操作要点及风险风范</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2.传统融资代建模式的概述</w:t>
      </w:r>
      <w:r>
        <w:rPr>
          <w:rFonts w:hint="default" w:ascii="仿宋" w:hAnsi="仿宋" w:eastAsia="仿宋" w:cs="仿宋"/>
          <w:bCs/>
          <w:kern w:val="2"/>
          <w:sz w:val="28"/>
          <w:szCs w:val="28"/>
        </w:rPr>
        <w:t xml:space="preserve"> </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1）传统融资代建模式的兴起与交易结构</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2）传统融资代建模式的合规性分析</w:t>
      </w:r>
    </w:p>
    <w:p>
      <w:pPr>
        <w:autoSpaceDE/>
        <w:autoSpaceDN/>
        <w:adjustRightInd/>
        <w:spacing w:line="340" w:lineRule="exact"/>
        <w:ind w:firstLine="280" w:firstLineChars="100"/>
        <w:jc w:val="both"/>
        <w:rPr>
          <w:rFonts w:hint="default" w:ascii="楷体" w:hAnsi="楷体" w:eastAsia="楷体" w:cs="楷体"/>
          <w:bCs/>
          <w:kern w:val="2"/>
          <w:sz w:val="28"/>
          <w:szCs w:val="28"/>
        </w:rPr>
      </w:pPr>
      <w:r>
        <w:rPr>
          <w:rFonts w:ascii="仿宋" w:hAnsi="仿宋" w:eastAsia="仿宋" w:cs="仿宋"/>
          <w:bCs/>
          <w:kern w:val="2"/>
          <w:sz w:val="28"/>
          <w:szCs w:val="28"/>
        </w:rPr>
        <w:t>3.未来融资代建模式的未来发展方向</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1）政府合规现金流的融资代建</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2）以转型平台代替政府</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3）融合技巧性应用政府的“信用”</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4.ABO模式在传统基建项目的创新的应用</w:t>
      </w:r>
    </w:p>
    <w:p>
      <w:pPr>
        <w:autoSpaceDE/>
        <w:autoSpaceDN/>
        <w:adjustRightInd/>
        <w:spacing w:line="340" w:lineRule="exact"/>
        <w:jc w:val="both"/>
        <w:rPr>
          <w:rFonts w:hint="default" w:ascii="楷体" w:hAnsi="楷体" w:eastAsia="楷体" w:cs="楷体"/>
          <w:kern w:val="2"/>
          <w:sz w:val="28"/>
          <w:szCs w:val="28"/>
        </w:rPr>
      </w:pPr>
      <w:r>
        <w:rPr>
          <w:rFonts w:ascii="楷体" w:hAnsi="楷体" w:eastAsia="楷体" w:cs="楷体"/>
          <w:kern w:val="2"/>
          <w:sz w:val="28"/>
          <w:szCs w:val="28"/>
        </w:rPr>
        <w:t>（九）社会资本方在新规下的资本金解决路径</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1.项目资本金及配资的难点分析与解决思路</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1）项目资本金的性质</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2）资本金的期限过长</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3）资本金的成本高</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4）资本金内部的比例结构冲突性强</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2.《关于加强中央企业PPP业务风险管控的通知》（国资发财管〔2017〕192号）相关问题解读</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1）投资总量控制与项目实操中的灵活处理</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2）注重实质重于形式的问题</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3.金融新政形势下项目资本金的新趋势</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1）当前常见投资模式的分析</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2）投资人的选择（尤其是资管新规对金融机构的重大影响）</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3）组合投资模式的应用</w:t>
      </w:r>
    </w:p>
    <w:p>
      <w:pPr>
        <w:autoSpaceDE/>
        <w:autoSpaceDN/>
        <w:adjustRightInd/>
        <w:spacing w:line="340" w:lineRule="exact"/>
        <w:jc w:val="both"/>
        <w:rPr>
          <w:rFonts w:hint="default" w:ascii="仿宋" w:hAnsi="仿宋" w:eastAsia="仿宋" w:cs="仿宋"/>
          <w:b/>
          <w:bCs/>
          <w:kern w:val="2"/>
          <w:sz w:val="28"/>
          <w:szCs w:val="28"/>
        </w:rPr>
      </w:pPr>
      <w:r>
        <w:rPr>
          <w:rFonts w:ascii="楷体" w:hAnsi="楷体" w:eastAsia="楷体" w:cs="楷体"/>
          <w:kern w:val="2"/>
          <w:sz w:val="28"/>
          <w:szCs w:val="28"/>
        </w:rPr>
        <w:t>（十）社会资本方运用产业基金参与地方政府基建项目</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1.产业基金在基础设施项目中的功能演变过程</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2.资管新规、私募新规与《关于规范金融企业对地方政府和国有企业投融资行为有关问题的通知》（财金〔2018〕23号）对于基金出资人的影响</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3.对赌模式在产业基金中的应用</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4.土地储备政策（</w:t>
      </w:r>
      <w:bookmarkStart w:id="2" w:name="OLE_LINK3"/>
      <w:r>
        <w:rPr>
          <w:rFonts w:ascii="仿宋" w:hAnsi="仿宋" w:eastAsia="仿宋" w:cs="仿宋"/>
          <w:bCs/>
          <w:kern w:val="2"/>
          <w:sz w:val="28"/>
          <w:szCs w:val="28"/>
        </w:rPr>
        <w:t>《关于规范土地储备和资金管理相关问题的通知》（财综〔2016〕4号）</w:t>
      </w:r>
      <w:bookmarkEnd w:id="2"/>
      <w:r>
        <w:rPr>
          <w:rFonts w:ascii="仿宋" w:hAnsi="仿宋" w:eastAsia="仿宋" w:cs="仿宋"/>
          <w:bCs/>
          <w:kern w:val="2"/>
          <w:sz w:val="28"/>
          <w:szCs w:val="28"/>
        </w:rPr>
        <w:t>）出台后，产业投资基金参与土地一级开发项目的创新模式实务及案例分析</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5.产业投资基金非标转标准化退出的方式及案例解析（以资产证劵化为主）</w:t>
      </w:r>
    </w:p>
    <w:p>
      <w:pPr>
        <w:autoSpaceDE/>
        <w:autoSpaceDN/>
        <w:adjustRightInd/>
        <w:spacing w:line="34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6.如何运用产业基金整合各种资源</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1）运营商和资源整合方在公益性项目中的窘境</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2）产业基金对于运营和资源整合的意义</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3）通过基金进行资源整合的运作模式</w:t>
      </w:r>
    </w:p>
    <w:p>
      <w:pPr>
        <w:autoSpaceDE/>
        <w:autoSpaceDN/>
        <w:adjustRightInd/>
        <w:spacing w:line="340" w:lineRule="exact"/>
        <w:ind w:firstLine="280" w:firstLineChars="100"/>
        <w:jc w:val="both"/>
        <w:rPr>
          <w:rFonts w:hint="default" w:ascii="楷体" w:hAnsi="楷体" w:eastAsia="楷体" w:cs="楷体"/>
          <w:bCs/>
          <w:kern w:val="2"/>
          <w:sz w:val="28"/>
          <w:szCs w:val="28"/>
        </w:rPr>
      </w:pPr>
      <w:r>
        <w:rPr>
          <w:rFonts w:ascii="仿宋" w:hAnsi="仿宋" w:eastAsia="仿宋" w:cs="仿宋"/>
          <w:bCs/>
          <w:kern w:val="2"/>
          <w:sz w:val="28"/>
          <w:szCs w:val="28"/>
        </w:rPr>
        <w:t>7.基金参与项目采购流程中的合规性问题</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1）注意“通道”的风险</w:t>
      </w:r>
    </w:p>
    <w:p>
      <w:pPr>
        <w:autoSpaceDE/>
        <w:autoSpaceDN/>
        <w:adjustRightInd/>
        <w:spacing w:line="340" w:lineRule="exact"/>
        <w:ind w:firstLine="140" w:firstLineChars="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2）采用联合体投标和中标后引入投资人的风险分析与建议</w:t>
      </w:r>
    </w:p>
    <w:p>
      <w:pPr>
        <w:keepNext w:val="0"/>
        <w:keepLines w:val="0"/>
        <w:pageBreakBefore w:val="0"/>
        <w:widowControl/>
        <w:kinsoku/>
        <w:wordWrap/>
        <w:overflowPunct/>
        <w:topLinePunct w:val="0"/>
        <w:autoSpaceDE/>
        <w:autoSpaceDN/>
        <w:bidi w:val="0"/>
        <w:snapToGrid/>
        <w:spacing w:line="400" w:lineRule="exact"/>
        <w:textAlignment w:val="auto"/>
        <w:rPr>
          <w:rStyle w:val="9"/>
          <w:rFonts w:hint="default" w:ascii="黑体" w:hAnsi="黑体" w:eastAsia="黑体" w:cs="黑体"/>
          <w:b w:val="0"/>
          <w:bCs w:val="0"/>
          <w:color w:val="000000"/>
          <w:sz w:val="28"/>
          <w:szCs w:val="28"/>
          <w:lang w:val="zh-CN"/>
        </w:rPr>
      </w:pPr>
      <w:r>
        <w:rPr>
          <w:rStyle w:val="9"/>
          <w:rFonts w:ascii="黑体" w:hAnsi="黑体" w:eastAsia="黑体" w:cs="黑体"/>
          <w:b w:val="0"/>
          <w:bCs w:val="0"/>
          <w:color w:val="000000"/>
          <w:sz w:val="28"/>
          <w:szCs w:val="28"/>
        </w:rPr>
        <w:t>附件2.“加强国企资产负债约束、促进社会资本规范运作培训班”</w:t>
      </w:r>
      <w:r>
        <w:rPr>
          <w:rStyle w:val="9"/>
          <w:rFonts w:ascii="黑体" w:hAnsi="黑体" w:eastAsia="黑体" w:cs="黑体"/>
          <w:b w:val="0"/>
          <w:bCs w:val="0"/>
          <w:color w:val="000000"/>
          <w:sz w:val="28"/>
          <w:szCs w:val="28"/>
          <w:lang w:val="zh-CN"/>
        </w:rPr>
        <w:t>报名回执表</w:t>
      </w:r>
    </w:p>
    <w:tbl>
      <w:tblPr>
        <w:tblStyle w:val="7"/>
        <w:tblpPr w:leftFromText="180" w:rightFromText="180" w:vertAnchor="text" w:horzAnchor="margin" w:tblpXSpec="center" w:tblpY="70"/>
        <w:tblW w:w="1028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466"/>
        <w:gridCol w:w="910"/>
        <w:gridCol w:w="907"/>
        <w:gridCol w:w="1125"/>
        <w:gridCol w:w="1290"/>
        <w:gridCol w:w="1365"/>
        <w:gridCol w:w="206"/>
        <w:gridCol w:w="784"/>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通讯地址</w:t>
            </w:r>
          </w:p>
        </w:tc>
        <w:tc>
          <w:tcPr>
            <w:tcW w:w="7626"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exact"/>
          <w:jc w:val="center"/>
        </w:trPr>
        <w:tc>
          <w:tcPr>
            <w:tcW w:w="12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审批人</w:t>
            </w:r>
          </w:p>
        </w:tc>
        <w:tc>
          <w:tcPr>
            <w:tcW w:w="13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职 务</w:t>
            </w: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电  话</w:t>
            </w:r>
          </w:p>
        </w:tc>
        <w:tc>
          <w:tcPr>
            <w:tcW w:w="136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99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手</w:t>
            </w:r>
            <w:r>
              <w:rPr>
                <w:rFonts w:ascii="仿宋" w:hAnsi="仿宋" w:eastAsia="仿宋" w:cs="仿宋"/>
                <w:sz w:val="28"/>
                <w:szCs w:val="28"/>
              </w:rPr>
              <w:t xml:space="preserve">  </w:t>
            </w:r>
            <w:r>
              <w:rPr>
                <w:rFonts w:ascii="仿宋" w:hAnsi="仿宋" w:eastAsia="仿宋" w:cs="仿宋"/>
                <w:sz w:val="28"/>
                <w:szCs w:val="28"/>
                <w:lang w:val="zh-CN"/>
              </w:rPr>
              <w:t>机</w:t>
            </w: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6" w:hRule="exact"/>
          <w:jc w:val="center"/>
        </w:trPr>
        <w:tc>
          <w:tcPr>
            <w:tcW w:w="12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联系人</w:t>
            </w:r>
          </w:p>
        </w:tc>
        <w:tc>
          <w:tcPr>
            <w:tcW w:w="13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职 务</w:t>
            </w: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电  话</w:t>
            </w:r>
          </w:p>
        </w:tc>
        <w:tc>
          <w:tcPr>
            <w:tcW w:w="136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99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手</w:t>
            </w:r>
            <w:r>
              <w:rPr>
                <w:rFonts w:ascii="仿宋" w:hAnsi="仿宋" w:eastAsia="仿宋" w:cs="仿宋"/>
                <w:sz w:val="28"/>
                <w:szCs w:val="28"/>
              </w:rPr>
              <w:t xml:space="preserve">  </w:t>
            </w:r>
            <w:r>
              <w:rPr>
                <w:rFonts w:ascii="仿宋" w:hAnsi="仿宋" w:eastAsia="仿宋" w:cs="仿宋"/>
                <w:sz w:val="28"/>
                <w:szCs w:val="28"/>
                <w:lang w:val="zh-CN"/>
              </w:rPr>
              <w:t>机</w:t>
            </w: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8"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参会人</w:t>
            </w:r>
            <w:r>
              <w:rPr>
                <w:rFonts w:ascii="仿宋" w:hAnsi="仿宋" w:eastAsia="仿宋" w:cs="仿宋"/>
                <w:sz w:val="28"/>
                <w:szCs w:val="28"/>
              </w:rPr>
              <w:t>姓名</w:t>
            </w: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性 别</w:t>
            </w: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部  门</w:t>
            </w: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职  务</w:t>
            </w: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手 机</w:t>
            </w: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是否住宿</w:t>
            </w:r>
          </w:p>
        </w:tc>
        <w:tc>
          <w:tcPr>
            <w:tcW w:w="29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□是     □否</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住宿要求</w:t>
            </w:r>
          </w:p>
        </w:tc>
        <w:tc>
          <w:tcPr>
            <w:tcW w:w="43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□单住(需另补床位费)□合住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费用选择</w:t>
            </w:r>
          </w:p>
        </w:tc>
        <w:tc>
          <w:tcPr>
            <w:tcW w:w="85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□A：2800             □B：4980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参加地点</w:t>
            </w:r>
          </w:p>
        </w:tc>
        <w:tc>
          <w:tcPr>
            <w:tcW w:w="85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□南京    □南宁    □厦门    □深圳    □杭州    □海口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7" w:hRule="atLeast"/>
          <w:jc w:val="center"/>
        </w:trPr>
        <w:tc>
          <w:tcPr>
            <w:tcW w:w="175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开票信息</w:t>
            </w:r>
          </w:p>
        </w:tc>
        <w:tc>
          <w:tcPr>
            <w:tcW w:w="8536"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 xml:space="preserve">    □增值税专用发票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1" w:hRule="exac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单位名称</w:t>
            </w:r>
          </w:p>
        </w:tc>
        <w:tc>
          <w:tcPr>
            <w:tcW w:w="85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0" w:hRule="exac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纳税人识别号</w:t>
            </w:r>
          </w:p>
        </w:tc>
        <w:tc>
          <w:tcPr>
            <w:tcW w:w="85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7" w:hRule="exac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地址电话</w:t>
            </w:r>
          </w:p>
        </w:tc>
        <w:tc>
          <w:tcPr>
            <w:tcW w:w="85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开户行账号</w:t>
            </w:r>
          </w:p>
        </w:tc>
        <w:tc>
          <w:tcPr>
            <w:tcW w:w="85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5" w:hRule="exact"/>
          <w:jc w:val="center"/>
        </w:trPr>
        <w:tc>
          <w:tcPr>
            <w:tcW w:w="175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收款账户</w:t>
            </w:r>
          </w:p>
        </w:tc>
        <w:tc>
          <w:tcPr>
            <w:tcW w:w="8536"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r>
              <w:rPr>
                <w:rFonts w:ascii="仿宋" w:hAnsi="仿宋" w:eastAsia="仿宋" w:cs="仿宋"/>
                <w:sz w:val="28"/>
                <w:szCs w:val="28"/>
                <w:lang w:val="zh-CN"/>
              </w:rPr>
              <w:t xml:space="preserve">单位全称: 北京国网信科技术培训中心 </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r>
              <w:rPr>
                <w:rFonts w:ascii="仿宋" w:hAnsi="仿宋" w:eastAsia="仿宋" w:cs="仿宋"/>
                <w:sz w:val="28"/>
                <w:szCs w:val="28"/>
                <w:lang w:val="zh-CN"/>
              </w:rPr>
              <w:t>开 户 行：中国工商银行股份有限公司北京半壁店支行</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r>
              <w:rPr>
                <w:rFonts w:ascii="仿宋" w:hAnsi="仿宋" w:eastAsia="仿宋" w:cs="仿宋"/>
                <w:sz w:val="28"/>
                <w:szCs w:val="28"/>
                <w:lang w:val="zh-CN"/>
              </w:rPr>
              <w:t>账    户： 0200 2470 0920 0063 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4" w:hRule="exact"/>
          <w:jc w:val="center"/>
        </w:trPr>
        <w:tc>
          <w:tcPr>
            <w:tcW w:w="175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备注</w:t>
            </w:r>
          </w:p>
        </w:tc>
        <w:tc>
          <w:tcPr>
            <w:tcW w:w="5803"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r>
              <w:rPr>
                <w:rFonts w:ascii="仿宋" w:hAnsi="仿宋" w:eastAsia="仿宋" w:cs="仿宋"/>
                <w:sz w:val="28"/>
                <w:szCs w:val="28"/>
                <w:lang w:val="zh-CN"/>
              </w:rPr>
              <w:t>请及时将回执表回传或E-mail至</w:t>
            </w:r>
            <w:r>
              <w:rPr>
                <w:rFonts w:ascii="仿宋" w:hAnsi="仿宋" w:eastAsia="仿宋" w:cs="仿宋"/>
                <w:sz w:val="28"/>
                <w:szCs w:val="28"/>
              </w:rPr>
              <w:t>会</w:t>
            </w:r>
            <w:r>
              <w:rPr>
                <w:rFonts w:ascii="仿宋" w:hAnsi="仿宋" w:eastAsia="仿宋" w:cs="仿宋"/>
                <w:sz w:val="28"/>
                <w:szCs w:val="28"/>
                <w:lang w:val="zh-CN"/>
              </w:rPr>
              <w:t>务组，在报名5日内将费用通过银行转账付款，会务组确认到款后即发《报到通知》，其中将详细注明报到时间、报到详细地点等具体安排事项，各参训学员凭证入场。</w:t>
            </w:r>
          </w:p>
        </w:tc>
        <w:tc>
          <w:tcPr>
            <w:tcW w:w="2733"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zh-CN"/>
              </w:rPr>
            </w:pPr>
            <w:r>
              <w:rPr>
                <w:rFonts w:ascii="仿宋" w:hAnsi="仿宋" w:eastAsia="仿宋" w:cs="仿宋"/>
                <w:sz w:val="28"/>
                <w:szCs w:val="28"/>
                <w:lang w:val="zh-CN"/>
              </w:rPr>
              <w:t>单位印章</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zh-CN"/>
              </w:rPr>
            </w:pPr>
            <w:r>
              <w:rPr>
                <w:rFonts w:ascii="仿宋" w:hAnsi="仿宋" w:eastAsia="仿宋" w:cs="仿宋"/>
                <w:sz w:val="28"/>
                <w:szCs w:val="28"/>
              </w:rPr>
              <w:t>2019</w:t>
            </w:r>
            <w:r>
              <w:rPr>
                <w:rFonts w:ascii="仿宋" w:hAnsi="仿宋" w:eastAsia="仿宋" w:cs="仿宋"/>
                <w:sz w:val="28"/>
                <w:szCs w:val="28"/>
                <w:lang w:val="zh-CN"/>
              </w:rPr>
              <w:t>年</w:t>
            </w:r>
            <w:r>
              <w:rPr>
                <w:rFonts w:ascii="仿宋" w:hAnsi="仿宋" w:eastAsia="仿宋" w:cs="仿宋"/>
                <w:sz w:val="28"/>
                <w:szCs w:val="28"/>
              </w:rPr>
              <w:t xml:space="preserve">  </w:t>
            </w:r>
            <w:r>
              <w:rPr>
                <w:rFonts w:ascii="仿宋" w:hAnsi="仿宋" w:eastAsia="仿宋" w:cs="仿宋"/>
                <w:sz w:val="28"/>
                <w:szCs w:val="28"/>
                <w:lang w:val="zh-CN"/>
              </w:rPr>
              <w:t xml:space="preserve"> 月</w:t>
            </w:r>
            <w:r>
              <w:rPr>
                <w:rFonts w:ascii="仿宋" w:hAnsi="仿宋" w:eastAsia="仿宋" w:cs="仿宋"/>
                <w:sz w:val="28"/>
                <w:szCs w:val="28"/>
              </w:rPr>
              <w:t xml:space="preserve"> </w:t>
            </w:r>
            <w:r>
              <w:rPr>
                <w:rFonts w:ascii="仿宋" w:hAnsi="仿宋" w:eastAsia="仿宋" w:cs="仿宋"/>
                <w:sz w:val="28"/>
                <w:szCs w:val="28"/>
                <w:lang w:val="zh-CN"/>
              </w:rPr>
              <w:t xml:space="preserve"> </w:t>
            </w:r>
            <w:r>
              <w:rPr>
                <w:rFonts w:ascii="仿宋" w:hAnsi="仿宋" w:eastAsia="仿宋" w:cs="仿宋"/>
                <w:sz w:val="28"/>
                <w:szCs w:val="28"/>
              </w:rPr>
              <w:t xml:space="preserve"> </w:t>
            </w:r>
            <w:r>
              <w:rPr>
                <w:rFonts w:ascii="仿宋" w:hAnsi="仿宋" w:eastAsia="仿宋" w:cs="仿宋"/>
                <w:sz w:val="28"/>
                <w:szCs w:val="28"/>
                <w:lang w:val="zh-CN"/>
              </w:rPr>
              <w:t>日</w:t>
            </w:r>
          </w:p>
        </w:tc>
      </w:tr>
    </w:tbl>
    <w:p>
      <w:pPr>
        <w:keepNext w:val="0"/>
        <w:keepLines w:val="0"/>
        <w:pageBreakBefore w:val="0"/>
        <w:widowControl/>
        <w:kinsoku/>
        <w:wordWrap/>
        <w:overflowPunct/>
        <w:topLinePunct w:val="0"/>
        <w:autoSpaceDE/>
        <w:autoSpaceDN/>
        <w:bidi w:val="0"/>
        <w:snapToGrid/>
        <w:spacing w:line="400" w:lineRule="exact"/>
        <w:textAlignment w:val="auto"/>
        <w:rPr>
          <w:rFonts w:hint="default" w:ascii="仿宋" w:hAnsi="仿宋" w:eastAsia="仿宋" w:cs="仿宋"/>
        </w:rPr>
      </w:pPr>
      <w:r>
        <w:rPr>
          <w:rFonts w:ascii="仿宋" w:hAnsi="仿宋" w:eastAsia="仿宋" w:cs="仿宋"/>
        </w:rPr>
        <w:t>备注：培训班名额有限,请尽早报名，额满为止。报名表加盖印章有效</w:t>
      </w:r>
    </w:p>
    <w:p>
      <w:pPr>
        <w:keepNext w:val="0"/>
        <w:keepLines w:val="0"/>
        <w:pageBreakBefore w:val="0"/>
        <w:widowControl/>
        <w:kinsoku/>
        <w:wordWrap/>
        <w:overflowPunct/>
        <w:topLinePunct w:val="0"/>
        <w:autoSpaceDE/>
        <w:autoSpaceDN/>
        <w:bidi w:val="0"/>
        <w:snapToGrid/>
        <w:spacing w:line="400" w:lineRule="exact"/>
        <w:textAlignment w:val="auto"/>
        <w:rPr>
          <w:rFonts w:hint="default"/>
          <w:b/>
          <w:bCs/>
          <w:sz w:val="28"/>
          <w:szCs w:val="28"/>
        </w:rPr>
      </w:pPr>
      <w:r>
        <w:rPr>
          <w:rFonts w:hint="default"/>
          <w:b/>
          <w:bCs/>
          <w:sz w:val="28"/>
          <w:szCs w:val="28"/>
        </w:rPr>
        <w:t>报名联系人：聂红军 主任 18211071700（微信）       邮  箱：zqgphwz@126.com</w:t>
      </w:r>
    </w:p>
    <w:p>
      <w:pPr>
        <w:keepNext w:val="0"/>
        <w:keepLines w:val="0"/>
        <w:pageBreakBefore w:val="0"/>
        <w:widowControl/>
        <w:kinsoku/>
        <w:wordWrap/>
        <w:overflowPunct/>
        <w:topLinePunct w:val="0"/>
        <w:autoSpaceDE/>
        <w:autoSpaceDN/>
        <w:bidi w:val="0"/>
        <w:snapToGrid/>
        <w:spacing w:line="400" w:lineRule="exact"/>
        <w:textAlignment w:val="auto"/>
        <w:rPr>
          <w:rFonts w:hint="default"/>
          <w:b/>
          <w:bCs/>
          <w:sz w:val="28"/>
          <w:szCs w:val="28"/>
        </w:rPr>
      </w:pPr>
      <w:r>
        <w:rPr>
          <w:rFonts w:hint="default"/>
          <w:b/>
          <w:bCs/>
          <w:sz w:val="28"/>
          <w:szCs w:val="28"/>
        </w:rPr>
        <w:t xml:space="preserve">电话（传真）：010-87697580                     qq咨询：3177524020   </w:t>
      </w:r>
    </w:p>
    <w:p>
      <w:pPr>
        <w:keepNext w:val="0"/>
        <w:keepLines w:val="0"/>
        <w:pageBreakBefore w:val="0"/>
        <w:widowControl/>
        <w:kinsoku/>
        <w:wordWrap/>
        <w:overflowPunct/>
        <w:topLinePunct w:val="0"/>
        <w:autoSpaceDE/>
        <w:autoSpaceDN/>
        <w:bidi w:val="0"/>
        <w:snapToGrid/>
        <w:spacing w:line="400" w:lineRule="exact"/>
        <w:textAlignment w:val="auto"/>
        <w:rPr>
          <w:rFonts w:hint="default"/>
          <w:sz w:val="28"/>
          <w:szCs w:val="28"/>
        </w:rPr>
      </w:pPr>
      <w:r>
        <w:rPr>
          <w:rFonts w:hint="default"/>
          <w:b/>
          <w:bCs/>
          <w:sz w:val="28"/>
          <w:szCs w:val="28"/>
        </w:rPr>
        <w:t xml:space="preserve">网址查询：http://www.zqgpchina.cn/   </w:t>
      </w:r>
      <w:r>
        <w:rPr>
          <w:rFonts w:hint="default"/>
          <w:sz w:val="28"/>
          <w:szCs w:val="28"/>
        </w:rPr>
        <w:t xml:space="preserve"> </w:t>
      </w: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F1A80"/>
    <w:multiLevelType w:val="singleLevel"/>
    <w:tmpl w:val="3D4F1A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67BD4"/>
    <w:rsid w:val="0009632B"/>
    <w:rsid w:val="000B5CF0"/>
    <w:rsid w:val="000E468A"/>
    <w:rsid w:val="00121CDE"/>
    <w:rsid w:val="001B15FC"/>
    <w:rsid w:val="001C5D56"/>
    <w:rsid w:val="001D5820"/>
    <w:rsid w:val="001F266D"/>
    <w:rsid w:val="001F2CC6"/>
    <w:rsid w:val="002733FA"/>
    <w:rsid w:val="002B34D8"/>
    <w:rsid w:val="002F5505"/>
    <w:rsid w:val="003544E0"/>
    <w:rsid w:val="0039259B"/>
    <w:rsid w:val="003C5EEF"/>
    <w:rsid w:val="00402ADC"/>
    <w:rsid w:val="00412431"/>
    <w:rsid w:val="004127EC"/>
    <w:rsid w:val="00444929"/>
    <w:rsid w:val="00483CEC"/>
    <w:rsid w:val="0048550A"/>
    <w:rsid w:val="004C2C6B"/>
    <w:rsid w:val="004F579D"/>
    <w:rsid w:val="005063A3"/>
    <w:rsid w:val="00526C25"/>
    <w:rsid w:val="005749F3"/>
    <w:rsid w:val="005B0313"/>
    <w:rsid w:val="005D62EA"/>
    <w:rsid w:val="005D6686"/>
    <w:rsid w:val="00605B40"/>
    <w:rsid w:val="006156DA"/>
    <w:rsid w:val="00657822"/>
    <w:rsid w:val="0068150B"/>
    <w:rsid w:val="006B70CD"/>
    <w:rsid w:val="006E23D4"/>
    <w:rsid w:val="006E3C0F"/>
    <w:rsid w:val="006F58F0"/>
    <w:rsid w:val="00745F1D"/>
    <w:rsid w:val="007715BD"/>
    <w:rsid w:val="007B182F"/>
    <w:rsid w:val="007B7767"/>
    <w:rsid w:val="00832BCD"/>
    <w:rsid w:val="00852438"/>
    <w:rsid w:val="00860964"/>
    <w:rsid w:val="00862FA1"/>
    <w:rsid w:val="00880E88"/>
    <w:rsid w:val="008B199B"/>
    <w:rsid w:val="008E378E"/>
    <w:rsid w:val="008E633F"/>
    <w:rsid w:val="008E79C6"/>
    <w:rsid w:val="009410E9"/>
    <w:rsid w:val="009700EB"/>
    <w:rsid w:val="0097656A"/>
    <w:rsid w:val="00981D3A"/>
    <w:rsid w:val="009A4718"/>
    <w:rsid w:val="009D3BAE"/>
    <w:rsid w:val="009D5D71"/>
    <w:rsid w:val="00A234AB"/>
    <w:rsid w:val="00A37F6A"/>
    <w:rsid w:val="00A55121"/>
    <w:rsid w:val="00A8451B"/>
    <w:rsid w:val="00AB4C35"/>
    <w:rsid w:val="00AD1B4A"/>
    <w:rsid w:val="00B10F66"/>
    <w:rsid w:val="00B23823"/>
    <w:rsid w:val="00B865F7"/>
    <w:rsid w:val="00B87A6C"/>
    <w:rsid w:val="00BA4FE3"/>
    <w:rsid w:val="00BB0019"/>
    <w:rsid w:val="00BC37A5"/>
    <w:rsid w:val="00BE0FB0"/>
    <w:rsid w:val="00C44BC1"/>
    <w:rsid w:val="00C6260C"/>
    <w:rsid w:val="00C84F40"/>
    <w:rsid w:val="00C876D5"/>
    <w:rsid w:val="00C96EE4"/>
    <w:rsid w:val="00C96EFB"/>
    <w:rsid w:val="00CB3436"/>
    <w:rsid w:val="00CF5E93"/>
    <w:rsid w:val="00D20196"/>
    <w:rsid w:val="00D26735"/>
    <w:rsid w:val="00D3240B"/>
    <w:rsid w:val="00D74547"/>
    <w:rsid w:val="00D74C47"/>
    <w:rsid w:val="00DC5B74"/>
    <w:rsid w:val="00DF2B37"/>
    <w:rsid w:val="00DF76DD"/>
    <w:rsid w:val="00E40FB3"/>
    <w:rsid w:val="00E57878"/>
    <w:rsid w:val="00EF63AF"/>
    <w:rsid w:val="00F06D51"/>
    <w:rsid w:val="00F16EC3"/>
    <w:rsid w:val="00F2027E"/>
    <w:rsid w:val="00F87486"/>
    <w:rsid w:val="00FA0953"/>
    <w:rsid w:val="00FA0A5B"/>
    <w:rsid w:val="00FA5D57"/>
    <w:rsid w:val="00FD00BF"/>
    <w:rsid w:val="03402018"/>
    <w:rsid w:val="03DC6E36"/>
    <w:rsid w:val="050D0993"/>
    <w:rsid w:val="05C72B58"/>
    <w:rsid w:val="06311F65"/>
    <w:rsid w:val="06E103BA"/>
    <w:rsid w:val="07605972"/>
    <w:rsid w:val="07955C43"/>
    <w:rsid w:val="0A132BC0"/>
    <w:rsid w:val="0AB36C6F"/>
    <w:rsid w:val="0F5C42F6"/>
    <w:rsid w:val="0F8D2958"/>
    <w:rsid w:val="102A2C87"/>
    <w:rsid w:val="10A04439"/>
    <w:rsid w:val="130D109B"/>
    <w:rsid w:val="13357A72"/>
    <w:rsid w:val="149359C1"/>
    <w:rsid w:val="173D6C9D"/>
    <w:rsid w:val="17BB34F2"/>
    <w:rsid w:val="19410CFB"/>
    <w:rsid w:val="198C2AE7"/>
    <w:rsid w:val="1A7F608A"/>
    <w:rsid w:val="1A927435"/>
    <w:rsid w:val="1AAA4EFA"/>
    <w:rsid w:val="1B3225F5"/>
    <w:rsid w:val="1C5E23FF"/>
    <w:rsid w:val="1D58362E"/>
    <w:rsid w:val="1EFF597F"/>
    <w:rsid w:val="1F155E62"/>
    <w:rsid w:val="1F191481"/>
    <w:rsid w:val="20C67880"/>
    <w:rsid w:val="210707C5"/>
    <w:rsid w:val="24250D35"/>
    <w:rsid w:val="2670514D"/>
    <w:rsid w:val="2A9D341F"/>
    <w:rsid w:val="2AF51F11"/>
    <w:rsid w:val="2B72247C"/>
    <w:rsid w:val="2C037D99"/>
    <w:rsid w:val="2C0F416F"/>
    <w:rsid w:val="2D0A5AFE"/>
    <w:rsid w:val="2E5A47CE"/>
    <w:rsid w:val="30FE4C0D"/>
    <w:rsid w:val="31243AEF"/>
    <w:rsid w:val="32A0274D"/>
    <w:rsid w:val="32E255BC"/>
    <w:rsid w:val="33077799"/>
    <w:rsid w:val="34BF6033"/>
    <w:rsid w:val="35A85ECE"/>
    <w:rsid w:val="38ED5353"/>
    <w:rsid w:val="3C2D76C4"/>
    <w:rsid w:val="3CB42B20"/>
    <w:rsid w:val="411716A6"/>
    <w:rsid w:val="42E56AFC"/>
    <w:rsid w:val="44F762A5"/>
    <w:rsid w:val="45174CC9"/>
    <w:rsid w:val="46742918"/>
    <w:rsid w:val="46904635"/>
    <w:rsid w:val="46D60CB5"/>
    <w:rsid w:val="47A370DA"/>
    <w:rsid w:val="48501BE8"/>
    <w:rsid w:val="48F012A8"/>
    <w:rsid w:val="4C384FC1"/>
    <w:rsid w:val="4DAB2726"/>
    <w:rsid w:val="4DCC5733"/>
    <w:rsid w:val="502E12F2"/>
    <w:rsid w:val="506C32E5"/>
    <w:rsid w:val="526B5DFE"/>
    <w:rsid w:val="531B7BF9"/>
    <w:rsid w:val="53F86365"/>
    <w:rsid w:val="54A94D3C"/>
    <w:rsid w:val="54C97C6E"/>
    <w:rsid w:val="56314C7A"/>
    <w:rsid w:val="58753332"/>
    <w:rsid w:val="59571C20"/>
    <w:rsid w:val="5A3913B8"/>
    <w:rsid w:val="5B7E3E6C"/>
    <w:rsid w:val="5C905C6D"/>
    <w:rsid w:val="5CC507F2"/>
    <w:rsid w:val="5DCC4062"/>
    <w:rsid w:val="5DF65D89"/>
    <w:rsid w:val="5E926F0E"/>
    <w:rsid w:val="5FCF67D0"/>
    <w:rsid w:val="60C24D73"/>
    <w:rsid w:val="621B2F8F"/>
    <w:rsid w:val="62490403"/>
    <w:rsid w:val="63C54D2A"/>
    <w:rsid w:val="649B7C4B"/>
    <w:rsid w:val="65F34A8D"/>
    <w:rsid w:val="678648C1"/>
    <w:rsid w:val="67F66236"/>
    <w:rsid w:val="6AB96C06"/>
    <w:rsid w:val="6DB31D7B"/>
    <w:rsid w:val="6E344DCE"/>
    <w:rsid w:val="70BA0369"/>
    <w:rsid w:val="70F364F5"/>
    <w:rsid w:val="71485CE7"/>
    <w:rsid w:val="731B0F98"/>
    <w:rsid w:val="73DE7728"/>
    <w:rsid w:val="74166F2D"/>
    <w:rsid w:val="750F182E"/>
    <w:rsid w:val="753139E9"/>
    <w:rsid w:val="77F67DAE"/>
    <w:rsid w:val="78D32DA8"/>
    <w:rsid w:val="799B0FEE"/>
    <w:rsid w:val="7AA864EF"/>
    <w:rsid w:val="7B2B6BB2"/>
    <w:rsid w:val="7C7C0A19"/>
    <w:rsid w:val="7FE242B0"/>
    <w:rsid w:val="7FE8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paragraph" w:styleId="2">
    <w:name w:val="heading 1"/>
    <w:basedOn w:val="1"/>
    <w:next w:val="1"/>
    <w:qFormat/>
    <w:uiPriority w:val="9"/>
    <w:pPr>
      <w:spacing w:beforeAutospacing="1" w:afterAutospacing="1"/>
      <w:outlineLvl w:val="0"/>
    </w:pPr>
    <w:rPr>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9">
    <w:name w:val="Strong"/>
    <w:basedOn w:val="8"/>
    <w:qFormat/>
    <w:uiPriority w:val="99"/>
    <w:rPr>
      <w:rFonts w:cs="Times New Roman"/>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widowControl/>
      <w:autoSpaceDE/>
      <w:autoSpaceDN/>
      <w:adjustRightInd/>
      <w:ind w:firstLine="420" w:firstLineChars="200"/>
    </w:pPr>
    <w:rPr>
      <w:rFonts w:hint="default" w:cs="宋体"/>
      <w:szCs w:val="24"/>
    </w:rPr>
  </w:style>
  <w:style w:type="character" w:customStyle="1" w:styleId="14">
    <w:name w:val="批注框文本 Char"/>
    <w:basedOn w:val="8"/>
    <w:link w:val="3"/>
    <w:semiHidden/>
    <w:qFormat/>
    <w:uiPriority w:val="99"/>
    <w:rPr>
      <w:rFonts w:ascii="宋体" w:hAnsi="宋体"/>
      <w:sz w:val="18"/>
      <w:szCs w:val="18"/>
    </w:rPr>
  </w:style>
  <w:style w:type="paragraph" w:customStyle="1" w:styleId="15">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724</Words>
  <Characters>4133</Characters>
  <Lines>34</Lines>
  <Paragraphs>9</Paragraphs>
  <TotalTime>4</TotalTime>
  <ScaleCrop>false</ScaleCrop>
  <LinksUpToDate>false</LinksUpToDate>
  <CharactersWithSpaces>4848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2019-01-16T10:23:00Z</dcterms:created>
  <dc:creator>微软用户</dc:creator>
  <cp:lastModifiedBy>Administrator</cp:lastModifiedBy>
  <dcterms:modified xsi:type="dcterms:W3CDTF">2019-08-14T04:29:25Z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