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48" w:type="dxa"/>
        <w:jc w:val="center"/>
        <w:tblInd w:w="-77" w:type="dxa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248" w:type="dxa"/>
            <w:vAlign w:val="center"/>
          </w:tcPr>
          <w:p>
            <w:pPr>
              <w:autoSpaceDE/>
              <w:autoSpaceDN/>
              <w:jc w:val="center"/>
              <w:rPr>
                <w:rFonts w:hint="default" w:ascii="楷体" w:hAnsi="楷体" w:eastAsia="楷体"/>
                <w:color w:val="FF0000"/>
                <w:sz w:val="90"/>
                <w:szCs w:val="90"/>
              </w:rPr>
            </w:pPr>
            <w:r>
              <w:rPr>
                <w:rFonts w:ascii="楷体" w:hAnsi="楷体" w:eastAsia="楷体" w:cs="宋体"/>
                <w:color w:val="000000" w:themeColor="text1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" w:hAnsi="楷体" w:eastAsia="楷体"/>
                <w:color w:val="FF0000"/>
                <w:sz w:val="90"/>
                <w:szCs w:val="90"/>
              </w:rPr>
              <w:t>中 国 投 资 协 会</w:t>
            </w:r>
          </w:p>
          <w:p>
            <w:pPr>
              <w:autoSpaceDE/>
              <w:autoSpaceDN/>
              <w:jc w:val="center"/>
              <w:rPr>
                <w:rFonts w:hint="default" w:ascii="楷体" w:hAnsi="楷体" w:eastAsia="楷体"/>
                <w:color w:val="FF0000"/>
                <w:sz w:val="66"/>
                <w:szCs w:val="66"/>
              </w:rPr>
            </w:pPr>
            <w:r>
              <w:rPr>
                <w:rFonts w:ascii="楷体" w:hAnsi="楷体" w:eastAsia="楷体"/>
                <w:color w:val="FF0000"/>
                <w:sz w:val="66"/>
                <w:szCs w:val="66"/>
              </w:rPr>
              <w:t>项目投融资专业委员会文件</w:t>
            </w:r>
          </w:p>
          <w:p>
            <w:pPr>
              <w:autoSpaceDE/>
              <w:autoSpaceDN/>
              <w:jc w:val="center"/>
              <w:rPr>
                <w:rFonts w:hint="default" w:ascii="楷体" w:hAnsi="楷体" w:eastAsia="楷体"/>
                <w:color w:val="000000" w:themeColor="text1"/>
                <w:sz w:val="66"/>
                <w:szCs w:val="6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宋体"/>
                <w:sz w:val="30"/>
                <w:szCs w:val="30"/>
              </w:rPr>
              <w:t>投融字〔</w:t>
            </w:r>
            <w:r>
              <w:rPr>
                <w:rFonts w:ascii="楷体" w:hAnsi="楷体" w:eastAsia="楷体"/>
                <w:sz w:val="30"/>
                <w:szCs w:val="30"/>
              </w:rPr>
              <w:t>2019</w:t>
            </w:r>
            <w:r>
              <w:rPr>
                <w:rFonts w:ascii="楷体" w:hAnsi="楷体" w:eastAsia="楷体" w:cs="宋体"/>
                <w:sz w:val="30"/>
                <w:szCs w:val="30"/>
              </w:rPr>
              <w:t>〕8号</w:t>
            </w:r>
          </w:p>
        </w:tc>
      </w:tr>
    </w:tbl>
    <w:p>
      <w:pPr>
        <w:tabs>
          <w:tab w:val="center" w:pos="4153"/>
          <w:tab w:val="right" w:pos="8306"/>
        </w:tabs>
        <w:autoSpaceDE/>
        <w:autoSpaceDN/>
        <w:spacing w:line="420" w:lineRule="exact"/>
        <w:jc w:val="center"/>
        <w:rPr>
          <w:rFonts w:hint="default" w:asciiTheme="majorHAnsi" w:hAnsiTheme="majorHAnsi" w:cstheme="majorBidi"/>
          <w:b/>
          <w:bCs/>
          <w:kern w:val="2"/>
          <w:sz w:val="30"/>
          <w:szCs w:val="30"/>
        </w:rPr>
      </w:pPr>
    </w:p>
    <w:p>
      <w:pPr>
        <w:tabs>
          <w:tab w:val="center" w:pos="4153"/>
          <w:tab w:val="right" w:pos="8306"/>
        </w:tabs>
        <w:autoSpaceDE/>
        <w:autoSpaceDN/>
        <w:spacing w:line="420" w:lineRule="exact"/>
        <w:jc w:val="center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Theme="majorEastAsia" w:hAnsiTheme="majorEastAsia" w:eastAsiaTheme="majorEastAsia" w:cstheme="majorEastAsia"/>
          <w:b/>
          <w:bCs/>
          <w:kern w:val="2"/>
          <w:sz w:val="36"/>
          <w:szCs w:val="36"/>
        </w:rPr>
        <w:t>关于举办“《自然资源‘十四五’规划编制工作方案》         与国土空间规划改革及创新编制方法专题培训班”的通知</w:t>
      </w:r>
    </w:p>
    <w:p>
      <w:pPr>
        <w:tabs>
          <w:tab w:val="center" w:pos="4153"/>
          <w:tab w:val="right" w:pos="8306"/>
        </w:tabs>
        <w:autoSpaceDE/>
        <w:autoSpaceDN/>
        <w:spacing w:line="420" w:lineRule="exact"/>
        <w:jc w:val="center"/>
        <w:rPr>
          <w:rFonts w:hint="default" w:ascii="黑体" w:hAnsi="黑体" w:eastAsia="黑体" w:cs="黑体"/>
          <w:kern w:val="2"/>
          <w:sz w:val="30"/>
          <w:szCs w:val="30"/>
        </w:rPr>
      </w:pPr>
    </w:p>
    <w:p>
      <w:pPr>
        <w:autoSpaceDE/>
        <w:autoSpaceDN/>
        <w:adjustRightInd/>
        <w:spacing w:line="360" w:lineRule="exact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各有关单位: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为贯彻落实《中共中央 国务院关于建立国土空间规划体系并监督实施的若干意见》（中发</w:t>
      </w:r>
      <w:bookmarkStart w:id="0" w:name="OLE_LINK1"/>
      <w:r>
        <w:rPr>
          <w:rFonts w:ascii="仿宋" w:hAnsi="仿宋" w:eastAsia="仿宋" w:cs="仿宋"/>
          <w:kern w:val="2"/>
          <w:sz w:val="28"/>
          <w:szCs w:val="28"/>
        </w:rPr>
        <w:t>〔2019〕</w:t>
      </w:r>
      <w:bookmarkEnd w:id="0"/>
      <w:r>
        <w:rPr>
          <w:rFonts w:ascii="仿宋" w:hAnsi="仿宋" w:eastAsia="仿宋" w:cs="仿宋"/>
          <w:kern w:val="2"/>
          <w:sz w:val="28"/>
          <w:szCs w:val="28"/>
        </w:rPr>
        <w:t>18号</w:t>
      </w:r>
      <w:r>
        <w:rPr>
          <w:rFonts w:ascii="仿宋" w:hAnsi="仿宋" w:eastAsia="仿宋" w:cstheme="minorBidi"/>
          <w:kern w:val="2"/>
          <w:sz w:val="28"/>
          <w:szCs w:val="28"/>
        </w:rPr>
        <w:t>）关于“</w:t>
      </w:r>
      <w:bookmarkStart w:id="1" w:name="OLE_LINK2"/>
      <w:r>
        <w:rPr>
          <w:rFonts w:ascii="仿宋" w:hAnsi="仿宋" w:eastAsia="仿宋" w:cstheme="minorBidi"/>
          <w:kern w:val="2"/>
          <w:sz w:val="28"/>
          <w:szCs w:val="28"/>
        </w:rPr>
        <w:t>建立国土空间规划体系并监督实施，将主体功能区规划、土地利用规划、城乡规划等空间规划融合为统一的国土空间规划，</w:t>
      </w:r>
      <w:bookmarkEnd w:id="1"/>
      <w:r>
        <w:rPr>
          <w:rFonts w:ascii="仿宋" w:hAnsi="仿宋" w:eastAsia="仿宋" w:cstheme="minorBidi"/>
          <w:kern w:val="2"/>
          <w:sz w:val="28"/>
          <w:szCs w:val="28"/>
        </w:rPr>
        <w:t>实现</w:t>
      </w:r>
      <w:r>
        <w:rPr>
          <w:rFonts w:cs="宋体"/>
          <w:kern w:val="2"/>
          <w:sz w:val="28"/>
          <w:szCs w:val="28"/>
        </w:rPr>
        <w:t>‘</w:t>
      </w:r>
      <w:r>
        <w:rPr>
          <w:rFonts w:ascii="仿宋" w:hAnsi="仿宋" w:eastAsia="仿宋" w:cstheme="minorBidi"/>
          <w:kern w:val="2"/>
          <w:sz w:val="28"/>
          <w:szCs w:val="28"/>
        </w:rPr>
        <w:t>多规合一</w:t>
      </w:r>
      <w:r>
        <w:rPr>
          <w:rFonts w:cs="宋体"/>
          <w:kern w:val="2"/>
          <w:sz w:val="28"/>
          <w:szCs w:val="28"/>
        </w:rPr>
        <w:t>’</w:t>
      </w:r>
      <w:r>
        <w:rPr>
          <w:rFonts w:ascii="仿宋" w:hAnsi="仿宋" w:eastAsia="仿宋" w:cstheme="minorBidi"/>
          <w:kern w:val="2"/>
          <w:sz w:val="28"/>
          <w:szCs w:val="28"/>
        </w:rPr>
        <w:t>，强化国土空间规划对各专项规划的指导约束作用”的相关要求，深入学习自然资源部《自然资源“十四五”规划编制工作方案》以及住建部《城市居住区规划设计标准》等文件精神，中国投资协会项目投融资专业委员会</w:t>
      </w:r>
      <w:r>
        <w:rPr>
          <w:rFonts w:ascii="仿宋" w:hAnsi="仿宋" w:eastAsia="仿宋" w:cs="仿宋"/>
          <w:bCs/>
          <w:kern w:val="2"/>
          <w:sz w:val="28"/>
          <w:szCs w:val="28"/>
        </w:rPr>
        <w:t>会同</w:t>
      </w:r>
      <w:r>
        <w:rPr>
          <w:rFonts w:ascii="仿宋" w:hAnsi="仿宋" w:eastAsia="仿宋" w:cstheme="minorBidi"/>
          <w:kern w:val="2"/>
          <w:sz w:val="28"/>
          <w:szCs w:val="28"/>
        </w:rPr>
        <w:t>北京中科鼎创管理咨询有限公司举办“《自然资源‘十四五’规划编制工作方案》与国土空间规划改革及创新编制方法专题培训班”。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本次培训旨在帮助有关单位学习国家关于国土空间规划相关政策、全面履行自然资源管理“两统一”职责、明确规划编制主要任务、掌握科学规划编制技术与方法、创新规划内容与形式，推动国土空间规划管理的科学性、前瞻性和整体性，促进自然资源合理利用和保护，提升自然资源对国民经济和社会发展的保障能力，编制出符合时代要求的高质量规划。现将具体培训事项通知如下：</w:t>
      </w:r>
    </w:p>
    <w:p>
      <w:pPr>
        <w:numPr>
          <w:ilvl w:val="0"/>
          <w:numId w:val="1"/>
        </w:num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黑体" w:hAnsi="黑体" w:eastAsia="黑体" w:cs="黑体"/>
          <w:bCs/>
          <w:kern w:val="2"/>
          <w:sz w:val="28"/>
          <w:szCs w:val="28"/>
        </w:rPr>
      </w:pPr>
      <w:r>
        <w:rPr>
          <w:rFonts w:ascii="黑体" w:hAnsi="黑体" w:eastAsia="黑体" w:cs="黑体"/>
          <w:bCs/>
          <w:kern w:val="2"/>
          <w:sz w:val="28"/>
          <w:szCs w:val="28"/>
        </w:rPr>
        <w:t>组织机构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主办单位：中国投资协会项目投融资专业委员会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承办单位：北京中科鼎创管理咨询有限公司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bCs/>
          <w:kern w:val="2"/>
          <w:sz w:val="28"/>
          <w:szCs w:val="28"/>
        </w:rPr>
      </w:pPr>
      <w:r>
        <w:rPr>
          <w:rFonts w:ascii="黑体" w:hAnsi="黑体" w:eastAsia="黑体" w:cs="黑体"/>
          <w:bCs/>
          <w:kern w:val="2"/>
          <w:sz w:val="28"/>
          <w:szCs w:val="28"/>
        </w:rPr>
        <w:t>二、培训内容</w:t>
      </w:r>
      <w:r>
        <w:rPr>
          <w:rFonts w:ascii="楷体" w:hAnsi="楷体" w:eastAsia="楷体" w:cs="楷体"/>
          <w:bCs/>
          <w:kern w:val="2"/>
          <w:sz w:val="28"/>
          <w:szCs w:val="28"/>
        </w:rPr>
        <w:t>（详细内容见附件）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1.《中共中央 国务院关于建立国土空间规划体系并监督实施的若干意见》（中发</w:t>
      </w:r>
      <w:r>
        <w:rPr>
          <w:rFonts w:ascii="仿宋" w:hAnsi="仿宋" w:eastAsia="仿宋" w:cs="仿宋"/>
          <w:kern w:val="2"/>
          <w:sz w:val="28"/>
          <w:szCs w:val="28"/>
        </w:rPr>
        <w:t>〔2019〕18号</w:t>
      </w:r>
      <w:r>
        <w:rPr>
          <w:rFonts w:ascii="仿宋" w:hAnsi="仿宋" w:eastAsia="仿宋" w:cstheme="minorBidi"/>
          <w:kern w:val="2"/>
          <w:sz w:val="28"/>
          <w:szCs w:val="28"/>
        </w:rPr>
        <w:t>）解析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2.《自然资源“十四五”规划编制工作方案》要点解析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3.</w:t>
      </w:r>
      <w:bookmarkStart w:id="2" w:name="OLE_LINK3"/>
      <w:r>
        <w:rPr>
          <w:rFonts w:ascii="仿宋" w:hAnsi="仿宋" w:eastAsia="仿宋" w:cstheme="minorBidi"/>
          <w:kern w:val="2"/>
          <w:sz w:val="28"/>
          <w:szCs w:val="28"/>
        </w:rPr>
        <w:t>以创新思路驱动经济体系建设及规划编制</w:t>
      </w:r>
      <w:bookmarkEnd w:id="2"/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4.</w:t>
      </w:r>
      <w:bookmarkStart w:id="3" w:name="OLE_LINK4"/>
      <w:r>
        <w:rPr>
          <w:rFonts w:ascii="仿宋" w:hAnsi="仿宋" w:eastAsia="仿宋" w:cstheme="minorBidi"/>
          <w:kern w:val="2"/>
          <w:sz w:val="28"/>
          <w:szCs w:val="28"/>
        </w:rPr>
        <w:t>区域发展规划编制及案例</w:t>
      </w:r>
      <w:bookmarkEnd w:id="3"/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5.经济社会发展规划编制及案例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6.专项规划编制及案例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7.产业园区规划编制及案例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8.国土空间规划编制及案例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黑体" w:hAnsi="黑体" w:eastAsia="黑体" w:cs="黑体"/>
          <w:bCs/>
          <w:kern w:val="2"/>
          <w:sz w:val="28"/>
          <w:szCs w:val="28"/>
        </w:rPr>
      </w:pPr>
      <w:r>
        <w:rPr>
          <w:rFonts w:ascii="黑体" w:hAnsi="黑体" w:eastAsia="黑体" w:cs="黑体"/>
          <w:bCs/>
          <w:kern w:val="2"/>
          <w:sz w:val="28"/>
          <w:szCs w:val="28"/>
        </w:rPr>
        <w:t xml:space="preserve">三、培训范围 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1.各地自然资源相关部门负责人；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2.各地土地储备机构负责人；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3.各工程咨询机构、规划编制机构、勘察设计测绘机构、规划研究科研院所等方面负责人；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4.与规划编制相关的项目建设、运营管理、投融资机构等方面负责人。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黑体" w:hAnsi="黑体" w:eastAsia="黑体" w:cs="黑体"/>
          <w:bCs/>
          <w:kern w:val="2"/>
          <w:sz w:val="28"/>
          <w:szCs w:val="28"/>
        </w:rPr>
      </w:pPr>
      <w:r>
        <w:rPr>
          <w:rFonts w:ascii="黑体" w:hAnsi="黑体" w:eastAsia="黑体" w:cs="黑体"/>
          <w:bCs/>
          <w:kern w:val="2"/>
          <w:sz w:val="28"/>
          <w:szCs w:val="28"/>
        </w:rPr>
        <w:t xml:space="preserve">四、授课专家                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拟邀请国家发改委、自然资源部、住房和城乡建设部、城市规划院、行业协会等经验丰富的专家和学者授课，并针对热点和难点问题进行交流和解答。</w:t>
      </w:r>
    </w:p>
    <w:p>
      <w:pPr>
        <w:autoSpaceDE/>
        <w:autoSpaceDN/>
        <w:adjustRightInd/>
        <w:spacing w:line="360" w:lineRule="exact"/>
        <w:ind w:firstLine="560" w:firstLineChars="200"/>
        <w:jc w:val="both"/>
        <w:rPr>
          <w:rFonts w:hint="default" w:ascii="黑体" w:hAnsi="黑体" w:eastAsia="黑体" w:cs="黑体"/>
          <w:bCs/>
          <w:kern w:val="2"/>
          <w:sz w:val="28"/>
          <w:szCs w:val="28"/>
        </w:rPr>
      </w:pPr>
      <w:r>
        <w:rPr>
          <w:rFonts w:ascii="黑体" w:hAnsi="黑体" w:eastAsia="黑体" w:cs="黑体"/>
          <w:bCs/>
          <w:kern w:val="2"/>
          <w:sz w:val="28"/>
          <w:szCs w:val="28"/>
        </w:rPr>
        <w:t>五、时间地点</w:t>
      </w:r>
    </w:p>
    <w:p>
      <w:pPr>
        <w:autoSpaceDE/>
        <w:autoSpaceDN/>
        <w:adjustRightInd/>
        <w:spacing w:line="360" w:lineRule="exact"/>
        <w:ind w:firstLine="280" w:firstLineChars="1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第一期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 xml:space="preserve">  2019年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>9月20日—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>9月24日（20日报到</w:t>
      </w:r>
      <w:r>
        <w:rPr>
          <w:rFonts w:ascii="仿宋" w:hAnsi="仿宋" w:eastAsia="仿宋" w:cstheme="minorBidi"/>
          <w:kern w:val="2"/>
          <w:sz w:val="28"/>
          <w:szCs w:val="28"/>
        </w:rPr>
        <w:t>，24日返程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 xml:space="preserve">） </w:t>
      </w:r>
      <w:r>
        <w:rPr>
          <w:rFonts w:ascii="仿宋" w:hAnsi="仿宋" w:eastAsia="仿宋" w:cstheme="minorBidi"/>
          <w:kern w:val="2"/>
          <w:sz w:val="28"/>
          <w:szCs w:val="28"/>
        </w:rPr>
        <w:t>成都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>市</w:t>
      </w:r>
    </w:p>
    <w:p>
      <w:pPr>
        <w:autoSpaceDE/>
        <w:autoSpaceDN/>
        <w:adjustRightInd/>
        <w:spacing w:line="360" w:lineRule="exact"/>
        <w:ind w:firstLine="280" w:firstLineChars="1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第二期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 xml:space="preserve">  2019年10月25日—10月29日（25日报到</w:t>
      </w:r>
      <w:r>
        <w:rPr>
          <w:rFonts w:ascii="仿宋" w:hAnsi="仿宋" w:eastAsia="仿宋" w:cstheme="minorBidi"/>
          <w:kern w:val="2"/>
          <w:sz w:val="28"/>
          <w:szCs w:val="28"/>
        </w:rPr>
        <w:t>，29日返程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>） 南宁市</w:t>
      </w:r>
    </w:p>
    <w:p>
      <w:pPr>
        <w:autoSpaceDE/>
        <w:autoSpaceDN/>
        <w:adjustRightInd/>
        <w:spacing w:line="360" w:lineRule="exact"/>
        <w:ind w:firstLine="280" w:firstLineChars="100"/>
        <w:jc w:val="both"/>
        <w:rPr>
          <w:rFonts w:hint="default" w:ascii="仿宋" w:hAnsi="仿宋" w:eastAsia="仿宋" w:cstheme="minorBidi"/>
          <w:kern w:val="2"/>
          <w:sz w:val="28"/>
          <w:szCs w:val="28"/>
          <w:lang w:val="zh-CN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第三期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 xml:space="preserve">  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2019年11月21日—</w:t>
      </w:r>
      <w:r>
        <w:rPr>
          <w:rFonts w:ascii="仿宋" w:hAnsi="仿宋" w:eastAsia="仿宋" w:cstheme="minorBidi"/>
          <w:kern w:val="2"/>
          <w:sz w:val="28"/>
          <w:szCs w:val="28"/>
        </w:rPr>
        <w:t>11月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2</w:t>
      </w:r>
      <w:r>
        <w:rPr>
          <w:rFonts w:ascii="仿宋" w:hAnsi="仿宋" w:eastAsia="仿宋" w:cstheme="minorBidi"/>
          <w:kern w:val="2"/>
          <w:sz w:val="28"/>
          <w:szCs w:val="28"/>
        </w:rPr>
        <w:t>5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日（21日报到，</w:t>
      </w:r>
      <w:r>
        <w:rPr>
          <w:rFonts w:ascii="仿宋" w:hAnsi="仿宋" w:eastAsia="仿宋" w:cstheme="minorBidi"/>
          <w:kern w:val="2"/>
          <w:sz w:val="28"/>
          <w:szCs w:val="28"/>
        </w:rPr>
        <w:t>25日返程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） 厦门市</w:t>
      </w:r>
    </w:p>
    <w:p>
      <w:pPr>
        <w:autoSpaceDE/>
        <w:autoSpaceDN/>
        <w:adjustRightInd/>
        <w:spacing w:line="360" w:lineRule="exact"/>
        <w:ind w:firstLine="280" w:firstLineChars="100"/>
        <w:jc w:val="both"/>
        <w:rPr>
          <w:rFonts w:hint="default" w:ascii="仿宋" w:hAnsi="仿宋" w:eastAsia="仿宋" w:cstheme="minorBidi"/>
          <w:kern w:val="2"/>
          <w:sz w:val="28"/>
          <w:szCs w:val="28"/>
          <w:lang w:val="zh-CN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第四期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 xml:space="preserve">  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2019年12月19日—</w:t>
      </w:r>
      <w:r>
        <w:rPr>
          <w:rFonts w:ascii="仿宋" w:hAnsi="仿宋" w:eastAsia="仿宋" w:cstheme="minorBidi"/>
          <w:kern w:val="2"/>
          <w:sz w:val="28"/>
          <w:szCs w:val="28"/>
        </w:rPr>
        <w:t>12月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2</w:t>
      </w:r>
      <w:r>
        <w:rPr>
          <w:rFonts w:ascii="仿宋" w:hAnsi="仿宋" w:eastAsia="仿宋" w:cstheme="minorBidi"/>
          <w:kern w:val="2"/>
          <w:sz w:val="28"/>
          <w:szCs w:val="28"/>
        </w:rPr>
        <w:t>3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日（19日报到，</w:t>
      </w:r>
      <w:r>
        <w:rPr>
          <w:rFonts w:ascii="仿宋" w:hAnsi="仿宋" w:eastAsia="仿宋" w:cstheme="minorBidi"/>
          <w:kern w:val="2"/>
          <w:sz w:val="28"/>
          <w:szCs w:val="28"/>
        </w:rPr>
        <w:t>23日返程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）</w:t>
      </w:r>
      <w:r>
        <w:rPr>
          <w:rFonts w:ascii="仿宋" w:hAnsi="仿宋" w:eastAsia="仿宋" w:cstheme="minorBidi"/>
          <w:kern w:val="2"/>
          <w:sz w:val="28"/>
          <w:szCs w:val="28"/>
        </w:rPr>
        <w:t xml:space="preserve"> 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杭州市</w:t>
      </w:r>
    </w:p>
    <w:p>
      <w:pPr>
        <w:autoSpaceDE/>
        <w:autoSpaceDN/>
        <w:adjustRightInd/>
        <w:spacing w:line="360" w:lineRule="exact"/>
        <w:ind w:firstLine="280" w:firstLineChars="100"/>
        <w:jc w:val="both"/>
        <w:rPr>
          <w:rFonts w:hint="default" w:ascii="仿宋" w:hAnsi="仿宋" w:eastAsia="仿宋" w:cstheme="minorBidi"/>
          <w:kern w:val="2"/>
          <w:sz w:val="28"/>
          <w:szCs w:val="28"/>
          <w:lang w:val="zh-CN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第五期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 xml:space="preserve">  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2020年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0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1月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0</w:t>
      </w:r>
      <w:r>
        <w:rPr>
          <w:rFonts w:ascii="仿宋" w:hAnsi="仿宋" w:eastAsia="仿宋" w:cstheme="minorBidi"/>
          <w:kern w:val="2"/>
          <w:sz w:val="28"/>
          <w:szCs w:val="28"/>
        </w:rPr>
        <w:t>8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日—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0</w:t>
      </w:r>
      <w:r>
        <w:rPr>
          <w:rFonts w:ascii="仿宋" w:hAnsi="仿宋" w:eastAsia="仿宋" w:cstheme="minorBidi"/>
          <w:kern w:val="2"/>
          <w:sz w:val="28"/>
          <w:szCs w:val="28"/>
        </w:rPr>
        <w:t>1月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12日（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0</w:t>
      </w:r>
      <w:r>
        <w:rPr>
          <w:rFonts w:ascii="仿宋" w:hAnsi="仿宋" w:eastAsia="仿宋" w:cstheme="minorBidi"/>
          <w:kern w:val="2"/>
          <w:sz w:val="28"/>
          <w:szCs w:val="28"/>
        </w:rPr>
        <w:t>8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日报到，</w:t>
      </w:r>
      <w:r>
        <w:rPr>
          <w:rFonts w:ascii="仿宋" w:hAnsi="仿宋" w:eastAsia="仿宋" w:cstheme="minorBidi"/>
          <w:kern w:val="2"/>
          <w:sz w:val="28"/>
          <w:szCs w:val="28"/>
        </w:rPr>
        <w:t>12日返程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）</w:t>
      </w:r>
      <w:r>
        <w:rPr>
          <w:rFonts w:ascii="仿宋" w:hAnsi="仿宋" w:eastAsia="仿宋" w:cstheme="minorBidi"/>
          <w:kern w:val="2"/>
          <w:sz w:val="28"/>
          <w:szCs w:val="28"/>
        </w:rPr>
        <w:t xml:space="preserve"> </w:t>
      </w:r>
      <w:r>
        <w:rPr>
          <w:rFonts w:ascii="仿宋" w:hAnsi="仿宋" w:eastAsia="仿宋" w:cstheme="minorBidi"/>
          <w:kern w:val="2"/>
          <w:sz w:val="28"/>
          <w:szCs w:val="28"/>
          <w:lang w:val="zh-CN"/>
        </w:rPr>
        <w:t>海口市</w:t>
      </w:r>
    </w:p>
    <w:p>
      <w:pPr>
        <w:tabs>
          <w:tab w:val="left" w:pos="567"/>
          <w:tab w:val="left" w:pos="709"/>
        </w:tabs>
        <w:autoSpaceDE/>
        <w:autoSpaceDN/>
        <w:adjustRightInd/>
        <w:spacing w:line="360" w:lineRule="exact"/>
        <w:ind w:firstLine="560" w:firstLineChars="200"/>
        <w:textAlignment w:val="baseline"/>
        <w:outlineLvl w:val="0"/>
        <w:rPr>
          <w:rFonts w:hint="default" w:ascii="黑体" w:hAnsi="黑体" w:eastAsia="黑体" w:cs="黑体"/>
          <w:bCs/>
          <w:color w:val="000000"/>
          <w:sz w:val="28"/>
          <w:szCs w:val="28"/>
        </w:rPr>
      </w:pPr>
      <w:r>
        <w:rPr>
          <w:rFonts w:ascii="黑体" w:hAnsi="黑体" w:eastAsia="黑体" w:cs="黑体"/>
          <w:bCs/>
          <w:color w:val="000000"/>
          <w:sz w:val="28"/>
          <w:szCs w:val="28"/>
        </w:rPr>
        <w:t>六、相关事宜</w:t>
      </w:r>
    </w:p>
    <w:p>
      <w:pPr>
        <w:pStyle w:val="16"/>
        <w:autoSpaceDE/>
        <w:autoSpaceDN/>
        <w:spacing w:line="360" w:lineRule="exact"/>
        <w:ind w:firstLine="560"/>
        <w:outlineLvl w:val="0"/>
        <w:rPr>
          <w:rFonts w:hint="default" w:ascii="楷体" w:hAnsi="楷体" w:eastAsia="楷体" w:cs="楷体"/>
          <w:b/>
          <w:bCs w:val="0"/>
          <w:color w:val="000000"/>
          <w:kern w:val="2"/>
          <w:sz w:val="28"/>
          <w:szCs w:val="28"/>
        </w:rPr>
      </w:pPr>
      <w:r>
        <w:rPr>
          <w:rFonts w:ascii="楷体" w:hAnsi="楷体" w:eastAsia="楷体" w:cs="楷体"/>
          <w:b/>
          <w:bCs w:val="0"/>
          <w:color w:val="000000"/>
          <w:kern w:val="2"/>
          <w:sz w:val="28"/>
          <w:szCs w:val="28"/>
        </w:rPr>
        <w:t>（一）培训费用</w:t>
      </w:r>
    </w:p>
    <w:p>
      <w:pPr>
        <w:pStyle w:val="16"/>
        <w:autoSpaceDE/>
        <w:autoSpaceDN/>
        <w:spacing w:line="360" w:lineRule="exact"/>
        <w:ind w:firstLine="560"/>
        <w:outlineLvl w:val="0"/>
        <w:rPr>
          <w:rFonts w:hint="default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</w:pPr>
      <w:r>
        <w:rPr>
          <w:rFonts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  <w:t>A.2800元/人（含培训、资料、电子课件、场地），食宿统一安排，费用自理。</w:t>
      </w:r>
    </w:p>
    <w:p>
      <w:pPr>
        <w:pStyle w:val="16"/>
        <w:autoSpaceDE/>
        <w:autoSpaceDN/>
        <w:spacing w:line="360" w:lineRule="exact"/>
        <w:ind w:firstLine="560"/>
        <w:outlineLvl w:val="0"/>
        <w:rPr>
          <w:rFonts w:hint="default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</w:pPr>
      <w:r>
        <w:rPr>
          <w:rFonts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  <w:t>B.4980元/人（含培训、资料、电子课件、场地、食宿），住宿为双人标间，如单人入住补交差价。</w:t>
      </w:r>
    </w:p>
    <w:p>
      <w:pPr>
        <w:pStyle w:val="16"/>
        <w:autoSpaceDE/>
        <w:autoSpaceDN/>
        <w:spacing w:line="360" w:lineRule="exact"/>
        <w:ind w:firstLine="560"/>
        <w:outlineLvl w:val="0"/>
        <w:rPr>
          <w:rFonts w:hint="default" w:ascii="楷体" w:hAnsi="楷体" w:eastAsia="楷体" w:cs="楷体"/>
          <w:b/>
          <w:bCs w:val="0"/>
          <w:color w:val="000000"/>
          <w:kern w:val="2"/>
          <w:sz w:val="28"/>
          <w:szCs w:val="28"/>
        </w:rPr>
      </w:pPr>
      <w:r>
        <w:rPr>
          <w:rFonts w:ascii="楷体" w:hAnsi="楷体" w:eastAsia="楷体" w:cs="楷体"/>
          <w:b/>
          <w:bCs w:val="0"/>
          <w:color w:val="000000"/>
          <w:kern w:val="2"/>
          <w:sz w:val="28"/>
          <w:szCs w:val="28"/>
        </w:rPr>
        <w:t>（二）联系方式</w:t>
      </w:r>
      <w:bookmarkStart w:id="4" w:name="_GoBack"/>
      <w:bookmarkEnd w:id="4"/>
    </w:p>
    <w:p>
      <w:pPr>
        <w:widowControl/>
        <w:autoSpaceDE/>
        <w:autoSpaceDN/>
        <w:spacing w:line="360" w:lineRule="exact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  <w:t>报名联系人：聂红军 主任 18211071700（微信）       邮  箱：zqgphwz@126.com</w:t>
      </w:r>
    </w:p>
    <w:p>
      <w:pPr>
        <w:widowControl/>
        <w:autoSpaceDE/>
        <w:autoSpaceDN/>
        <w:spacing w:line="360" w:lineRule="exact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  <w:t xml:space="preserve">电话（传真）：010-87697580                     qq咨询：3177524020   </w:t>
      </w:r>
    </w:p>
    <w:p>
      <w:pPr>
        <w:widowControl/>
        <w:autoSpaceDE/>
        <w:autoSpaceDN/>
        <w:spacing w:line="360" w:lineRule="exact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</w:rPr>
        <w:t xml:space="preserve">网址查询：http://www.zqgpchina.cn/  </w:t>
      </w:r>
    </w:p>
    <w:p>
      <w:pPr>
        <w:widowControl/>
        <w:autoSpaceDE/>
        <w:autoSpaceDN/>
        <w:spacing w:line="36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</w:rPr>
        <w:t xml:space="preserve">  </w:t>
      </w:r>
    </w:p>
    <w:p>
      <w:pPr>
        <w:widowControl/>
        <w:autoSpaceDE/>
        <w:autoSpaceDN/>
        <w:spacing w:line="360" w:lineRule="exact"/>
        <w:jc w:val="both"/>
        <w:rPr>
          <w:rFonts w:hint="default" w:ascii="黑体" w:hAnsi="黑体" w:eastAsia="黑体" w:cs="黑体"/>
          <w:bCs/>
          <w:color w:val="000000"/>
          <w:kern w:val="2"/>
          <w:sz w:val="28"/>
          <w:szCs w:val="28"/>
        </w:rPr>
      </w:pPr>
      <w:r>
        <w:rPr>
          <w:rFonts w:ascii="黑体" w:hAnsi="黑体" w:eastAsia="黑体" w:cs="黑体"/>
          <w:bCs/>
          <w:color w:val="000000"/>
          <w:kern w:val="2"/>
          <w:sz w:val="28"/>
          <w:szCs w:val="28"/>
        </w:rPr>
        <w:t>附件：</w:t>
      </w:r>
    </w:p>
    <w:p>
      <w:pPr>
        <w:widowControl/>
        <w:autoSpaceDE/>
        <w:autoSpaceDN/>
        <w:spacing w:line="360" w:lineRule="exact"/>
        <w:ind w:firstLine="560" w:firstLineChars="200"/>
        <w:jc w:val="both"/>
        <w:rPr>
          <w:rFonts w:hint="default" w:ascii="仿宋_GB2312" w:hAnsi="仿宋_GB2312" w:eastAsia="仿宋_GB2312" w:cs="仿宋_GB2312"/>
          <w:bCs/>
          <w:color w:val="000000"/>
          <w:kern w:val="2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</w:rPr>
        <w:t>1.培训内容</w:t>
      </w:r>
    </w:p>
    <w:p>
      <w:pPr>
        <w:widowControl/>
        <w:autoSpaceDE/>
        <w:autoSpaceDN/>
        <w:spacing w:line="360" w:lineRule="exact"/>
        <w:ind w:firstLine="560" w:firstLineChars="200"/>
        <w:jc w:val="both"/>
        <w:rPr>
          <w:rFonts w:hint="default" w:ascii="仿宋_GB2312" w:hAnsi="仿宋_GB2312" w:eastAsia="仿宋_GB2312" w:cs="仿宋_GB2312"/>
          <w:bCs/>
          <w:color w:val="000000"/>
          <w:kern w:val="2"/>
          <w:sz w:val="28"/>
          <w:szCs w:val="28"/>
          <w:lang w:val="zh-CN"/>
        </w:rPr>
      </w:pPr>
      <w:r>
        <w:rPr>
          <w:rFonts w:ascii="仿宋" w:hAnsi="仿宋" w:eastAsia="仿宋" w:cs="仿宋"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396240</wp:posOffset>
            </wp:positionV>
            <wp:extent cx="7879080" cy="1729740"/>
            <wp:effectExtent l="0" t="0" r="7620" b="3810"/>
            <wp:wrapNone/>
            <wp:docPr id="1" name="图片 1" descr="C:\Users\ADMINI~1\AppData\Local\Temp\WeChat Files\aed39122009587fbb8a59670b9f67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aed39122009587fbb8a59670b9f677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908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</w:rPr>
        <w:t>2.</w:t>
      </w:r>
      <w:r>
        <w:rPr>
          <w:rFonts w:ascii="仿宋" w:hAnsi="仿宋" w:eastAsia="仿宋" w:cstheme="minorBidi"/>
          <w:kern w:val="2"/>
          <w:sz w:val="28"/>
          <w:szCs w:val="28"/>
        </w:rPr>
        <w:t>《自然资源‘十四五’规划编制工作方案》与国土空间规划改革及创新编制方法专题培训班</w:t>
      </w:r>
      <w:r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zh-CN"/>
        </w:rPr>
        <w:t>报名回执表</w:t>
      </w:r>
    </w:p>
    <w:p>
      <w:pPr>
        <w:widowControl/>
        <w:autoSpaceDE/>
        <w:autoSpaceDN/>
        <w:spacing w:line="360" w:lineRule="exact"/>
        <w:jc w:val="center"/>
        <w:rPr>
          <w:rStyle w:val="8"/>
          <w:rFonts w:hint="default" w:cs="宋体"/>
          <w:color w:val="000000"/>
          <w:sz w:val="28"/>
          <w:szCs w:val="28"/>
          <w:lang w:val="zh-CN"/>
        </w:rPr>
      </w:pPr>
    </w:p>
    <w:p>
      <w:pPr>
        <w:widowControl/>
        <w:autoSpaceDE/>
        <w:autoSpaceDN/>
        <w:spacing w:line="360" w:lineRule="exact"/>
        <w:jc w:val="center"/>
        <w:rPr>
          <w:rStyle w:val="8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cs="宋体"/>
          <w:color w:val="000000"/>
          <w:sz w:val="28"/>
          <w:szCs w:val="28"/>
        </w:rPr>
        <w:t xml:space="preserve">                            </w:t>
      </w:r>
      <w:r>
        <w:rPr>
          <w:rStyle w:val="8"/>
          <w:rFonts w:ascii="仿宋" w:hAnsi="仿宋" w:eastAsia="仿宋" w:cs="仿宋"/>
          <w:b w:val="0"/>
          <w:bCs w:val="0"/>
          <w:color w:val="000000"/>
          <w:sz w:val="28"/>
          <w:szCs w:val="28"/>
        </w:rPr>
        <w:t xml:space="preserve"> </w:t>
      </w:r>
    </w:p>
    <w:p>
      <w:pPr>
        <w:widowControl/>
        <w:autoSpaceDE/>
        <w:autoSpaceDN/>
        <w:spacing w:line="360" w:lineRule="exact"/>
        <w:jc w:val="center"/>
        <w:rPr>
          <w:rStyle w:val="8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560" w:lineRule="exact"/>
        <w:jc w:val="center"/>
        <w:rPr>
          <w:rStyle w:val="8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</w:p>
    <w:p>
      <w:pPr>
        <w:widowControl/>
        <w:spacing w:line="520" w:lineRule="exact"/>
        <w:rPr>
          <w:rFonts w:ascii="黑体" w:hAnsi="黑体" w:eastAsia="黑体" w:cs="黑体"/>
          <w:bCs/>
          <w:color w:val="000000"/>
          <w:sz w:val="28"/>
          <w:szCs w:val="28"/>
        </w:rPr>
      </w:pPr>
    </w:p>
    <w:p>
      <w:pPr>
        <w:widowControl/>
        <w:spacing w:line="520" w:lineRule="exact"/>
        <w:rPr>
          <w:rFonts w:hint="default" w:ascii="仿宋" w:hAnsi="仿宋" w:eastAsia="仿宋" w:cs="宋体"/>
          <w:b/>
          <w:color w:val="000000"/>
          <w:sz w:val="28"/>
          <w:szCs w:val="28"/>
        </w:rPr>
      </w:pPr>
      <w:r>
        <w:rPr>
          <w:rFonts w:ascii="黑体" w:hAnsi="黑体" w:eastAsia="黑体" w:cs="黑体"/>
          <w:bCs/>
          <w:color w:val="000000"/>
          <w:sz w:val="28"/>
          <w:szCs w:val="28"/>
        </w:rPr>
        <w:t>附件1. 培训内容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b/>
          <w:bCs/>
          <w:kern w:val="2"/>
          <w:sz w:val="28"/>
          <w:szCs w:val="28"/>
        </w:rPr>
      </w:pPr>
      <w:r>
        <w:rPr>
          <w:rFonts w:ascii="仿宋" w:hAnsi="仿宋" w:eastAsia="仿宋" w:cstheme="minorBidi"/>
          <w:b/>
          <w:bCs/>
          <w:kern w:val="2"/>
          <w:sz w:val="28"/>
          <w:szCs w:val="28"/>
        </w:rPr>
        <w:t>（一）《中共中央 国务院关于建立国土空间规划体系并监督实施的若干意见》（中发〔2019〕18号）解析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1.新的国土空间规划体系的建立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2.破解规划“打架”，实现“多规合一”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3.引领绿色发展和高质量发展，能用、管用、好用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4.四大体系构建国土空间规划蓝图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5.五级三类”编制实施国土空间规划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6.强化国土空间规划的战略引领地位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7.“管什么就批什么”，大幅缩减审批时间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8.将原有规划融合为统一的国土空间规划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楷体" w:hAnsi="楷体" w:eastAsia="楷体" w:cs="楷体"/>
          <w:b/>
          <w:bCs/>
          <w:kern w:val="2"/>
          <w:sz w:val="28"/>
          <w:szCs w:val="28"/>
        </w:rPr>
      </w:pPr>
      <w:r>
        <w:rPr>
          <w:rFonts w:ascii="仿宋" w:hAnsi="仿宋" w:eastAsia="仿宋" w:cstheme="minorBidi"/>
          <w:b/>
          <w:bCs/>
          <w:kern w:val="2"/>
          <w:sz w:val="28"/>
          <w:szCs w:val="28"/>
        </w:rPr>
        <w:t>（二）</w:t>
      </w:r>
      <w:r>
        <w:rPr>
          <w:rFonts w:ascii="楷体" w:hAnsi="楷体" w:eastAsia="楷体" w:cs="楷体"/>
          <w:b/>
          <w:bCs/>
          <w:kern w:val="2"/>
          <w:sz w:val="28"/>
          <w:szCs w:val="28"/>
        </w:rPr>
        <w:t>《自然资源“十四五”规划编制工作方案》要点解析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1.“十四五”时期自然资源形势研判与战略目标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2.“十四五”国家和省级的规划任务要求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3.“十四五”市县经济规划编制的要点与方法创新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4.“十四五”市县经济规划总体框架设计与主要内容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5.“十四五”我国经济社会发展的思路创新与发展目标设定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6.《城市居住区规划设计标准》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>GB50180-2018</w:t>
      </w:r>
      <w:r>
        <w:rPr>
          <w:rFonts w:ascii="仿宋" w:hAnsi="仿宋" w:eastAsia="仿宋" w:cstheme="minorBidi"/>
          <w:kern w:val="2"/>
          <w:sz w:val="28"/>
          <w:szCs w:val="28"/>
        </w:rPr>
        <w:t>，解读及强制条文解析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7.《城乡用地分类与规划建设用地标准》</w:t>
      </w:r>
      <w:r>
        <w:rPr>
          <w:rFonts w:hint="default" w:ascii="仿宋" w:hAnsi="仿宋" w:eastAsia="仿宋" w:cstheme="minorBidi"/>
          <w:kern w:val="2"/>
          <w:sz w:val="28"/>
          <w:szCs w:val="28"/>
        </w:rPr>
        <w:t>(报批稿)强制性条文</w:t>
      </w:r>
      <w:r>
        <w:rPr>
          <w:rFonts w:ascii="仿宋" w:hAnsi="仿宋" w:eastAsia="仿宋" w:cstheme="minorBidi"/>
          <w:kern w:val="2"/>
          <w:sz w:val="28"/>
          <w:szCs w:val="28"/>
        </w:rPr>
        <w:t>解析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b/>
          <w:kern w:val="2"/>
          <w:sz w:val="28"/>
          <w:szCs w:val="28"/>
        </w:rPr>
      </w:pPr>
      <w:r>
        <w:rPr>
          <w:rFonts w:ascii="仿宋" w:hAnsi="仿宋" w:eastAsia="仿宋" w:cstheme="minorBidi"/>
          <w:b/>
          <w:kern w:val="2"/>
          <w:sz w:val="28"/>
          <w:szCs w:val="28"/>
        </w:rPr>
        <w:t>（三）以创新思路驱动经济体系建设及规划编制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1.推进市县“多规合一”的方式方法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2.如何更好的将经济社会发展与优化空间布局融为一体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3.“多规合一”市县规划改革创新的思路及方法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4.建设现代化经济体系的主攻方向与战略举措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5.深化供给侧结构性改革与发展实体经济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6.创新驱动的战略重点与创新型国家建设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7.我国产业转型升级的主攻方向和重点任务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8.推进生态文明体制改革的重点和难点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b/>
          <w:kern w:val="2"/>
          <w:sz w:val="28"/>
          <w:szCs w:val="28"/>
        </w:rPr>
      </w:pPr>
      <w:r>
        <w:rPr>
          <w:rFonts w:ascii="仿宋" w:hAnsi="仿宋" w:eastAsia="仿宋" w:cstheme="minorBidi"/>
          <w:b/>
          <w:kern w:val="2"/>
          <w:sz w:val="28"/>
          <w:szCs w:val="28"/>
        </w:rPr>
        <w:t>（四）区域发展规划编制及案例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1.区域发展规划编制程序、基本内容、编制常见问题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2.主要城市群发展规划编制及案例介绍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b/>
          <w:kern w:val="2"/>
          <w:sz w:val="28"/>
          <w:szCs w:val="28"/>
        </w:rPr>
      </w:pPr>
      <w:r>
        <w:rPr>
          <w:rFonts w:ascii="仿宋" w:hAnsi="仿宋" w:eastAsia="仿宋" w:cstheme="minorBidi"/>
          <w:b/>
          <w:kern w:val="2"/>
          <w:sz w:val="28"/>
          <w:szCs w:val="28"/>
        </w:rPr>
        <w:t>（五）经济社会发展规划编制及案例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1.经济社会发展规划体系、管理体制及规划编制总体要求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2.经济社会发展规划编制和报批的一般程序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3.总体规划（纲要）主要特点、编制程序、基本内容、编制常见问题及实操应用和编制案例分析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b/>
          <w:kern w:val="2"/>
          <w:sz w:val="28"/>
          <w:szCs w:val="28"/>
        </w:rPr>
      </w:pPr>
      <w:r>
        <w:rPr>
          <w:rFonts w:ascii="仿宋" w:hAnsi="仿宋" w:eastAsia="仿宋" w:cstheme="minorBidi"/>
          <w:b/>
          <w:kern w:val="2"/>
          <w:sz w:val="28"/>
          <w:szCs w:val="28"/>
        </w:rPr>
        <w:t>（六）专项规划编制及案例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1.专项规划编制的主要思路、内容和要求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2.专项规划（纲要）主要特点及编制程序、基本内容、常见问题及案例分析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b/>
          <w:kern w:val="2"/>
          <w:sz w:val="28"/>
          <w:szCs w:val="28"/>
        </w:rPr>
      </w:pPr>
      <w:r>
        <w:rPr>
          <w:rFonts w:ascii="仿宋" w:hAnsi="仿宋" w:eastAsia="仿宋" w:cstheme="minorBidi"/>
          <w:b/>
          <w:kern w:val="2"/>
          <w:sz w:val="28"/>
          <w:szCs w:val="28"/>
        </w:rPr>
        <w:t>（七）产业园区规划编制及案例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1.国内产业园区发展规划的总体要求、主要流程、基本架构、支撑要素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2.产业园区发展规划的咨询和编制案例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b/>
          <w:kern w:val="2"/>
          <w:sz w:val="28"/>
          <w:szCs w:val="28"/>
        </w:rPr>
      </w:pPr>
      <w:r>
        <w:rPr>
          <w:rFonts w:ascii="仿宋" w:hAnsi="仿宋" w:eastAsia="仿宋" w:cstheme="minorBidi"/>
          <w:b/>
          <w:kern w:val="2"/>
          <w:sz w:val="28"/>
          <w:szCs w:val="28"/>
        </w:rPr>
        <w:t>（八）国土空间规划编制及案例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1.国土空间规划框架体系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2.国土空间规划的重点内容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3.国土空间规划编制路径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4.国土空间规划实施监测、评估和预警体系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5.国土空间规划与相关规划的关系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 xml:space="preserve">6.“多规合一”的规划方法及编制技巧 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7.“多规合一”规划改革在推进中遇到的问题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8.“多规合一”试点综述及案例详解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9.机构改革后“多规合一”发展方向及路径</w:t>
      </w:r>
    </w:p>
    <w:p>
      <w:pPr>
        <w:autoSpaceDE/>
        <w:autoSpaceDN/>
        <w:adjustRightInd/>
        <w:spacing w:line="500" w:lineRule="exact"/>
        <w:ind w:firstLine="560" w:firstLineChars="200"/>
        <w:jc w:val="both"/>
        <w:rPr>
          <w:rFonts w:hint="default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10.国土空间规划编制案例分析</w:t>
      </w:r>
    </w:p>
    <w:p>
      <w:pPr>
        <w:autoSpaceDE/>
        <w:autoSpaceDN/>
        <w:adjustRightInd/>
        <w:spacing w:line="400" w:lineRule="exact"/>
        <w:ind w:firstLine="420" w:firstLineChars="150"/>
        <w:jc w:val="both"/>
        <w:rPr>
          <w:rFonts w:hint="default" w:ascii="仿宋_GB2312" w:hAnsi="Times New Roman" w:eastAsia="仿宋_GB2312"/>
          <w:kern w:val="2"/>
          <w:sz w:val="28"/>
          <w:szCs w:val="28"/>
        </w:rPr>
      </w:pPr>
    </w:p>
    <w:p>
      <w:pPr>
        <w:autoSpaceDE/>
        <w:autoSpaceDN/>
        <w:adjustRightInd/>
        <w:spacing w:line="400" w:lineRule="exact"/>
        <w:ind w:firstLine="420" w:firstLineChars="150"/>
        <w:jc w:val="both"/>
        <w:rPr>
          <w:rFonts w:hint="default" w:ascii="仿宋_GB2312" w:hAnsi="Times New Roman" w:eastAsia="仿宋_GB2312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center"/>
        <w:textAlignment w:val="auto"/>
        <w:rPr>
          <w:rStyle w:val="8"/>
          <w:rFonts w:hint="default" w:cs="宋体"/>
          <w:color w:val="000000"/>
          <w:sz w:val="28"/>
          <w:szCs w:val="28"/>
          <w:lang w:val="zh-CN"/>
        </w:rPr>
      </w:pPr>
      <w:r>
        <w:rPr>
          <w:rStyle w:val="8"/>
          <w:rFonts w:ascii="黑体" w:hAnsi="黑体" w:eastAsia="黑体" w:cs="黑体"/>
          <w:b w:val="0"/>
          <w:bCs w:val="0"/>
          <w:color w:val="000000"/>
          <w:sz w:val="28"/>
          <w:szCs w:val="28"/>
        </w:rPr>
        <w:t>附件2.</w:t>
      </w:r>
      <w:r>
        <w:rPr>
          <w:rStyle w:val="8"/>
          <w:rFonts w:ascii="黑体" w:hAnsi="黑体" w:eastAsia="黑体" w:cs="黑体"/>
          <w:b w:val="0"/>
          <w:bCs w:val="0"/>
          <w:color w:val="000000"/>
          <w:sz w:val="28"/>
          <w:szCs w:val="28"/>
          <w:lang w:val="zh-CN"/>
        </w:rPr>
        <w:t>《</w:t>
      </w:r>
      <w:r>
        <w:rPr>
          <w:rStyle w:val="8"/>
          <w:rFonts w:ascii="黑体" w:hAnsi="黑体" w:eastAsia="黑体" w:cs="黑体"/>
          <w:b w:val="0"/>
          <w:bCs w:val="0"/>
          <w:color w:val="000000"/>
          <w:sz w:val="28"/>
          <w:szCs w:val="28"/>
        </w:rPr>
        <w:t>自然资源</w:t>
      </w:r>
      <w:r>
        <w:rPr>
          <w:rStyle w:val="8"/>
          <w:rFonts w:ascii="黑体" w:hAnsi="黑体" w:eastAsia="黑体" w:cs="黑体"/>
          <w:b w:val="0"/>
          <w:bCs w:val="0"/>
          <w:color w:val="000000"/>
          <w:sz w:val="28"/>
          <w:szCs w:val="28"/>
          <w:lang w:val="zh-CN"/>
        </w:rPr>
        <w:t>‘十四五’规划编制</w:t>
      </w:r>
      <w:r>
        <w:rPr>
          <w:rStyle w:val="8"/>
          <w:rFonts w:ascii="黑体" w:hAnsi="黑体" w:eastAsia="黑体" w:cs="黑体"/>
          <w:b w:val="0"/>
          <w:bCs w:val="0"/>
          <w:color w:val="000000"/>
          <w:sz w:val="28"/>
          <w:szCs w:val="28"/>
        </w:rPr>
        <w:t>工作方案</w:t>
      </w:r>
      <w:r>
        <w:rPr>
          <w:rStyle w:val="8"/>
          <w:rFonts w:ascii="黑体" w:hAnsi="黑体" w:eastAsia="黑体" w:cs="黑体"/>
          <w:b w:val="0"/>
          <w:bCs w:val="0"/>
          <w:color w:val="000000"/>
          <w:sz w:val="28"/>
          <w:szCs w:val="28"/>
          <w:lang w:val="zh-CN"/>
        </w:rPr>
        <w:t>》与国土空间规划改革及创新编制方法专题培训班报名回执表</w:t>
      </w:r>
    </w:p>
    <w:tbl>
      <w:tblPr>
        <w:tblStyle w:val="6"/>
        <w:tblpPr w:leftFromText="180" w:rightFromText="180" w:vertAnchor="text" w:horzAnchor="margin" w:tblpXSpec="center" w:tblpY="70"/>
        <w:tblW w:w="1028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393"/>
        <w:gridCol w:w="983"/>
        <w:gridCol w:w="907"/>
        <w:gridCol w:w="1125"/>
        <w:gridCol w:w="1290"/>
        <w:gridCol w:w="1365"/>
        <w:gridCol w:w="206"/>
        <w:gridCol w:w="78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单位名称</w:t>
            </w:r>
          </w:p>
        </w:tc>
        <w:tc>
          <w:tcPr>
            <w:tcW w:w="7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通讯地址</w:t>
            </w:r>
          </w:p>
        </w:tc>
        <w:tc>
          <w:tcPr>
            <w:tcW w:w="7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  <w:lang w:val="zh-CN"/>
              </w:rPr>
              <w:t>审批人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电  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  <w:lang w:val="zh-CN"/>
              </w:rPr>
              <w:t>手</w:t>
            </w:r>
            <w:r>
              <w:rPr>
                <w:rFonts w:ascii="仿宋" w:hAnsi="仿宋" w:eastAsia="仿宋" w:cs="仿宋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Cs w:val="24"/>
                <w:lang w:val="zh-CN"/>
              </w:rPr>
              <w:t>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  <w:lang w:val="zh-CN"/>
              </w:rPr>
              <w:t>联系人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电  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  <w:lang w:val="zh-CN"/>
              </w:rPr>
              <w:t>手</w:t>
            </w:r>
            <w:r>
              <w:rPr>
                <w:rFonts w:ascii="仿宋" w:hAnsi="仿宋" w:eastAsia="仿宋" w:cs="仿宋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Cs w:val="24"/>
                <w:lang w:val="zh-CN"/>
              </w:rPr>
              <w:t>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  <w:lang w:val="zh-CN"/>
              </w:rPr>
              <w:t>参会人</w:t>
            </w:r>
            <w:r>
              <w:rPr>
                <w:rFonts w:ascii="仿宋" w:hAnsi="仿宋" w:eastAsia="仿宋" w:cs="仿宋"/>
                <w:szCs w:val="24"/>
              </w:rPr>
              <w:t>姓名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性 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部  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职  务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手 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是否住宿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□是     □否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住宿要求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□单住(需另补床位费)□合住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费用选择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□A：2800             □B：4980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参加地点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□成都    □南宁    □厦门    □杭州    □海口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开票信息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 xml:space="preserve">    □增值税专用发票            □增值税普票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单位名称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4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纳税人识别号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地址电话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开户行账号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收款账户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/>
                <w:kern w:val="2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Cs w:val="24"/>
              </w:rPr>
              <w:t xml:space="preserve">单位全称: 北京中科鼎创管理咨询有限公司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/>
                <w:kern w:val="2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Cs w:val="24"/>
              </w:rPr>
              <w:t xml:space="preserve">  开户行 </w:t>
            </w:r>
            <w:r>
              <w:rPr>
                <w:rFonts w:hint="eastAsia" w:ascii="仿宋_GB2312" w:hAnsi="Times New Roman" w:eastAsia="仿宋_GB2312"/>
                <w:kern w:val="2"/>
                <w:szCs w:val="24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/>
                <w:kern w:val="2"/>
                <w:szCs w:val="24"/>
              </w:rPr>
              <w:t xml:space="preserve">中国工商银行股份有限公司北京翠微路支行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/>
                <w:kern w:val="2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Cs w:val="24"/>
              </w:rPr>
              <w:t>  帐</w:t>
            </w:r>
            <w:r>
              <w:rPr>
                <w:rFonts w:hint="eastAsia" w:ascii="仿宋_GB2312" w:hAnsi="Times New Roman" w:eastAsia="仿宋_GB2312"/>
                <w:kern w:val="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kern w:val="2"/>
                <w:szCs w:val="24"/>
              </w:rPr>
              <w:t>户</w:t>
            </w:r>
            <w:r>
              <w:rPr>
                <w:rFonts w:hint="eastAsia" w:ascii="仿宋_GB2312" w:hAnsi="Times New Roman" w:eastAsia="仿宋_GB2312"/>
                <w:kern w:val="2"/>
                <w:szCs w:val="24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/>
                <w:kern w:val="2"/>
                <w:szCs w:val="24"/>
              </w:rPr>
              <w:t xml:space="preserve">0200 2470 0920 0052 642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/>
                <w:kern w:val="2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Cs w:val="24"/>
              </w:rPr>
              <w:t xml:space="preserve">行号: 102100008091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Cs w:val="24"/>
              </w:rPr>
              <w:t>备注</w:t>
            </w:r>
          </w:p>
        </w:tc>
        <w:tc>
          <w:tcPr>
            <w:tcW w:w="5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szCs w:val="24"/>
                <w:lang w:val="zh-CN"/>
              </w:rPr>
            </w:pPr>
            <w:r>
              <w:rPr>
                <w:rFonts w:ascii="仿宋" w:hAnsi="仿宋" w:eastAsia="仿宋" w:cs="仿宋"/>
                <w:szCs w:val="24"/>
                <w:lang w:val="zh-CN"/>
              </w:rPr>
              <w:t>请及时将回执表回传或E-mail至</w:t>
            </w:r>
            <w:r>
              <w:rPr>
                <w:rFonts w:ascii="仿宋" w:hAnsi="仿宋" w:eastAsia="仿宋" w:cs="仿宋"/>
                <w:szCs w:val="24"/>
              </w:rPr>
              <w:t>会</w:t>
            </w:r>
            <w:r>
              <w:rPr>
                <w:rFonts w:ascii="仿宋" w:hAnsi="仿宋" w:eastAsia="仿宋" w:cs="仿宋"/>
                <w:szCs w:val="24"/>
                <w:lang w:val="zh-CN"/>
              </w:rPr>
              <w:t>务组，在报名5日内将费用通过银行转账付款，会务组确认到款后即发《报到通知》，其中将详细注明报到时间、报到详细地点等具体安排事项，各参训学员凭证入场。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  <w:lang w:val="zh-CN"/>
              </w:rPr>
            </w:pPr>
            <w:r>
              <w:rPr>
                <w:rFonts w:ascii="仿宋" w:hAnsi="仿宋" w:eastAsia="仿宋" w:cs="仿宋"/>
                <w:szCs w:val="24"/>
                <w:lang w:val="zh-CN"/>
              </w:rPr>
              <w:t>单位印章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4"/>
                <w:lang w:val="zh-CN"/>
              </w:rPr>
            </w:pPr>
            <w:r>
              <w:rPr>
                <w:rFonts w:ascii="仿宋" w:hAnsi="仿宋" w:eastAsia="仿宋" w:cs="仿宋"/>
                <w:szCs w:val="24"/>
              </w:rPr>
              <w:t>2019</w:t>
            </w:r>
            <w:r>
              <w:rPr>
                <w:rFonts w:ascii="仿宋" w:hAnsi="仿宋" w:eastAsia="仿宋" w:cs="仿宋"/>
                <w:szCs w:val="24"/>
                <w:lang w:val="zh-CN"/>
              </w:rPr>
              <w:t>年</w:t>
            </w:r>
            <w:r>
              <w:rPr>
                <w:rFonts w:ascii="仿宋" w:hAnsi="仿宋" w:eastAsia="仿宋" w:cs="仿宋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Cs w:val="24"/>
                <w:lang w:val="zh-CN"/>
              </w:rPr>
              <w:t xml:space="preserve"> 月</w:t>
            </w:r>
            <w:r>
              <w:rPr>
                <w:rFonts w:ascii="仿宋" w:hAnsi="仿宋" w:eastAsia="仿宋" w:cs="仿宋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Cs w:val="24"/>
                <w:lang w:val="zh-CN"/>
              </w:rPr>
              <w:t xml:space="preserve"> </w:t>
            </w:r>
            <w:r>
              <w:rPr>
                <w:rFonts w:ascii="仿宋" w:hAnsi="仿宋" w:eastAsia="仿宋" w:cs="仿宋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Cs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 w:ascii="仿宋" w:hAnsi="仿宋" w:eastAsia="仿宋" w:cs="仿宋"/>
        </w:rPr>
      </w:pPr>
      <w:r>
        <w:rPr>
          <w:rFonts w:ascii="仿宋" w:hAnsi="仿宋" w:eastAsia="仿宋" w:cs="仿宋"/>
        </w:rPr>
        <w:t>备注：培训班名额有限,请尽早报名，额满为止。  报名表加盖印章有效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报名联系人：聂红军 主任 18211071700（微信）         邮  箱：zqgphwz@126.com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 xml:space="preserve">电话（传真）：010-87697580                          qq咨询：3177524020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</w:rPr>
        <w:t xml:space="preserve">网址查询：http://www.zqgpchina.cn/  </w:t>
      </w:r>
      <w:r>
        <w:rPr>
          <w:rFonts w:hint="eastAsia" w:ascii="仿宋" w:hAnsi="仿宋" w:eastAsia="仿宋" w:cs="仿宋"/>
        </w:rPr>
        <w:t xml:space="preserve">  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0B675C"/>
    <w:multiLevelType w:val="singleLevel"/>
    <w:tmpl w:val="D40B6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8"/>
    <w:rsid w:val="00067BD4"/>
    <w:rsid w:val="0009632B"/>
    <w:rsid w:val="000A6AA0"/>
    <w:rsid w:val="000B5CF0"/>
    <w:rsid w:val="000D7CE7"/>
    <w:rsid w:val="000E468A"/>
    <w:rsid w:val="00123DD1"/>
    <w:rsid w:val="00141927"/>
    <w:rsid w:val="001B15FC"/>
    <w:rsid w:val="001D5820"/>
    <w:rsid w:val="001D7D85"/>
    <w:rsid w:val="001F266D"/>
    <w:rsid w:val="001F2CC6"/>
    <w:rsid w:val="002061CF"/>
    <w:rsid w:val="00247284"/>
    <w:rsid w:val="002733FA"/>
    <w:rsid w:val="00273F97"/>
    <w:rsid w:val="00284AF2"/>
    <w:rsid w:val="002A44C9"/>
    <w:rsid w:val="002B34D8"/>
    <w:rsid w:val="002B4E4A"/>
    <w:rsid w:val="002C0D40"/>
    <w:rsid w:val="002F527D"/>
    <w:rsid w:val="00382175"/>
    <w:rsid w:val="00393295"/>
    <w:rsid w:val="003A6C00"/>
    <w:rsid w:val="003C5EEF"/>
    <w:rsid w:val="003E04E3"/>
    <w:rsid w:val="00412431"/>
    <w:rsid w:val="004127EC"/>
    <w:rsid w:val="00444929"/>
    <w:rsid w:val="004711C3"/>
    <w:rsid w:val="00483CEC"/>
    <w:rsid w:val="004C2C6B"/>
    <w:rsid w:val="00534DC4"/>
    <w:rsid w:val="0057346D"/>
    <w:rsid w:val="00574464"/>
    <w:rsid w:val="005D62EA"/>
    <w:rsid w:val="005E1B0F"/>
    <w:rsid w:val="005E29CE"/>
    <w:rsid w:val="00605B40"/>
    <w:rsid w:val="006125AF"/>
    <w:rsid w:val="00657822"/>
    <w:rsid w:val="006901AC"/>
    <w:rsid w:val="00693178"/>
    <w:rsid w:val="006C30F8"/>
    <w:rsid w:val="006C47A5"/>
    <w:rsid w:val="006E23D4"/>
    <w:rsid w:val="006F58F0"/>
    <w:rsid w:val="007715BD"/>
    <w:rsid w:val="0079523B"/>
    <w:rsid w:val="007B182F"/>
    <w:rsid w:val="007B7767"/>
    <w:rsid w:val="007E2F7A"/>
    <w:rsid w:val="00815C5D"/>
    <w:rsid w:val="00832BCD"/>
    <w:rsid w:val="00852438"/>
    <w:rsid w:val="0085713F"/>
    <w:rsid w:val="00860964"/>
    <w:rsid w:val="00862FA1"/>
    <w:rsid w:val="00880E88"/>
    <w:rsid w:val="008B199B"/>
    <w:rsid w:val="008E378E"/>
    <w:rsid w:val="008E633F"/>
    <w:rsid w:val="008E79C6"/>
    <w:rsid w:val="009410E9"/>
    <w:rsid w:val="00967DB0"/>
    <w:rsid w:val="009700EB"/>
    <w:rsid w:val="00981D3A"/>
    <w:rsid w:val="00992048"/>
    <w:rsid w:val="009A4718"/>
    <w:rsid w:val="009B64D9"/>
    <w:rsid w:val="00A0492C"/>
    <w:rsid w:val="00A15833"/>
    <w:rsid w:val="00A24A76"/>
    <w:rsid w:val="00A46A45"/>
    <w:rsid w:val="00A55121"/>
    <w:rsid w:val="00A74C9D"/>
    <w:rsid w:val="00A83C21"/>
    <w:rsid w:val="00A84893"/>
    <w:rsid w:val="00AB1428"/>
    <w:rsid w:val="00AB4C35"/>
    <w:rsid w:val="00B00985"/>
    <w:rsid w:val="00B04F44"/>
    <w:rsid w:val="00B865F7"/>
    <w:rsid w:val="00B87A6C"/>
    <w:rsid w:val="00BA0D64"/>
    <w:rsid w:val="00BB0019"/>
    <w:rsid w:val="00BC37A5"/>
    <w:rsid w:val="00BE0FB0"/>
    <w:rsid w:val="00BE59C6"/>
    <w:rsid w:val="00C44BC1"/>
    <w:rsid w:val="00C47C8E"/>
    <w:rsid w:val="00C615AD"/>
    <w:rsid w:val="00C6260C"/>
    <w:rsid w:val="00C75C91"/>
    <w:rsid w:val="00C876D5"/>
    <w:rsid w:val="00C96EE4"/>
    <w:rsid w:val="00C96EFB"/>
    <w:rsid w:val="00CB3436"/>
    <w:rsid w:val="00CC7641"/>
    <w:rsid w:val="00D20196"/>
    <w:rsid w:val="00D74547"/>
    <w:rsid w:val="00DC5B74"/>
    <w:rsid w:val="00DC7910"/>
    <w:rsid w:val="00DD79A6"/>
    <w:rsid w:val="00DE73D2"/>
    <w:rsid w:val="00DF497F"/>
    <w:rsid w:val="00E029E2"/>
    <w:rsid w:val="00E40FB3"/>
    <w:rsid w:val="00E420D2"/>
    <w:rsid w:val="00E57878"/>
    <w:rsid w:val="00EE0B92"/>
    <w:rsid w:val="00F05488"/>
    <w:rsid w:val="00F2027E"/>
    <w:rsid w:val="00F87486"/>
    <w:rsid w:val="00FA0A5B"/>
    <w:rsid w:val="00FA5D57"/>
    <w:rsid w:val="00FD00BF"/>
    <w:rsid w:val="00FD4628"/>
    <w:rsid w:val="023D6652"/>
    <w:rsid w:val="03DB5D64"/>
    <w:rsid w:val="04847EE3"/>
    <w:rsid w:val="04E135C3"/>
    <w:rsid w:val="051152A0"/>
    <w:rsid w:val="053B2A48"/>
    <w:rsid w:val="05757238"/>
    <w:rsid w:val="05EE69D4"/>
    <w:rsid w:val="07251E1E"/>
    <w:rsid w:val="08155D2A"/>
    <w:rsid w:val="09141CBF"/>
    <w:rsid w:val="0A006C29"/>
    <w:rsid w:val="0A43401D"/>
    <w:rsid w:val="0A7727D9"/>
    <w:rsid w:val="0ABD24B2"/>
    <w:rsid w:val="0B417C20"/>
    <w:rsid w:val="0B4759E7"/>
    <w:rsid w:val="0CCA52C7"/>
    <w:rsid w:val="0D0677E3"/>
    <w:rsid w:val="0D093289"/>
    <w:rsid w:val="0D3E4AF6"/>
    <w:rsid w:val="0DFD31D1"/>
    <w:rsid w:val="0E2717D4"/>
    <w:rsid w:val="0E651178"/>
    <w:rsid w:val="0F17548A"/>
    <w:rsid w:val="109D0089"/>
    <w:rsid w:val="10A04439"/>
    <w:rsid w:val="10DB6874"/>
    <w:rsid w:val="11813BA9"/>
    <w:rsid w:val="11B451CC"/>
    <w:rsid w:val="126C28A1"/>
    <w:rsid w:val="1282242C"/>
    <w:rsid w:val="131A34D9"/>
    <w:rsid w:val="15602F07"/>
    <w:rsid w:val="157D7119"/>
    <w:rsid w:val="15950367"/>
    <w:rsid w:val="16BF1033"/>
    <w:rsid w:val="171752E6"/>
    <w:rsid w:val="17610B93"/>
    <w:rsid w:val="17927587"/>
    <w:rsid w:val="18174D93"/>
    <w:rsid w:val="194A0DDB"/>
    <w:rsid w:val="19C04713"/>
    <w:rsid w:val="19C97FEE"/>
    <w:rsid w:val="1A273174"/>
    <w:rsid w:val="1A87122D"/>
    <w:rsid w:val="1AEA3ECF"/>
    <w:rsid w:val="1B3225F5"/>
    <w:rsid w:val="1B3A4010"/>
    <w:rsid w:val="1B605518"/>
    <w:rsid w:val="1C8B3A68"/>
    <w:rsid w:val="1C8D0917"/>
    <w:rsid w:val="1C942612"/>
    <w:rsid w:val="1C9F22B0"/>
    <w:rsid w:val="1F1A2579"/>
    <w:rsid w:val="1F493BA8"/>
    <w:rsid w:val="1FE051B6"/>
    <w:rsid w:val="208C1BDB"/>
    <w:rsid w:val="20C80826"/>
    <w:rsid w:val="211B4697"/>
    <w:rsid w:val="215F20C7"/>
    <w:rsid w:val="22562015"/>
    <w:rsid w:val="22C545AF"/>
    <w:rsid w:val="249B00BC"/>
    <w:rsid w:val="256768B8"/>
    <w:rsid w:val="27CB5B76"/>
    <w:rsid w:val="27E277E7"/>
    <w:rsid w:val="28B54914"/>
    <w:rsid w:val="28DF1A5C"/>
    <w:rsid w:val="29165655"/>
    <w:rsid w:val="29760EF4"/>
    <w:rsid w:val="2A034C89"/>
    <w:rsid w:val="2A211833"/>
    <w:rsid w:val="2A6549F8"/>
    <w:rsid w:val="2AAF5675"/>
    <w:rsid w:val="2AC94A97"/>
    <w:rsid w:val="2B5257DD"/>
    <w:rsid w:val="2B5F6F85"/>
    <w:rsid w:val="2C7E51CE"/>
    <w:rsid w:val="2CEC12EC"/>
    <w:rsid w:val="2D486DEA"/>
    <w:rsid w:val="2E1640E6"/>
    <w:rsid w:val="2EAF2AEC"/>
    <w:rsid w:val="2ED35832"/>
    <w:rsid w:val="2F7E58CB"/>
    <w:rsid w:val="2F854BC9"/>
    <w:rsid w:val="2F8841B3"/>
    <w:rsid w:val="2FE869BE"/>
    <w:rsid w:val="30144CCB"/>
    <w:rsid w:val="30185561"/>
    <w:rsid w:val="316C4B29"/>
    <w:rsid w:val="32895586"/>
    <w:rsid w:val="34486DB9"/>
    <w:rsid w:val="35207DD9"/>
    <w:rsid w:val="353C5099"/>
    <w:rsid w:val="371713D5"/>
    <w:rsid w:val="38282516"/>
    <w:rsid w:val="383C5F03"/>
    <w:rsid w:val="387A6BBF"/>
    <w:rsid w:val="38E86BDC"/>
    <w:rsid w:val="39ED562D"/>
    <w:rsid w:val="39F50B6B"/>
    <w:rsid w:val="3A4D73B5"/>
    <w:rsid w:val="3AC11FD5"/>
    <w:rsid w:val="3AEC4A92"/>
    <w:rsid w:val="3B1C71E8"/>
    <w:rsid w:val="3B8E436F"/>
    <w:rsid w:val="3B905513"/>
    <w:rsid w:val="3BA256E1"/>
    <w:rsid w:val="3BE90AF7"/>
    <w:rsid w:val="3CF44960"/>
    <w:rsid w:val="3D5659C3"/>
    <w:rsid w:val="3DC85988"/>
    <w:rsid w:val="3DD83014"/>
    <w:rsid w:val="3E025496"/>
    <w:rsid w:val="3ED85787"/>
    <w:rsid w:val="3FA17155"/>
    <w:rsid w:val="40FC3291"/>
    <w:rsid w:val="410B10CF"/>
    <w:rsid w:val="41646669"/>
    <w:rsid w:val="420B6E6E"/>
    <w:rsid w:val="42E56AFC"/>
    <w:rsid w:val="45172F86"/>
    <w:rsid w:val="468B05CA"/>
    <w:rsid w:val="470A0690"/>
    <w:rsid w:val="473B5312"/>
    <w:rsid w:val="47777459"/>
    <w:rsid w:val="47B05EBC"/>
    <w:rsid w:val="47D04117"/>
    <w:rsid w:val="47EF2EEF"/>
    <w:rsid w:val="48F45E41"/>
    <w:rsid w:val="4917395E"/>
    <w:rsid w:val="49C23079"/>
    <w:rsid w:val="4A1111AE"/>
    <w:rsid w:val="4AA34754"/>
    <w:rsid w:val="4B112DEE"/>
    <w:rsid w:val="4B1C7385"/>
    <w:rsid w:val="4BBE2679"/>
    <w:rsid w:val="4BCF1520"/>
    <w:rsid w:val="4BED59D6"/>
    <w:rsid w:val="4C6A413C"/>
    <w:rsid w:val="4EE511D0"/>
    <w:rsid w:val="4EF87F96"/>
    <w:rsid w:val="4F1D2F9D"/>
    <w:rsid w:val="4F6A7D1C"/>
    <w:rsid w:val="4F6D44B6"/>
    <w:rsid w:val="4FE53529"/>
    <w:rsid w:val="51B66DEB"/>
    <w:rsid w:val="52603604"/>
    <w:rsid w:val="534C7588"/>
    <w:rsid w:val="53AE2352"/>
    <w:rsid w:val="54B71A15"/>
    <w:rsid w:val="56873360"/>
    <w:rsid w:val="57EE3814"/>
    <w:rsid w:val="58D43278"/>
    <w:rsid w:val="58DA4561"/>
    <w:rsid w:val="5AC5689A"/>
    <w:rsid w:val="5B3D6EE4"/>
    <w:rsid w:val="5B4A20A5"/>
    <w:rsid w:val="5B530118"/>
    <w:rsid w:val="5BF057F7"/>
    <w:rsid w:val="5C9B27FF"/>
    <w:rsid w:val="5DC36236"/>
    <w:rsid w:val="5DDD7A33"/>
    <w:rsid w:val="5E1B0F55"/>
    <w:rsid w:val="5E572BD6"/>
    <w:rsid w:val="5E5C5414"/>
    <w:rsid w:val="60090317"/>
    <w:rsid w:val="6083449B"/>
    <w:rsid w:val="61643D9B"/>
    <w:rsid w:val="63596F48"/>
    <w:rsid w:val="635C01BE"/>
    <w:rsid w:val="63781B1E"/>
    <w:rsid w:val="63B04DFD"/>
    <w:rsid w:val="63B55567"/>
    <w:rsid w:val="641C6787"/>
    <w:rsid w:val="65630697"/>
    <w:rsid w:val="65743634"/>
    <w:rsid w:val="65801654"/>
    <w:rsid w:val="669E0EDF"/>
    <w:rsid w:val="66BC73F1"/>
    <w:rsid w:val="679E0A01"/>
    <w:rsid w:val="68304044"/>
    <w:rsid w:val="68D32075"/>
    <w:rsid w:val="691338F2"/>
    <w:rsid w:val="692B2587"/>
    <w:rsid w:val="6965671E"/>
    <w:rsid w:val="6A444B10"/>
    <w:rsid w:val="6A74313F"/>
    <w:rsid w:val="6A7F2298"/>
    <w:rsid w:val="6A7F332E"/>
    <w:rsid w:val="6A8E2B2E"/>
    <w:rsid w:val="6AC84C93"/>
    <w:rsid w:val="6BA404F6"/>
    <w:rsid w:val="6E1F65E8"/>
    <w:rsid w:val="6E6A5C9E"/>
    <w:rsid w:val="6EB06206"/>
    <w:rsid w:val="6F7D6436"/>
    <w:rsid w:val="6FC263CE"/>
    <w:rsid w:val="708B5F29"/>
    <w:rsid w:val="70C24A5B"/>
    <w:rsid w:val="70E64C4F"/>
    <w:rsid w:val="715C58F7"/>
    <w:rsid w:val="71773D28"/>
    <w:rsid w:val="71E21BF4"/>
    <w:rsid w:val="720F6294"/>
    <w:rsid w:val="73FB45C7"/>
    <w:rsid w:val="74063600"/>
    <w:rsid w:val="74132B50"/>
    <w:rsid w:val="74A4781F"/>
    <w:rsid w:val="74D5317E"/>
    <w:rsid w:val="74EB72E1"/>
    <w:rsid w:val="753139E9"/>
    <w:rsid w:val="75ED6528"/>
    <w:rsid w:val="75FE25EC"/>
    <w:rsid w:val="762820F0"/>
    <w:rsid w:val="762C54D3"/>
    <w:rsid w:val="76643085"/>
    <w:rsid w:val="778D319A"/>
    <w:rsid w:val="78017EFC"/>
    <w:rsid w:val="783068A1"/>
    <w:rsid w:val="79DF3139"/>
    <w:rsid w:val="7A023336"/>
    <w:rsid w:val="7AD31A6D"/>
    <w:rsid w:val="7BEE1FA1"/>
    <w:rsid w:val="7C325D11"/>
    <w:rsid w:val="7C60668E"/>
    <w:rsid w:val="7C60799C"/>
    <w:rsid w:val="7D010458"/>
    <w:rsid w:val="7DB90E26"/>
    <w:rsid w:val="7DF064E7"/>
    <w:rsid w:val="7F6F2979"/>
    <w:rsid w:val="7FD74E4A"/>
    <w:rsid w:val="7FD9349F"/>
    <w:rsid w:val="7FD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widowControl/>
      <w:autoSpaceDE/>
      <w:autoSpaceDN/>
      <w:adjustRightInd/>
      <w:ind w:firstLine="420" w:firstLineChars="200"/>
    </w:pPr>
    <w:rPr>
      <w:rFonts w:hint="default" w:cs="宋体"/>
      <w:szCs w:val="24"/>
    </w:rPr>
  </w:style>
  <w:style w:type="character" w:customStyle="1" w:styleId="14">
    <w:name w:val="批注框文本 Char"/>
    <w:basedOn w:val="7"/>
    <w:link w:val="2"/>
    <w:semiHidden/>
    <w:qFormat/>
    <w:uiPriority w:val="99"/>
    <w:rPr>
      <w:rFonts w:ascii="宋体" w:hAnsi="宋体"/>
      <w:sz w:val="18"/>
      <w:szCs w:val="18"/>
    </w:rPr>
  </w:style>
  <w:style w:type="paragraph" w:customStyle="1" w:styleId="15">
    <w:name w:val="Char Char Char Char Char Char Char"/>
    <w:basedOn w:val="1"/>
    <w:qFormat/>
    <w:uiPriority w:val="0"/>
    <w:pPr>
      <w:widowControl/>
      <w:autoSpaceDE/>
      <w:autoSpaceDN/>
      <w:adjustRightInd/>
      <w:spacing w:after="160" w:line="240" w:lineRule="exact"/>
    </w:pPr>
    <w:rPr>
      <w:rFonts w:hint="default" w:ascii="Times New Roman" w:hAnsi="Times New Roman"/>
      <w:kern w:val="2"/>
      <w:sz w:val="21"/>
      <w:szCs w:val="22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511</Words>
  <Characters>2913</Characters>
  <Lines>24</Lines>
  <Paragraphs>6</Paragraphs>
  <TotalTime>9</TotalTime>
  <ScaleCrop>false</ScaleCrop>
  <LinksUpToDate>false</LinksUpToDate>
  <CharactersWithSpaces>3418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2019-01-16T10:23:00Z</dcterms:created>
  <dc:creator>微软用户</dc:creator>
  <cp:lastModifiedBy>Administrator</cp:lastModifiedBy>
  <dcterms:modified xsi:type="dcterms:W3CDTF">2019-08-14T03:47:13Z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