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Ind w:w="-77"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jc w:val="center"/>
              <w:rPr>
                <w:rFonts w:ascii="楷体" w:hAnsi="楷体" w:eastAsia="楷体"/>
                <w:color w:val="FF0000"/>
                <w:kern w:val="0"/>
                <w:sz w:val="90"/>
                <w:szCs w:val="90"/>
              </w:rPr>
            </w:pPr>
            <w:bookmarkStart w:id="1" w:name="_GoBack"/>
            <w:bookmarkEnd w:id="1"/>
            <w:r>
              <w:rPr>
                <w:rFonts w:ascii="楷体" w:hAnsi="楷体" w:eastAsia="楷体"/>
                <w:color w:val="000000" w:themeColor="text1"/>
                <w:sz w:val="24"/>
                <w:lang w:val="zh-CN"/>
                <w14:textFill>
                  <w14:solidFill>
                    <w14:schemeClr w14:val="tx1"/>
                  </w14:solidFill>
                </w14:textFill>
              </w:rPr>
              <w:t xml:space="preserve"> </w:t>
            </w:r>
            <w:r>
              <w:rPr>
                <w:rFonts w:hint="eastAsia" w:ascii="楷体" w:hAnsi="楷体" w:eastAsia="楷体"/>
                <w:color w:val="FF0000"/>
                <w:kern w:val="0"/>
                <w:sz w:val="90"/>
                <w:szCs w:val="90"/>
              </w:rPr>
              <w:t>中 国 投 资 协 会</w:t>
            </w:r>
          </w:p>
          <w:p>
            <w:pPr>
              <w:jc w:val="center"/>
              <w:rPr>
                <w:rFonts w:ascii="楷体" w:hAnsi="楷体" w:eastAsia="楷体"/>
                <w:color w:val="FF0000"/>
                <w:kern w:val="0"/>
                <w:sz w:val="66"/>
                <w:szCs w:val="66"/>
              </w:rPr>
            </w:pPr>
            <w:r>
              <w:rPr>
                <w:rFonts w:hint="eastAsia" w:ascii="楷体" w:hAnsi="楷体" w:eastAsia="楷体"/>
                <w:color w:val="FF0000"/>
                <w:kern w:val="0"/>
                <w:sz w:val="66"/>
                <w:szCs w:val="66"/>
              </w:rPr>
              <w:t>项目投融资专业委员会文件</w:t>
            </w:r>
          </w:p>
          <w:p>
            <w:pPr>
              <w:jc w:val="center"/>
              <w:rPr>
                <w:rFonts w:ascii="楷体" w:hAnsi="楷体" w:eastAsia="楷体"/>
                <w:color w:val="000000" w:themeColor="text1"/>
                <w:kern w:val="0"/>
                <w:sz w:val="66"/>
                <w:szCs w:val="66"/>
                <w14:textFill>
                  <w14:solidFill>
                    <w14:schemeClr w14:val="tx1"/>
                  </w14:solidFill>
                </w14:textFill>
              </w:rPr>
            </w:pPr>
            <w:r>
              <w:rPr>
                <w:rFonts w:hint="eastAsia" w:ascii="楷体" w:hAnsi="楷体" w:eastAsia="楷体"/>
                <w:sz w:val="30"/>
                <w:szCs w:val="30"/>
              </w:rPr>
              <w:t>投融字〔</w:t>
            </w:r>
            <w:r>
              <w:rPr>
                <w:rFonts w:ascii="楷体" w:hAnsi="楷体" w:eastAsia="楷体"/>
                <w:sz w:val="30"/>
                <w:szCs w:val="30"/>
              </w:rPr>
              <w:t>201</w:t>
            </w:r>
            <w:r>
              <w:rPr>
                <w:rFonts w:hint="eastAsia" w:ascii="楷体" w:hAnsi="楷体" w:eastAsia="楷体"/>
                <w:sz w:val="30"/>
                <w:szCs w:val="30"/>
              </w:rPr>
              <w:t>9〕7号</w:t>
            </w:r>
          </w:p>
        </w:tc>
      </w:tr>
    </w:tbl>
    <w:p>
      <w:pPr>
        <w:spacing w:line="240" w:lineRule="exact"/>
        <w:jc w:val="center"/>
        <w:rPr>
          <w:rFonts w:ascii="宋体" w:hAnsi="宋体"/>
          <w:b/>
          <w:bCs/>
          <w:sz w:val="36"/>
          <w:szCs w:val="36"/>
        </w:rPr>
      </w:pPr>
    </w:p>
    <w:p>
      <w:pPr>
        <w:jc w:val="center"/>
        <w:rPr>
          <w:rFonts w:ascii="黑体" w:hAnsi="黑体" w:eastAsia="黑体" w:cs="黑体"/>
          <w:sz w:val="36"/>
          <w:szCs w:val="36"/>
        </w:rPr>
      </w:pPr>
      <w:r>
        <w:rPr>
          <w:rFonts w:hint="eastAsia" w:ascii="黑体" w:hAnsi="黑体" w:eastAsia="黑体" w:cs="黑体"/>
          <w:sz w:val="36"/>
          <w:szCs w:val="36"/>
        </w:rPr>
        <w:t>关于举办“施工合同风险管控 工程总承包项目全过程实战管理以及新版清单计价下建设工程项目造价管控”培训班的通知</w:t>
      </w:r>
    </w:p>
    <w:p>
      <w:pPr>
        <w:adjustRightInd w:val="0"/>
        <w:spacing w:line="320" w:lineRule="exact"/>
        <w:textAlignment w:val="baseline"/>
        <w:rPr>
          <w:rFonts w:ascii="仿宋_GB2312" w:hAnsi="仿宋" w:eastAsia="仿宋_GB2312" w:cs="仿宋"/>
          <w:color w:val="000000" w:themeColor="text1"/>
          <w:kern w:val="0"/>
          <w:sz w:val="32"/>
          <w:szCs w:val="32"/>
          <w14:textFill>
            <w14:solidFill>
              <w14:schemeClr w14:val="tx1"/>
            </w14:solidFill>
          </w14:textFill>
        </w:rPr>
      </w:pPr>
    </w:p>
    <w:p>
      <w:pPr>
        <w:adjustRightInd w:val="0"/>
        <w:spacing w:line="300" w:lineRule="exact"/>
        <w:textAlignment w:val="baseline"/>
        <w:rPr>
          <w:rFonts w:ascii="仿宋_GB2312" w:hAnsi="宋体" w:eastAsia="仿宋_GB2312"/>
          <w:bCs/>
          <w:color w:val="000000"/>
          <w:kern w:val="0"/>
          <w:sz w:val="28"/>
          <w:szCs w:val="28"/>
        </w:rPr>
      </w:pPr>
      <w:r>
        <w:rPr>
          <w:rFonts w:hint="eastAsia" w:ascii="仿宋_GB2312" w:hAnsi="宋体" w:eastAsia="仿宋_GB2312"/>
          <w:bCs/>
          <w:color w:val="000000"/>
          <w:kern w:val="0"/>
          <w:sz w:val="28"/>
          <w:szCs w:val="28"/>
        </w:rPr>
        <w:t>各有关单位</w:t>
      </w:r>
      <w:r>
        <w:rPr>
          <w:rFonts w:ascii="仿宋_GB2312" w:hAnsi="宋体" w:eastAsia="仿宋_GB2312"/>
          <w:bCs/>
          <w:color w:val="000000"/>
          <w:kern w:val="0"/>
          <w:sz w:val="28"/>
          <w:szCs w:val="28"/>
        </w:rPr>
        <w:t>:</w:t>
      </w:r>
    </w:p>
    <w:p>
      <w:pPr>
        <w:spacing w:line="30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为贯彻落实国务院办公厅《关于促进建筑业持续健康发展的意见》（国办发</w:t>
      </w:r>
      <w:bookmarkStart w:id="0" w:name="OLE_LINK1"/>
      <w:r>
        <w:rPr>
          <w:rFonts w:hint="eastAsia" w:ascii="仿宋_GB2312" w:hAnsi="仿宋_GB2312" w:eastAsia="仿宋_GB2312" w:cs="仿宋_GB2312"/>
          <w:bCs/>
          <w:color w:val="000000"/>
          <w:sz w:val="28"/>
          <w:szCs w:val="28"/>
        </w:rPr>
        <w:t>〔2017〕</w:t>
      </w:r>
      <w:bookmarkEnd w:id="0"/>
      <w:r>
        <w:rPr>
          <w:rFonts w:hint="eastAsia" w:ascii="仿宋_GB2312" w:hAnsi="仿宋_GB2312" w:eastAsia="仿宋_GB2312" w:cs="仿宋_GB2312"/>
          <w:bCs/>
          <w:color w:val="000000"/>
          <w:sz w:val="28"/>
          <w:szCs w:val="28"/>
        </w:rPr>
        <w:t>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办公厅、国家发改委办公厅《关于房屋建筑和市政基础设施项目工程总承包管理办法》（建办市函〔2019〕308号）以及最高人民法院《关于审理建设工程施工合同纠纷案件适用法律问题的解释（二）》（法释〔2018〕20号）等相关文件精神，中国投资协会项目投融资专业委员会拟举办“施工合同风险管控、工程总承包项目全过程实战管理以及新版清单计价下建设工程项目造价管控培训班”。</w:t>
      </w:r>
    </w:p>
    <w:p>
      <w:pPr>
        <w:tabs>
          <w:tab w:val="left" w:pos="567"/>
          <w:tab w:val="left" w:pos="709"/>
        </w:tabs>
        <w:spacing w:line="30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旨在帮助各地方政府建设规划、工程建设、监督管理等部门以及项目业主、勘察、设计、施工、监理单位等相关人员及时学习和掌握工程建设计价、施工合同管理和工程总承包最新政策；厘清项目实施中的重点、难点、疑点、焦点等共性问题，拓宽解决问题的思路和方法；管好用好投资、控制工程造价，提高合同管理水平；加强工程总承包项目管理能力，有效防范风险，完善工程总承包管理制度，提升工程建设质量和效益。现将有关事宜通知如下：</w:t>
      </w:r>
    </w:p>
    <w:p>
      <w:pPr>
        <w:pStyle w:val="21"/>
        <w:numPr>
          <w:ilvl w:val="0"/>
          <w:numId w:val="1"/>
        </w:numPr>
        <w:tabs>
          <w:tab w:val="left" w:pos="567"/>
          <w:tab w:val="left" w:pos="709"/>
        </w:tabs>
        <w:spacing w:line="300" w:lineRule="exact"/>
        <w:ind w:firstLineChars="0"/>
        <w:textAlignment w:val="baseline"/>
        <w:outlineLvl w:val="0"/>
        <w:rPr>
          <w:rFonts w:ascii="黑体" w:hAnsi="黑体" w:eastAsia="黑体" w:cs="黑体"/>
          <w:bCs/>
          <w:color w:val="000000"/>
          <w:sz w:val="28"/>
          <w:szCs w:val="28"/>
        </w:rPr>
      </w:pPr>
      <w:r>
        <w:rPr>
          <w:rFonts w:hint="eastAsia" w:ascii="黑体" w:hAnsi="黑体" w:eastAsia="黑体" w:cs="黑体"/>
          <w:bCs/>
          <w:color w:val="000000"/>
          <w:sz w:val="28"/>
          <w:szCs w:val="28"/>
        </w:rPr>
        <w:t>组织机构</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主办单位：中国投资协会项目投融资专业委员会</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承办单位:北京中科鼎创管理咨询有限公司</w:t>
      </w:r>
    </w:p>
    <w:p>
      <w:pPr>
        <w:tabs>
          <w:tab w:val="left" w:pos="567"/>
          <w:tab w:val="left" w:pos="709"/>
        </w:tabs>
        <w:spacing w:line="300" w:lineRule="exact"/>
        <w:ind w:left="600"/>
        <w:textAlignment w:val="baseline"/>
        <w:outlineLvl w:val="0"/>
        <w:rPr>
          <w:rFonts w:ascii="黑体" w:hAnsi="黑体" w:eastAsia="黑体" w:cs="黑体"/>
          <w:bCs/>
          <w:color w:val="000000"/>
          <w:sz w:val="28"/>
          <w:szCs w:val="28"/>
        </w:rPr>
      </w:pPr>
      <w:r>
        <w:rPr>
          <w:rFonts w:hint="eastAsia" w:ascii="黑体" w:hAnsi="黑体" w:eastAsia="黑体" w:cs="黑体"/>
          <w:bCs/>
          <w:color w:val="000000"/>
          <w:sz w:val="28"/>
          <w:szCs w:val="28"/>
        </w:rPr>
        <w:t>二、培训内容（</w:t>
      </w:r>
      <w:r>
        <w:rPr>
          <w:rFonts w:hint="eastAsia" w:ascii="仿宋" w:hAnsi="仿宋" w:eastAsia="仿宋" w:cs="黑体"/>
          <w:bCs/>
          <w:color w:val="000000"/>
          <w:sz w:val="28"/>
          <w:szCs w:val="28"/>
        </w:rPr>
        <w:t>详细内容见附件</w:t>
      </w:r>
      <w:r>
        <w:rPr>
          <w:rFonts w:hint="eastAsia" w:ascii="黑体" w:hAnsi="黑体" w:eastAsia="黑体" w:cs="黑体"/>
          <w:bCs/>
          <w:color w:val="000000"/>
          <w:sz w:val="28"/>
          <w:szCs w:val="28"/>
        </w:rPr>
        <w:t>）</w:t>
      </w:r>
    </w:p>
    <w:p>
      <w:pPr>
        <w:pStyle w:val="21"/>
        <w:numPr>
          <w:ilvl w:val="0"/>
          <w:numId w:val="2"/>
        </w:numPr>
        <w:tabs>
          <w:tab w:val="left" w:pos="567"/>
          <w:tab w:val="left" w:pos="709"/>
        </w:tabs>
        <w:spacing w:line="300" w:lineRule="exact"/>
        <w:ind w:firstLineChars="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相关政策解读及全过程风险防范咨询</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1.新政策下EPC工程总承包全过程实战管理</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2.建设项目全过程工程咨询新政策解读、控制要点及操作实务</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（二）《建设工程施工合同纠纷司法解释（二）》</w:t>
      </w:r>
    </w:p>
    <w:p>
      <w:pPr>
        <w:tabs>
          <w:tab w:val="left" w:pos="567"/>
          <w:tab w:val="left" w:pos="709"/>
        </w:tabs>
        <w:spacing w:line="300" w:lineRule="exact"/>
        <w:ind w:firstLine="6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1.合同效力相关问题</w:t>
      </w:r>
    </w:p>
    <w:p>
      <w:pPr>
        <w:tabs>
          <w:tab w:val="left" w:pos="567"/>
          <w:tab w:val="left" w:pos="709"/>
        </w:tabs>
        <w:spacing w:line="300" w:lineRule="exact"/>
        <w:ind w:firstLine="6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2．合同履行相关问题</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 xml:space="preserve"> 3.建设工程造价鉴定</w:t>
      </w:r>
    </w:p>
    <w:p>
      <w:pPr>
        <w:tabs>
          <w:tab w:val="left" w:pos="567"/>
          <w:tab w:val="left" w:pos="709"/>
        </w:tabs>
        <w:spacing w:line="300" w:lineRule="exact"/>
        <w:ind w:firstLine="6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4.实际施工人相关问题</w:t>
      </w:r>
    </w:p>
    <w:p>
      <w:pPr>
        <w:tabs>
          <w:tab w:val="left" w:pos="567"/>
          <w:tab w:val="left" w:pos="709"/>
        </w:tabs>
        <w:spacing w:line="300" w:lineRule="exact"/>
        <w:ind w:firstLine="6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5.建设工程价款优先受偿权利主体</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（三）《房屋建筑和市政基础设施项目工程总承包计价计量规范(征求意见稿)》解读与建设工程造价管控、结算疑难问题解析</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1.《房屋建筑和市政基础设施项目工程总承包计价计量规范(征求意见稿)》解读与应用</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2.基于建设项目过程的精细化造价管理与管控实战</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3.工程造价管控、计价争议实务焦点共性问题分析解决思路</w:t>
      </w:r>
    </w:p>
    <w:p>
      <w:pPr>
        <w:tabs>
          <w:tab w:val="left" w:pos="567"/>
          <w:tab w:val="left" w:pos="709"/>
        </w:tabs>
        <w:spacing w:line="300" w:lineRule="exact"/>
        <w:ind w:firstLine="560" w:firstLineChars="200"/>
        <w:textAlignment w:val="baseline"/>
        <w:outlineLvl w:val="0"/>
        <w:rPr>
          <w:rFonts w:ascii="黑体" w:hAnsi="黑体" w:eastAsia="黑体" w:cs="黑体"/>
          <w:bCs/>
          <w:color w:val="000000"/>
          <w:sz w:val="28"/>
          <w:szCs w:val="28"/>
        </w:rPr>
      </w:pPr>
      <w:r>
        <w:rPr>
          <w:rFonts w:hint="eastAsia" w:ascii="黑体" w:hAnsi="黑体" w:eastAsia="黑体" w:cs="黑体"/>
          <w:bCs/>
          <w:color w:val="000000"/>
          <w:sz w:val="28"/>
          <w:szCs w:val="28"/>
        </w:rPr>
        <w:t>三、培训范围</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1.各地方政府有关建设规划、工程建设、监督管理等部门，工程勘察、设计、施工、监理单位以及建设工程交易、投资项目评审相关人员；</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2.各业主单位项目管理、合同管理、造价管理、建设开发、财务审计等相关部门人员；</w:t>
      </w:r>
    </w:p>
    <w:p>
      <w:pPr>
        <w:tabs>
          <w:tab w:val="left" w:pos="567"/>
          <w:tab w:val="left" w:pos="709"/>
        </w:tabs>
        <w:spacing w:line="300" w:lineRule="exact"/>
        <w:ind w:firstLine="560" w:firstLineChars="2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3.各类建筑施工企业、工程规划设计、设备材料供应、招标投标机构、投资咨询服务、市场监管管理等部门负责人。</w:t>
      </w:r>
    </w:p>
    <w:p>
      <w:pPr>
        <w:tabs>
          <w:tab w:val="left" w:pos="567"/>
          <w:tab w:val="left" w:pos="709"/>
        </w:tabs>
        <w:spacing w:line="300" w:lineRule="exact"/>
        <w:ind w:firstLine="420" w:firstLineChars="150"/>
        <w:textAlignment w:val="baseline"/>
        <w:outlineLvl w:val="0"/>
        <w:rPr>
          <w:rFonts w:ascii="黑体" w:hAnsi="黑体" w:eastAsia="黑体" w:cs="黑体"/>
          <w:bCs/>
          <w:color w:val="000000"/>
          <w:sz w:val="28"/>
          <w:szCs w:val="28"/>
        </w:rPr>
      </w:pPr>
      <w:r>
        <w:rPr>
          <w:rFonts w:hint="eastAsia" w:ascii="黑体" w:hAnsi="黑体" w:eastAsia="黑体" w:cs="黑体"/>
          <w:bCs/>
          <w:color w:val="000000"/>
          <w:sz w:val="28"/>
          <w:szCs w:val="28"/>
        </w:rPr>
        <w:t>四、授课专家</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本期培训班拟邀请国家发改委、住建部相关部门及行业协会参与政策法规文件起草、行业规范编写，具有丰富实践经验的专家授课。培训将结合经典案例分析，进行现场答疑和互动交流。</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黑体" w:hAnsi="黑体" w:eastAsia="黑体" w:cs="黑体"/>
          <w:bCs/>
          <w:color w:val="000000"/>
          <w:sz w:val="28"/>
          <w:szCs w:val="28"/>
        </w:rPr>
        <w:t>五、培训时间地点</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第二期：2019年</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6日—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9月10日（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6日报到，10日返程） 成都市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第三期：2019年</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9月19日—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9月24日（19日报到，24日返程） 厦门市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第四期：2019年</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9月20日—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9月24日（20日报到，24日返程） 杭州市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第五期：2019年10月25日—10月29日（25日报到，29日返程） 深圳市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第六期：2019年10月25日—10月29日（25日报到，29日返程） 南宁市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第七期：2019年11月14日—11月19日（14日报到，19日返程） 海口市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第八期：2019年11月28日—12月</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3日（28日报到，</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 xml:space="preserve">3日返程） 杭州市 </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第九期：2019年12月18日—12月23日（18日报到，23日返程） 成都市</w:t>
      </w:r>
    </w:p>
    <w:p>
      <w:pPr>
        <w:tabs>
          <w:tab w:val="left" w:pos="567"/>
          <w:tab w:val="left" w:pos="709"/>
        </w:tabs>
        <w:spacing w:line="300" w:lineRule="exact"/>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第十期：2020年</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1月</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7日—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1月12日（</w:t>
      </w:r>
      <w:r>
        <w:rPr>
          <w:rFonts w:hint="eastAsia" w:ascii="仿宋" w:hAnsi="仿宋" w:eastAsia="仿宋" w:cs="黑体"/>
          <w:bCs/>
          <w:color w:val="000000"/>
          <w:sz w:val="28"/>
          <w:szCs w:val="28"/>
          <w:lang w:val="en-US" w:eastAsia="zh-CN"/>
        </w:rPr>
        <w:t>0</w:t>
      </w:r>
      <w:r>
        <w:rPr>
          <w:rFonts w:hint="eastAsia" w:ascii="仿宋" w:hAnsi="仿宋" w:eastAsia="仿宋" w:cs="黑体"/>
          <w:bCs/>
          <w:color w:val="000000"/>
          <w:sz w:val="28"/>
          <w:szCs w:val="28"/>
        </w:rPr>
        <w:t xml:space="preserve">7日报到，12日返程） 北京市 </w:t>
      </w:r>
    </w:p>
    <w:p>
      <w:pPr>
        <w:tabs>
          <w:tab w:val="left" w:pos="567"/>
          <w:tab w:val="left" w:pos="709"/>
        </w:tabs>
        <w:spacing w:line="300" w:lineRule="exact"/>
        <w:ind w:firstLine="420" w:firstLineChars="150"/>
        <w:textAlignment w:val="baseline"/>
        <w:outlineLvl w:val="0"/>
        <w:rPr>
          <w:rFonts w:ascii="黑体" w:hAnsi="黑体" w:eastAsia="黑体" w:cs="黑体"/>
          <w:bCs/>
          <w:color w:val="000000"/>
          <w:sz w:val="28"/>
          <w:szCs w:val="28"/>
        </w:rPr>
      </w:pPr>
      <w:r>
        <w:rPr>
          <w:rFonts w:hint="eastAsia" w:ascii="黑体" w:hAnsi="黑体" w:eastAsia="黑体" w:cs="黑体"/>
          <w:bCs/>
          <w:color w:val="000000"/>
          <w:sz w:val="28"/>
          <w:szCs w:val="28"/>
        </w:rPr>
        <w:t>六、相关事宜</w:t>
      </w:r>
    </w:p>
    <w:p>
      <w:pPr>
        <w:tabs>
          <w:tab w:val="left" w:pos="567"/>
          <w:tab w:val="left" w:pos="709"/>
        </w:tabs>
        <w:spacing w:line="300" w:lineRule="exact"/>
        <w:ind w:firstLine="281" w:firstLineChars="100"/>
        <w:textAlignment w:val="baseline"/>
        <w:outlineLvl w:val="0"/>
        <w:rPr>
          <w:rFonts w:ascii="仿宋" w:hAnsi="仿宋" w:eastAsia="仿宋" w:cs="黑体"/>
          <w:bCs/>
          <w:color w:val="000000"/>
          <w:sz w:val="28"/>
          <w:szCs w:val="28"/>
        </w:rPr>
      </w:pPr>
      <w:r>
        <w:rPr>
          <w:rFonts w:hint="eastAsia" w:ascii="楷体" w:hAnsi="楷体" w:eastAsia="楷体" w:cs="楷体"/>
          <w:b/>
          <w:bCs/>
          <w:color w:val="000000"/>
          <w:sz w:val="28"/>
          <w:szCs w:val="28"/>
        </w:rPr>
        <w:t>（</w:t>
      </w:r>
      <w:r>
        <w:rPr>
          <w:rFonts w:hint="eastAsia" w:ascii="仿宋" w:hAnsi="仿宋" w:eastAsia="仿宋" w:cs="黑体"/>
          <w:bCs/>
          <w:color w:val="000000"/>
          <w:sz w:val="28"/>
          <w:szCs w:val="28"/>
        </w:rPr>
        <w:t>一）培训费用</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A.2800元/人（含培训、资料、电子课件、场地），食宿统一安排，费用自理。</w:t>
      </w:r>
    </w:p>
    <w:p>
      <w:pPr>
        <w:tabs>
          <w:tab w:val="left" w:pos="567"/>
          <w:tab w:val="left" w:pos="709"/>
        </w:tabs>
        <w:spacing w:line="300" w:lineRule="exact"/>
        <w:ind w:firstLine="420" w:firstLineChars="1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B.4980元/人（含培训、资料、电子课件、场地、食宿），住宿为双人标间，如单人入住补交差价。</w:t>
      </w:r>
    </w:p>
    <w:p>
      <w:pPr>
        <w:tabs>
          <w:tab w:val="left" w:pos="567"/>
          <w:tab w:val="left" w:pos="709"/>
        </w:tabs>
        <w:spacing w:line="300" w:lineRule="exact"/>
        <w:ind w:firstLine="280" w:firstLineChars="10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（二）联系方式</w:t>
      </w:r>
    </w:p>
    <w:p>
      <w:pPr>
        <w:spacing w:line="340" w:lineRule="exact"/>
        <w:rPr>
          <w:rFonts w:hint="eastAsia" w:ascii="宋体" w:hAnsi="宋体"/>
          <w:b/>
          <w:color w:val="000000"/>
          <w:sz w:val="28"/>
          <w:szCs w:val="28"/>
        </w:rPr>
      </w:pPr>
      <w:r>
        <w:rPr>
          <w:rFonts w:hint="eastAsia" w:ascii="宋体" w:hAnsi="宋体"/>
          <w:b/>
          <w:color w:val="000000"/>
          <w:sz w:val="28"/>
          <w:szCs w:val="28"/>
        </w:rPr>
        <w:t>报名联系人：聂红军 主任 18211071700（微信）      邮  箱：zqgphwz@126.com</w:t>
      </w:r>
    </w:p>
    <w:p>
      <w:pPr>
        <w:spacing w:line="340" w:lineRule="exact"/>
        <w:rPr>
          <w:rFonts w:hint="eastAsia" w:ascii="宋体" w:hAnsi="宋体"/>
          <w:b/>
          <w:color w:val="000000"/>
          <w:sz w:val="28"/>
          <w:szCs w:val="28"/>
        </w:rPr>
      </w:pPr>
      <w:r>
        <w:rPr>
          <w:rFonts w:hint="eastAsia" w:ascii="宋体" w:hAnsi="宋体"/>
          <w:b/>
          <w:color w:val="000000"/>
          <w:sz w:val="28"/>
          <w:szCs w:val="28"/>
        </w:rPr>
        <w:t xml:space="preserve">电话（传真）：010-87697580                    qq咨询：3177524020   </w:t>
      </w:r>
    </w:p>
    <w:p>
      <w:pPr>
        <w:tabs>
          <w:tab w:val="left" w:pos="567"/>
          <w:tab w:val="left" w:pos="709"/>
        </w:tabs>
        <w:spacing w:line="300" w:lineRule="exact"/>
        <w:textAlignment w:val="baseline"/>
        <w:outlineLvl w:val="0"/>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网址查询：</w:t>
      </w:r>
      <w:r>
        <w:rPr>
          <w:rFonts w:hint="eastAsia" w:ascii="宋体" w:hAnsi="宋体" w:cs="宋体"/>
          <w:b/>
          <w:color w:val="000000"/>
          <w:sz w:val="28"/>
          <w:szCs w:val="28"/>
          <w:shd w:val="clear" w:color="auto" w:fill="FFFFFF"/>
        </w:rPr>
        <w:fldChar w:fldCharType="begin"/>
      </w:r>
      <w:r>
        <w:rPr>
          <w:rFonts w:hint="eastAsia" w:ascii="宋体" w:hAnsi="宋体" w:cs="宋体"/>
          <w:b/>
          <w:color w:val="000000"/>
          <w:sz w:val="28"/>
          <w:szCs w:val="28"/>
          <w:shd w:val="clear" w:color="auto" w:fill="FFFFFF"/>
        </w:rPr>
        <w:instrText xml:space="preserve"> HYPERLINK "http://www.zqgpchina.cn/" </w:instrText>
      </w:r>
      <w:r>
        <w:rPr>
          <w:rFonts w:hint="eastAsia" w:ascii="宋体" w:hAnsi="宋体" w:cs="宋体"/>
          <w:b/>
          <w:color w:val="000000"/>
          <w:sz w:val="28"/>
          <w:szCs w:val="28"/>
          <w:shd w:val="clear" w:color="auto" w:fill="FFFFFF"/>
        </w:rPr>
        <w:fldChar w:fldCharType="separate"/>
      </w:r>
      <w:r>
        <w:rPr>
          <w:rStyle w:val="14"/>
          <w:rFonts w:hint="eastAsia" w:ascii="宋体" w:hAnsi="宋体" w:cs="宋体"/>
          <w:b/>
          <w:color w:val="000000"/>
          <w:sz w:val="28"/>
          <w:szCs w:val="28"/>
          <w:shd w:val="clear" w:color="auto" w:fill="FFFFFF"/>
        </w:rPr>
        <w:t>http://www.zqgpchina.cn/</w:t>
      </w:r>
      <w:r>
        <w:rPr>
          <w:rFonts w:hint="eastAsia" w:ascii="宋体" w:hAnsi="宋体" w:cs="宋体"/>
          <w:b/>
          <w:color w:val="000000"/>
          <w:sz w:val="28"/>
          <w:szCs w:val="28"/>
          <w:shd w:val="clear" w:color="auto" w:fill="FFFFFF"/>
        </w:rPr>
        <w:fldChar w:fldCharType="end"/>
      </w:r>
    </w:p>
    <w:p>
      <w:pPr>
        <w:tabs>
          <w:tab w:val="left" w:pos="567"/>
          <w:tab w:val="left" w:pos="709"/>
        </w:tabs>
        <w:spacing w:line="300" w:lineRule="exact"/>
        <w:ind w:firstLine="140" w:firstLineChars="5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附件：</w:t>
      </w:r>
    </w:p>
    <w:p>
      <w:pPr>
        <w:pStyle w:val="21"/>
        <w:numPr>
          <w:ilvl w:val="0"/>
          <w:numId w:val="3"/>
        </w:numPr>
        <w:tabs>
          <w:tab w:val="left" w:pos="567"/>
          <w:tab w:val="left" w:pos="709"/>
        </w:tabs>
        <w:spacing w:line="300" w:lineRule="exact"/>
        <w:ind w:firstLineChars="0"/>
        <w:textAlignment w:val="baseline"/>
        <w:outlineLvl w:val="0"/>
        <w:rPr>
          <w:rFonts w:ascii="仿宋" w:hAnsi="仿宋" w:eastAsia="仿宋" w:cs="黑体"/>
          <w:bCs/>
          <w:color w:val="000000"/>
          <w:sz w:val="28"/>
          <w:szCs w:val="28"/>
        </w:rPr>
      </w:pPr>
      <w:r>
        <w:rPr>
          <w:rFonts w:hint="eastAsia" w:ascii="仿宋" w:hAnsi="仿宋" w:eastAsia="仿宋" w:cs="黑体"/>
          <w:bCs/>
          <w:color w:val="000000"/>
          <w:sz w:val="28"/>
          <w:szCs w:val="28"/>
        </w:rPr>
        <w:t>培训内容</w:t>
      </w:r>
    </w:p>
    <w:p>
      <w:pPr>
        <w:pStyle w:val="21"/>
        <w:numPr>
          <w:ilvl w:val="0"/>
          <w:numId w:val="3"/>
        </w:numPr>
        <w:tabs>
          <w:tab w:val="left" w:pos="567"/>
          <w:tab w:val="left" w:pos="709"/>
        </w:tabs>
        <w:spacing w:line="300" w:lineRule="exact"/>
        <w:ind w:firstLineChars="0"/>
        <w:textAlignment w:val="baseline"/>
        <w:outlineLvl w:val="0"/>
        <w:rPr>
          <w:rFonts w:ascii="仿宋" w:hAnsi="仿宋" w:eastAsia="仿宋" w:cs="黑体"/>
          <w:bCs/>
          <w:color w:val="000000"/>
          <w:sz w:val="28"/>
          <w:szCs w:val="28"/>
        </w:rPr>
      </w:pPr>
      <w:r>
        <w:rPr>
          <w:rFonts w:ascii="仿宋" w:hAnsi="仿宋" w:eastAsia="仿宋" w:cs="黑体"/>
          <w:bCs/>
          <w:color w:val="000000"/>
          <w:sz w:val="28"/>
          <w:szCs w:val="28"/>
        </w:rPr>
        <w:drawing>
          <wp:anchor distT="0" distB="0" distL="114300" distR="114300" simplePos="0" relativeHeight="251658240" behindDoc="1" locked="0" layoutInCell="1" allowOverlap="1">
            <wp:simplePos x="0" y="0"/>
            <wp:positionH relativeFrom="column">
              <wp:posOffset>-712470</wp:posOffset>
            </wp:positionH>
            <wp:positionV relativeFrom="paragraph">
              <wp:posOffset>232410</wp:posOffset>
            </wp:positionV>
            <wp:extent cx="7574280" cy="2019300"/>
            <wp:effectExtent l="0" t="0" r="7620" b="0"/>
            <wp:wrapNone/>
            <wp:docPr id="2" name="图片 2" descr="C:\Users\ADMINI~1\AppData\Local\Temp\1566888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6688820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74280" cy="2019300"/>
                    </a:xfrm>
                    <a:prstGeom prst="rect">
                      <a:avLst/>
                    </a:prstGeom>
                    <a:noFill/>
                    <a:ln>
                      <a:noFill/>
                    </a:ln>
                  </pic:spPr>
                </pic:pic>
              </a:graphicData>
            </a:graphic>
          </wp:anchor>
        </w:drawing>
      </w:r>
      <w:r>
        <w:rPr>
          <w:rFonts w:hint="eastAsia" w:ascii="仿宋" w:hAnsi="仿宋" w:eastAsia="仿宋" w:cs="黑体"/>
          <w:bCs/>
          <w:color w:val="000000"/>
          <w:sz w:val="28"/>
          <w:szCs w:val="28"/>
        </w:rPr>
        <w:t>“施工合同风险管控 工程总承包项目全过程实战管理以及新版清单计价下建设工程项目造价管控”培训班报名回执表</w:t>
      </w: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hint="eastAsia" w:ascii="仿宋" w:hAnsi="仿宋" w:eastAsia="仿宋" w:cs="黑体"/>
          <w:b/>
          <w:bCs/>
          <w:color w:val="000000"/>
          <w:sz w:val="28"/>
          <w:szCs w:val="28"/>
        </w:rPr>
      </w:pPr>
    </w:p>
    <w:p>
      <w:pPr>
        <w:tabs>
          <w:tab w:val="left" w:pos="567"/>
          <w:tab w:val="left" w:pos="709"/>
        </w:tabs>
        <w:spacing w:line="360" w:lineRule="exact"/>
        <w:textAlignment w:val="baseline"/>
        <w:outlineLvl w:val="0"/>
        <w:rPr>
          <w:rFonts w:ascii="仿宋" w:hAnsi="仿宋" w:eastAsia="仿宋" w:cs="黑体"/>
          <w:b/>
          <w:bCs/>
          <w:color w:val="000000"/>
          <w:sz w:val="28"/>
          <w:szCs w:val="28"/>
        </w:rPr>
      </w:pPr>
      <w:r>
        <w:rPr>
          <w:rFonts w:hint="eastAsia" w:ascii="仿宋" w:hAnsi="仿宋" w:eastAsia="仿宋" w:cs="黑体"/>
          <w:b/>
          <w:bCs/>
          <w:color w:val="000000"/>
          <w:sz w:val="28"/>
          <w:szCs w:val="28"/>
        </w:rPr>
        <w:t>附件1.培训内容</w:t>
      </w:r>
    </w:p>
    <w:p>
      <w:pPr>
        <w:tabs>
          <w:tab w:val="left" w:pos="567"/>
          <w:tab w:val="left" w:pos="709"/>
        </w:tabs>
        <w:spacing w:line="360" w:lineRule="exact"/>
        <w:ind w:firstLine="422" w:firstLineChars="150"/>
        <w:textAlignment w:val="baseline"/>
        <w:outlineLvl w:val="0"/>
        <w:rPr>
          <w:rFonts w:ascii="楷体" w:hAnsi="楷体" w:eastAsia="楷体" w:cs="楷体"/>
          <w:b/>
          <w:bCs/>
          <w:color w:val="000000"/>
          <w:sz w:val="28"/>
          <w:szCs w:val="28"/>
        </w:rPr>
      </w:pPr>
      <w:r>
        <w:rPr>
          <w:rFonts w:hint="eastAsia" w:ascii="楷体" w:hAnsi="楷体" w:eastAsia="楷体" w:cs="楷体"/>
          <w:b/>
          <w:bCs/>
          <w:color w:val="000000"/>
          <w:sz w:val="28"/>
          <w:szCs w:val="28"/>
        </w:rPr>
        <w:t>(一）相关政策解读及全过程风险防范咨询</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1.新政策下EPC工程总承包项目全过程实战管理</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（1）《房屋建筑和市政基础设施项目工程总承包管理办法》解读</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（2）《建设项目工程总承包管理规范》（GB/T50358-2017）解读</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（3）住建部新版《建设项目工程总承包合同示范文本》解读</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（4）EPC工程总承包项目招投标常见问题及解析</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（5）EPC工程总承包项目全过程造价管理与控制</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（6）EPC工程总承包项目合同核心风险识别与防范</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（7）PPP+EPC模式下的合同管理</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（8）BIM及数字化交付介绍</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（9）EPC工程总承包项目实施过程案例分享</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2.建设项目全过程工程咨询新政解读、控制要点及操作实务</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bCs/>
          <w:color w:val="000000"/>
          <w:sz w:val="28"/>
          <w:szCs w:val="28"/>
        </w:rPr>
        <w:t>1）全过程工程咨询服务发展、培育全过程工程咨询市场政策解析</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（2）全过程工程咨询服务中工程项目前期策划的流程及要点</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（3）全过程工程咨询服务中投资决策及可行性阶段实操落地</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（4）全过程工程咨询核心——造价合约协同管控落地实操</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（5）全过程工程咨询服务合同示范文本解读</w:t>
      </w:r>
      <w:r>
        <w:rPr>
          <w:rFonts w:hint="eastAsia" w:ascii="仿宋_GB2312" w:hAnsi="仿宋_GB2312" w:eastAsia="仿宋_GB2312" w:cs="仿宋_GB2312"/>
          <w:bCs/>
          <w:color w:val="000000"/>
          <w:sz w:val="28"/>
          <w:szCs w:val="28"/>
        </w:rPr>
        <w:tab/>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（6）新时代我国全过程工程咨询的未来发展之路</w:t>
      </w:r>
    </w:p>
    <w:p>
      <w:pPr>
        <w:tabs>
          <w:tab w:val="left" w:pos="567"/>
          <w:tab w:val="left" w:pos="709"/>
        </w:tabs>
        <w:spacing w:line="36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（7）工程总承包项目实施过程案例分享</w:t>
      </w:r>
    </w:p>
    <w:p>
      <w:pPr>
        <w:tabs>
          <w:tab w:val="left" w:pos="567"/>
          <w:tab w:val="left" w:pos="709"/>
        </w:tabs>
        <w:spacing w:line="360" w:lineRule="exact"/>
        <w:ind w:firstLine="562" w:firstLineChars="200"/>
        <w:textAlignment w:val="baseline"/>
        <w:outlineLvl w:val="0"/>
        <w:rPr>
          <w:rFonts w:ascii="楷体" w:hAnsi="楷体" w:eastAsia="楷体" w:cs="楷体"/>
          <w:b/>
          <w:bCs/>
          <w:color w:val="000000"/>
          <w:sz w:val="28"/>
          <w:szCs w:val="28"/>
        </w:rPr>
      </w:pPr>
      <w:r>
        <w:rPr>
          <w:rFonts w:hint="eastAsia" w:ascii="楷体" w:hAnsi="楷体" w:eastAsia="楷体" w:cs="楷体"/>
          <w:b/>
          <w:bCs/>
          <w:color w:val="000000"/>
          <w:sz w:val="28"/>
          <w:szCs w:val="28"/>
        </w:rPr>
        <w:t>(二）《建设工程施工合同纠纷司法解释（二）》</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1.合同效力相关问题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（1）收到中标通知书后未签订书面合同的责任</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（2）中标合同实质性内容的认定</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（3）背离中标合同实质性内容的认定</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（4）中标合同实质性内容变更的例外情形</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（5）违法建筑施工合同的处理</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（6）合同无效的赔偿责任</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2.合同履行相关问题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（1）实际开工日期的认定</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（2）工期顺延的认定</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（3）质量保证金相关问题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（4）备案合同与招投标文件不一致时工程价款的结算</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（5）自主招标相关问题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（6）合作开发房地产各方对于工程价款债务责任承担</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（7）多份无效合同的结算</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3.建设工程造价鉴定</w:t>
      </w:r>
    </w:p>
    <w:p>
      <w:pPr>
        <w:tabs>
          <w:tab w:val="left" w:pos="567"/>
          <w:tab w:val="left" w:pos="709"/>
        </w:tabs>
        <w:spacing w:line="360" w:lineRule="exact"/>
        <w:ind w:firstLine="562"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Cs/>
          <w:color w:val="000000"/>
          <w:sz w:val="28"/>
          <w:szCs w:val="28"/>
        </w:rPr>
        <w:t>1）诉讼前就工程价款结算达成合意的效力</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（2）诉讼前共同委托造价咨询的效力</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（3）二审程序中的鉴定</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（4）法院委托鉴定中司法权的行使</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（5）鉴定意见的审核认定原则</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4.实际施工人相关问题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（1）实际施工人的权利救济途径</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Cs/>
          <w:color w:val="000000"/>
          <w:sz w:val="28"/>
          <w:szCs w:val="28"/>
        </w:rPr>
        <w:t>）借用情形下实际施工人的权利救济</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5.建设工程价款优先受偿权的权利主体</w:t>
      </w:r>
    </w:p>
    <w:p>
      <w:pPr>
        <w:tabs>
          <w:tab w:val="left" w:pos="567"/>
          <w:tab w:val="left" w:pos="709"/>
        </w:tabs>
        <w:spacing w:line="360" w:lineRule="exact"/>
        <w:ind w:firstLine="562"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Cs/>
          <w:color w:val="000000"/>
          <w:sz w:val="28"/>
          <w:szCs w:val="28"/>
        </w:rPr>
        <w:t>1）合同承包人优先受偿权的行使</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（2）债权范围</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（3）行使条件</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（4）保护期间</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（5）预先放弃效力</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（6）优先受偿权与其他权利的顺位</w:t>
      </w:r>
    </w:p>
    <w:p>
      <w:pPr>
        <w:tabs>
          <w:tab w:val="left" w:pos="567"/>
          <w:tab w:val="left" w:pos="709"/>
        </w:tabs>
        <w:spacing w:line="360" w:lineRule="exact"/>
        <w:ind w:firstLine="562" w:firstLineChars="200"/>
        <w:textAlignment w:val="baseline"/>
        <w:outlineLvl w:val="0"/>
        <w:rPr>
          <w:rFonts w:ascii="楷体" w:hAnsi="楷体" w:eastAsia="楷体" w:cs="楷体"/>
          <w:b/>
          <w:bCs/>
          <w:color w:val="000000"/>
          <w:sz w:val="28"/>
          <w:szCs w:val="28"/>
        </w:rPr>
      </w:pPr>
      <w:r>
        <w:rPr>
          <w:rFonts w:hint="eastAsia" w:ascii="楷体" w:hAnsi="楷体" w:eastAsia="楷体" w:cs="楷体"/>
          <w:b/>
          <w:bCs/>
          <w:color w:val="000000"/>
          <w:sz w:val="28"/>
          <w:szCs w:val="28"/>
        </w:rPr>
        <w:t>（三）《房屋建筑和市政基础设施项目工程总承包计价计量规范(征求意见稿)》解读与建设工程造价管控、结算疑难问题解析</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1.《房屋建筑和市政基础设施项目工程总承包计价计量规范(征求意见稿)》解读与应用</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楷体" w:hAnsi="楷体" w:eastAsia="楷体" w:cs="楷体"/>
          <w:bCs/>
          <w:color w:val="000000"/>
          <w:sz w:val="28"/>
          <w:szCs w:val="28"/>
        </w:rPr>
        <w:t>（</w:t>
      </w:r>
      <w:r>
        <w:rPr>
          <w:rFonts w:hint="eastAsia" w:ascii="仿宋_GB2312" w:hAnsi="仿宋_GB2312" w:eastAsia="仿宋_GB2312" w:cs="仿宋_GB2312"/>
          <w:bCs/>
          <w:color w:val="000000"/>
          <w:sz w:val="28"/>
          <w:szCs w:val="28"/>
        </w:rPr>
        <w:t>1）工程总承包合同计价面临的制度性困境与挑战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（2）《规范》编制的背景及基本情况说明、主要内容</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（3）《规范》对施工工程量清单招标的启示</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（4）《规范》实施后对业主、承包商、工程咨询等单位的挑战和影响</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2.基于</w:t>
      </w:r>
      <w:r>
        <w:rPr>
          <w:rFonts w:hint="eastAsia" w:ascii="仿宋_GB2312" w:hAnsi="仿宋_GB2312" w:eastAsia="仿宋_GB2312" w:cs="仿宋_GB2312"/>
          <w:bCs/>
          <w:color w:val="000000"/>
          <w:sz w:val="28"/>
          <w:szCs w:val="28"/>
        </w:rPr>
        <w:t>建设项目</w:t>
      </w:r>
      <w:r>
        <w:rPr>
          <w:rFonts w:hint="eastAsia" w:ascii="仿宋_GB2312" w:hAnsi="仿宋_GB2312" w:eastAsia="仿宋_GB2312" w:cs="仿宋_GB2312"/>
          <w:color w:val="000000"/>
          <w:sz w:val="28"/>
          <w:szCs w:val="28"/>
        </w:rPr>
        <w:t>过程的精细化造价管理与管控实战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bCs/>
          <w:color w:val="000000"/>
          <w:sz w:val="28"/>
          <w:szCs w:val="28"/>
        </w:rPr>
        <w:t>招投标环节工程造价精细化管理的关键点管控实战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（2）合同签约环节工程造价精细化管理的关键点管控实战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（3）价款调整环节工程造价精细化管理的关键点管控实战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（4）价款支付环节工程造价精细化管理的关键点管控实战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（5）竣工结算环节工程造价精细化管理的关键点管控实战</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（6）建设项目全过程的闭合管理</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3.工程造价管控、计价争议实务焦点共性问题分析解决思路</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bCs/>
          <w:color w:val="000000"/>
          <w:sz w:val="28"/>
          <w:szCs w:val="28"/>
        </w:rPr>
        <w:t>1）工程造价管控的基础条件分析</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（2）招标清单缺漏的价款补偿分析</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（3）招标清单特征描述不准确的结算影响</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（4）合同价格形式的选择与设计</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（5）工程量核定与进度款结算</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（6）市场价格波动引起的调价</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（7）工程量变更结算中“不平衡单价”处理</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（8）工程实体内容变更计价争议与案例</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（9）工程措施方案变更的责任分析与计价处理</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（10）工程签证与索赔管理典型案例分析</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（11）工程造价管控中疑难争议问题解析</w:t>
      </w:r>
    </w:p>
    <w:p>
      <w:pPr>
        <w:tabs>
          <w:tab w:val="left" w:pos="567"/>
          <w:tab w:val="left" w:pos="709"/>
        </w:tabs>
        <w:spacing w:line="36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（12）工程造价审计的重点内容与方法</w:t>
      </w:r>
    </w:p>
    <w:p>
      <w:pPr>
        <w:keepNext w:val="0"/>
        <w:keepLines w:val="0"/>
        <w:pageBreakBefore w:val="0"/>
        <w:widowControl/>
        <w:kinsoku/>
        <w:wordWrap/>
        <w:overflowPunct/>
        <w:topLinePunct w:val="0"/>
        <w:autoSpaceDE/>
        <w:autoSpaceDN/>
        <w:bidi w:val="0"/>
        <w:adjustRightInd/>
        <w:snapToGrid/>
        <w:spacing w:line="400" w:lineRule="exact"/>
        <w:textAlignment w:val="auto"/>
        <w:rPr>
          <w:rStyle w:val="11"/>
          <w:rFonts w:ascii="宋体" w:hAnsi="宋体" w:cs="宋体"/>
          <w:color w:val="000000"/>
          <w:sz w:val="30"/>
          <w:szCs w:val="30"/>
        </w:rPr>
      </w:pPr>
      <w:r>
        <w:rPr>
          <w:rFonts w:hint="eastAsia" w:ascii="黑体" w:hAnsi="黑体" w:eastAsia="黑体" w:cs="黑体"/>
          <w:bCs/>
          <w:sz w:val="28"/>
          <w:szCs w:val="28"/>
        </w:rPr>
        <w:t xml:space="preserve">附件2. </w:t>
      </w:r>
      <w:r>
        <w:rPr>
          <w:rStyle w:val="11"/>
          <w:rFonts w:hint="eastAsia" w:ascii="宋体" w:hAnsi="宋体" w:cs="宋体"/>
          <w:color w:val="000000"/>
          <w:sz w:val="30"/>
          <w:szCs w:val="30"/>
          <w:lang w:val="zh-CN"/>
        </w:rPr>
        <w:t>“施工合同风险管控</w:t>
      </w:r>
      <w:r>
        <w:rPr>
          <w:rStyle w:val="11"/>
          <w:rFonts w:hint="eastAsia" w:ascii="宋体" w:hAnsi="宋体" w:cs="宋体"/>
          <w:color w:val="000000"/>
          <w:sz w:val="30"/>
          <w:szCs w:val="30"/>
        </w:rPr>
        <w:t xml:space="preserve"> </w:t>
      </w:r>
      <w:r>
        <w:rPr>
          <w:rStyle w:val="11"/>
          <w:rFonts w:hint="eastAsia" w:ascii="宋体" w:hAnsi="宋体" w:cs="宋体"/>
          <w:color w:val="000000"/>
          <w:sz w:val="30"/>
          <w:szCs w:val="30"/>
          <w:lang w:val="zh-CN"/>
        </w:rPr>
        <w:t>工程总承包项目全过程实战管理</w:t>
      </w:r>
      <w:r>
        <w:rPr>
          <w:rStyle w:val="11"/>
          <w:rFonts w:hint="eastAsia" w:ascii="宋体" w:hAnsi="宋体" w:cs="宋体"/>
          <w:color w:val="000000"/>
          <w:sz w:val="30"/>
          <w:szCs w:val="30"/>
        </w:rPr>
        <w:t>以及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11"/>
          <w:rFonts w:ascii="宋体" w:hAnsi="宋体" w:cs="宋体"/>
          <w:color w:val="000000"/>
          <w:sz w:val="30"/>
          <w:szCs w:val="30"/>
          <w:lang w:val="zh-CN"/>
        </w:rPr>
      </w:pPr>
      <w:r>
        <w:rPr>
          <w:rStyle w:val="11"/>
          <w:rFonts w:hint="eastAsia" w:ascii="宋体" w:hAnsi="宋体" w:cs="宋体"/>
          <w:color w:val="000000"/>
          <w:sz w:val="30"/>
          <w:szCs w:val="30"/>
          <w:lang w:val="zh-CN"/>
        </w:rPr>
        <w:t>新版清单计价下建设工程项目造价管控培训班”报名回执表</w:t>
      </w:r>
    </w:p>
    <w:tbl>
      <w:tblPr>
        <w:tblStyle w:val="9"/>
        <w:tblpPr w:leftFromText="180" w:rightFromText="180" w:vertAnchor="text" w:horzAnchor="margin" w:tblpY="20"/>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9"/>
        <w:gridCol w:w="817"/>
        <w:gridCol w:w="907"/>
        <w:gridCol w:w="1125"/>
        <w:gridCol w:w="1290"/>
        <w:gridCol w:w="1365"/>
        <w:gridCol w:w="206"/>
        <w:gridCol w:w="784"/>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通讯地址</w:t>
            </w:r>
          </w:p>
        </w:tc>
        <w:tc>
          <w:tcPr>
            <w:tcW w:w="7626"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exact"/>
        </w:trPr>
        <w:tc>
          <w:tcPr>
            <w:tcW w:w="12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职 务</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电  话</w:t>
            </w:r>
          </w:p>
        </w:tc>
        <w:tc>
          <w:tcPr>
            <w:tcW w:w="13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99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lang w:val="zh-CN"/>
              </w:rPr>
              <w:t>手</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trPr>
        <w:tc>
          <w:tcPr>
            <w:tcW w:w="12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职 务</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电  话</w:t>
            </w:r>
          </w:p>
        </w:tc>
        <w:tc>
          <w:tcPr>
            <w:tcW w:w="13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c>
          <w:tcPr>
            <w:tcW w:w="99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lang w:val="zh-CN"/>
              </w:rPr>
              <w:t>手</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lang w:val="zh-CN"/>
              </w:rPr>
              <w:t>参会人</w:t>
            </w:r>
            <w:r>
              <w:rPr>
                <w:rFonts w:hint="eastAsia" w:ascii="仿宋" w:hAnsi="仿宋" w:eastAsia="仿宋" w:cs="仿宋"/>
                <w:kern w:val="0"/>
                <w:sz w:val="28"/>
                <w:szCs w:val="28"/>
              </w:rPr>
              <w:t>姓名</w:t>
            </w: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性 别</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部  门</w:t>
            </w: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职  务</w:t>
            </w: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手 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是否住宿</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□是     □否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住宿要求</w:t>
            </w:r>
          </w:p>
        </w:tc>
        <w:tc>
          <w:tcPr>
            <w:tcW w:w="43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费用选择</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参加地点</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8"/>
                <w:szCs w:val="28"/>
              </w:rPr>
            </w:pPr>
            <w:r>
              <w:rPr>
                <w:rFonts w:hint="eastAsia" w:ascii="仿宋" w:hAnsi="仿宋" w:eastAsia="仿宋" w:cs="仿宋"/>
                <w:kern w:val="0"/>
                <w:sz w:val="28"/>
                <w:szCs w:val="28"/>
              </w:rPr>
              <w:t>□成都 □厦门 □杭州 □深圳 □南宁 □海口 □杭州 □成都□北京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trPr>
        <w:tc>
          <w:tcPr>
            <w:tcW w:w="184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开票信息</w:t>
            </w:r>
          </w:p>
        </w:tc>
        <w:tc>
          <w:tcPr>
            <w:tcW w:w="8443"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单位名称</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纳税人识别号</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地址电话</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18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开户行账号</w:t>
            </w:r>
          </w:p>
        </w:tc>
        <w:tc>
          <w:tcPr>
            <w:tcW w:w="84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5" w:hRule="exact"/>
        </w:trPr>
        <w:tc>
          <w:tcPr>
            <w:tcW w:w="184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收款账户</w:t>
            </w:r>
          </w:p>
        </w:tc>
        <w:tc>
          <w:tcPr>
            <w:tcW w:w="8443"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单位全称: 北京国网信科技术培训中心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开 户 行：中国工商银行股份有限公司北京半壁店支行</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账    户： 0200 2470 0920 0063 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4" w:hRule="exact"/>
        </w:trPr>
        <w:tc>
          <w:tcPr>
            <w:tcW w:w="184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备注</w:t>
            </w:r>
          </w:p>
        </w:tc>
        <w:tc>
          <w:tcPr>
            <w:tcW w:w="5710"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请及时将回执表回传或E-mail至</w:t>
            </w:r>
            <w:r>
              <w:rPr>
                <w:rFonts w:hint="eastAsia" w:ascii="仿宋" w:hAnsi="仿宋" w:eastAsia="仿宋" w:cs="仿宋"/>
                <w:kern w:val="0"/>
                <w:sz w:val="28"/>
                <w:szCs w:val="28"/>
              </w:rPr>
              <w:t>会</w:t>
            </w:r>
            <w:r>
              <w:rPr>
                <w:rFonts w:hint="eastAsia" w:ascii="仿宋" w:hAnsi="仿宋" w:eastAsia="仿宋" w:cs="仿宋"/>
                <w:kern w:val="0"/>
                <w:sz w:val="28"/>
                <w:szCs w:val="28"/>
                <w:lang w:val="zh-CN"/>
              </w:rPr>
              <w:t>务组，在报名5日内将费用通过银行转账付款，会务组确认到款后即发《报到通知》，其中将详细注明报到时间、报到详细地点等具体安排事项，各参训学员凭证入场。</w:t>
            </w:r>
          </w:p>
        </w:tc>
        <w:tc>
          <w:tcPr>
            <w:tcW w:w="273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单位印章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8"/>
                <w:szCs w:val="28"/>
                <w:lang w:val="zh-CN"/>
              </w:rPr>
            </w:pPr>
            <w:r>
              <w:rPr>
                <w:rFonts w:hint="eastAsia" w:ascii="仿宋" w:hAnsi="仿宋" w:eastAsia="仿宋" w:cs="仿宋"/>
                <w:kern w:val="0"/>
                <w:sz w:val="28"/>
                <w:szCs w:val="28"/>
              </w:rPr>
              <w:t>2019</w:t>
            </w:r>
            <w:r>
              <w:rPr>
                <w:rFonts w:hint="eastAsia" w:ascii="仿宋" w:hAnsi="仿宋" w:eastAsia="仿宋" w:cs="仿宋"/>
                <w:kern w:val="0"/>
                <w:sz w:val="28"/>
                <w:szCs w:val="28"/>
                <w:lang w:val="zh-CN"/>
              </w:rPr>
              <w:t>年</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 xml:space="preserve"> 月</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日</w:t>
            </w:r>
          </w:p>
        </w:tc>
      </w:tr>
    </w:tbl>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4"/>
        </w:rPr>
      </w:pPr>
      <w:r>
        <w:rPr>
          <w:rFonts w:hint="eastAsia" w:ascii="仿宋" w:hAnsi="仿宋" w:eastAsia="仿宋" w:cs="仿宋"/>
          <w:kern w:val="0"/>
          <w:sz w:val="24"/>
        </w:rPr>
        <w:t>备注：培训班名额有限,请尽早报名，额满为止。报名表加盖印章有效</w:t>
      </w:r>
    </w:p>
    <w:p>
      <w:pPr>
        <w:spacing w:line="340" w:lineRule="exact"/>
        <w:rPr>
          <w:rFonts w:hint="eastAsia" w:ascii="宋体" w:hAnsi="宋体"/>
          <w:b/>
          <w:color w:val="000000"/>
          <w:sz w:val="28"/>
          <w:szCs w:val="28"/>
        </w:rPr>
      </w:pPr>
      <w:r>
        <w:rPr>
          <w:rFonts w:hint="eastAsia" w:ascii="宋体" w:hAnsi="宋体"/>
          <w:b/>
          <w:color w:val="000000"/>
          <w:sz w:val="28"/>
          <w:szCs w:val="28"/>
        </w:rPr>
        <w:t>报名联系人：聂红军 主任 18211071700（微信）      邮  箱：zqgphwz@126.com</w:t>
      </w:r>
    </w:p>
    <w:p>
      <w:pPr>
        <w:spacing w:line="340" w:lineRule="exact"/>
        <w:rPr>
          <w:rFonts w:hint="eastAsia" w:ascii="宋体" w:hAnsi="宋体"/>
          <w:b/>
          <w:color w:val="000000"/>
          <w:sz w:val="28"/>
          <w:szCs w:val="28"/>
        </w:rPr>
      </w:pPr>
      <w:r>
        <w:rPr>
          <w:rFonts w:hint="eastAsia" w:ascii="宋体" w:hAnsi="宋体"/>
          <w:b/>
          <w:color w:val="000000"/>
          <w:sz w:val="28"/>
          <w:szCs w:val="28"/>
        </w:rPr>
        <w:t xml:space="preserve">电话（传真）：010-87697580                    qq咨询：3177524020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kern w:val="0"/>
          <w:sz w:val="24"/>
        </w:rPr>
      </w:pPr>
      <w:r>
        <w:rPr>
          <w:rFonts w:hint="eastAsia" w:ascii="宋体" w:hAnsi="宋体" w:cs="宋体"/>
          <w:b/>
          <w:color w:val="000000"/>
          <w:sz w:val="28"/>
          <w:szCs w:val="28"/>
          <w:shd w:val="clear" w:color="auto" w:fill="FFFFFF"/>
        </w:rPr>
        <w:t>网址查询：http://www.zqgpchina.cn/</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850C3"/>
    <w:multiLevelType w:val="multilevel"/>
    <w:tmpl w:val="306850C3"/>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5C63449"/>
    <w:multiLevelType w:val="multilevel"/>
    <w:tmpl w:val="35C63449"/>
    <w:lvl w:ilvl="0" w:tentative="0">
      <w:start w:val="1"/>
      <w:numFmt w:val="japaneseCounting"/>
      <w:lvlText w:val="（%1）"/>
      <w:lvlJc w:val="left"/>
      <w:pPr>
        <w:ind w:left="1284" w:hanging="86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7F16E3C"/>
    <w:multiLevelType w:val="multilevel"/>
    <w:tmpl w:val="57F16E3C"/>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46647"/>
    <w:rsid w:val="00056A27"/>
    <w:rsid w:val="00074E1A"/>
    <w:rsid w:val="00092650"/>
    <w:rsid w:val="000C066B"/>
    <w:rsid w:val="000C7A80"/>
    <w:rsid w:val="000C7BB8"/>
    <w:rsid w:val="00103FE5"/>
    <w:rsid w:val="00114ABE"/>
    <w:rsid w:val="00117A73"/>
    <w:rsid w:val="00130DE1"/>
    <w:rsid w:val="0013280D"/>
    <w:rsid w:val="00147186"/>
    <w:rsid w:val="001511A0"/>
    <w:rsid w:val="001513F6"/>
    <w:rsid w:val="001542EE"/>
    <w:rsid w:val="0019052F"/>
    <w:rsid w:val="001B6B47"/>
    <w:rsid w:val="001C57FA"/>
    <w:rsid w:val="001E0334"/>
    <w:rsid w:val="001F19FD"/>
    <w:rsid w:val="00224B28"/>
    <w:rsid w:val="002315D5"/>
    <w:rsid w:val="002406D9"/>
    <w:rsid w:val="00280CFA"/>
    <w:rsid w:val="002811AE"/>
    <w:rsid w:val="002815F5"/>
    <w:rsid w:val="002A360A"/>
    <w:rsid w:val="002B26B3"/>
    <w:rsid w:val="002B4033"/>
    <w:rsid w:val="002C4C8C"/>
    <w:rsid w:val="00301501"/>
    <w:rsid w:val="0030751E"/>
    <w:rsid w:val="0032074D"/>
    <w:rsid w:val="003262A3"/>
    <w:rsid w:val="003317EA"/>
    <w:rsid w:val="00331E3C"/>
    <w:rsid w:val="00340CE5"/>
    <w:rsid w:val="003659D3"/>
    <w:rsid w:val="003803B9"/>
    <w:rsid w:val="003860F6"/>
    <w:rsid w:val="003C0CD0"/>
    <w:rsid w:val="003C33F0"/>
    <w:rsid w:val="003D112D"/>
    <w:rsid w:val="003F2132"/>
    <w:rsid w:val="003F5394"/>
    <w:rsid w:val="004008E1"/>
    <w:rsid w:val="00422C30"/>
    <w:rsid w:val="0043096F"/>
    <w:rsid w:val="00441C2A"/>
    <w:rsid w:val="00457F0B"/>
    <w:rsid w:val="00460A34"/>
    <w:rsid w:val="00464254"/>
    <w:rsid w:val="00465F9B"/>
    <w:rsid w:val="00470934"/>
    <w:rsid w:val="004738EA"/>
    <w:rsid w:val="004A4FF4"/>
    <w:rsid w:val="004B0ECD"/>
    <w:rsid w:val="004B15E2"/>
    <w:rsid w:val="004D607B"/>
    <w:rsid w:val="004E143A"/>
    <w:rsid w:val="004E237C"/>
    <w:rsid w:val="004F6A68"/>
    <w:rsid w:val="0053533B"/>
    <w:rsid w:val="005414A6"/>
    <w:rsid w:val="00550319"/>
    <w:rsid w:val="0059259C"/>
    <w:rsid w:val="005960A9"/>
    <w:rsid w:val="005A4849"/>
    <w:rsid w:val="005B728E"/>
    <w:rsid w:val="005E1F51"/>
    <w:rsid w:val="006043A3"/>
    <w:rsid w:val="0061057E"/>
    <w:rsid w:val="0061060F"/>
    <w:rsid w:val="0063196E"/>
    <w:rsid w:val="00660ECA"/>
    <w:rsid w:val="006637EB"/>
    <w:rsid w:val="00673B2F"/>
    <w:rsid w:val="0067507E"/>
    <w:rsid w:val="006932E8"/>
    <w:rsid w:val="006D4FCF"/>
    <w:rsid w:val="006E28D9"/>
    <w:rsid w:val="006E4A26"/>
    <w:rsid w:val="006E5EC1"/>
    <w:rsid w:val="00720BC2"/>
    <w:rsid w:val="007211E2"/>
    <w:rsid w:val="00732767"/>
    <w:rsid w:val="00733AA0"/>
    <w:rsid w:val="007740D3"/>
    <w:rsid w:val="00777879"/>
    <w:rsid w:val="00797AA1"/>
    <w:rsid w:val="007A27FA"/>
    <w:rsid w:val="007A45EF"/>
    <w:rsid w:val="007B49DF"/>
    <w:rsid w:val="007C2681"/>
    <w:rsid w:val="007F2DDA"/>
    <w:rsid w:val="007F5AA6"/>
    <w:rsid w:val="00802300"/>
    <w:rsid w:val="008036E9"/>
    <w:rsid w:val="00814AD1"/>
    <w:rsid w:val="00836499"/>
    <w:rsid w:val="00857FD9"/>
    <w:rsid w:val="00872F56"/>
    <w:rsid w:val="0088357D"/>
    <w:rsid w:val="00890163"/>
    <w:rsid w:val="008C4880"/>
    <w:rsid w:val="008D037D"/>
    <w:rsid w:val="008F4FEA"/>
    <w:rsid w:val="00901B54"/>
    <w:rsid w:val="00906D0E"/>
    <w:rsid w:val="009075F7"/>
    <w:rsid w:val="00910F6D"/>
    <w:rsid w:val="00920F0E"/>
    <w:rsid w:val="00934272"/>
    <w:rsid w:val="009365FA"/>
    <w:rsid w:val="009369A3"/>
    <w:rsid w:val="009377C7"/>
    <w:rsid w:val="0094650A"/>
    <w:rsid w:val="0096214F"/>
    <w:rsid w:val="00974BD0"/>
    <w:rsid w:val="00977B5C"/>
    <w:rsid w:val="00991068"/>
    <w:rsid w:val="009A2D1D"/>
    <w:rsid w:val="009A59DC"/>
    <w:rsid w:val="009B798B"/>
    <w:rsid w:val="009E2B88"/>
    <w:rsid w:val="009E4166"/>
    <w:rsid w:val="009F70B7"/>
    <w:rsid w:val="00A435CF"/>
    <w:rsid w:val="00A64DAD"/>
    <w:rsid w:val="00A8540E"/>
    <w:rsid w:val="00A85F8A"/>
    <w:rsid w:val="00A92A3D"/>
    <w:rsid w:val="00A9550D"/>
    <w:rsid w:val="00AA0AAD"/>
    <w:rsid w:val="00AA16D6"/>
    <w:rsid w:val="00AB5AD3"/>
    <w:rsid w:val="00AD2089"/>
    <w:rsid w:val="00AD535B"/>
    <w:rsid w:val="00AD58CE"/>
    <w:rsid w:val="00AE1B23"/>
    <w:rsid w:val="00B07DE6"/>
    <w:rsid w:val="00B1643A"/>
    <w:rsid w:val="00B165B4"/>
    <w:rsid w:val="00B350D1"/>
    <w:rsid w:val="00B46AA3"/>
    <w:rsid w:val="00B72811"/>
    <w:rsid w:val="00B7364D"/>
    <w:rsid w:val="00B869E9"/>
    <w:rsid w:val="00B86BB9"/>
    <w:rsid w:val="00B92FA8"/>
    <w:rsid w:val="00BB3624"/>
    <w:rsid w:val="00BC7BDD"/>
    <w:rsid w:val="00BD6444"/>
    <w:rsid w:val="00BF185A"/>
    <w:rsid w:val="00C03ECC"/>
    <w:rsid w:val="00C1084B"/>
    <w:rsid w:val="00C11786"/>
    <w:rsid w:val="00C204E4"/>
    <w:rsid w:val="00C26402"/>
    <w:rsid w:val="00C30A83"/>
    <w:rsid w:val="00C42E7E"/>
    <w:rsid w:val="00C57D45"/>
    <w:rsid w:val="00C743BC"/>
    <w:rsid w:val="00C8130A"/>
    <w:rsid w:val="00C83028"/>
    <w:rsid w:val="00C9437E"/>
    <w:rsid w:val="00CA0162"/>
    <w:rsid w:val="00CB06DF"/>
    <w:rsid w:val="00CB746D"/>
    <w:rsid w:val="00CC4E7C"/>
    <w:rsid w:val="00CE5058"/>
    <w:rsid w:val="00D104CF"/>
    <w:rsid w:val="00D13B44"/>
    <w:rsid w:val="00D2111E"/>
    <w:rsid w:val="00D47FE5"/>
    <w:rsid w:val="00D5439B"/>
    <w:rsid w:val="00D90FE1"/>
    <w:rsid w:val="00D93CC0"/>
    <w:rsid w:val="00DA2B5E"/>
    <w:rsid w:val="00DB68D0"/>
    <w:rsid w:val="00DC5D26"/>
    <w:rsid w:val="00DE51AD"/>
    <w:rsid w:val="00DE75D5"/>
    <w:rsid w:val="00DF3E0F"/>
    <w:rsid w:val="00DF7B46"/>
    <w:rsid w:val="00E05D46"/>
    <w:rsid w:val="00E44770"/>
    <w:rsid w:val="00E6094A"/>
    <w:rsid w:val="00E6168E"/>
    <w:rsid w:val="00E72088"/>
    <w:rsid w:val="00E86258"/>
    <w:rsid w:val="00E905F5"/>
    <w:rsid w:val="00EA0C2C"/>
    <w:rsid w:val="00EA30EE"/>
    <w:rsid w:val="00EA3969"/>
    <w:rsid w:val="00EB2E46"/>
    <w:rsid w:val="00EB3CAE"/>
    <w:rsid w:val="00EB482C"/>
    <w:rsid w:val="00EC2F79"/>
    <w:rsid w:val="00EF2191"/>
    <w:rsid w:val="00F111BD"/>
    <w:rsid w:val="00F2132C"/>
    <w:rsid w:val="00F35CBE"/>
    <w:rsid w:val="00F37322"/>
    <w:rsid w:val="00F4480A"/>
    <w:rsid w:val="00F45A97"/>
    <w:rsid w:val="00F55056"/>
    <w:rsid w:val="00F74E65"/>
    <w:rsid w:val="00FE379E"/>
    <w:rsid w:val="011869AB"/>
    <w:rsid w:val="017D07DB"/>
    <w:rsid w:val="018525FE"/>
    <w:rsid w:val="02865BA2"/>
    <w:rsid w:val="02C81F6B"/>
    <w:rsid w:val="03535851"/>
    <w:rsid w:val="036971A1"/>
    <w:rsid w:val="04E75722"/>
    <w:rsid w:val="051F6F37"/>
    <w:rsid w:val="05994947"/>
    <w:rsid w:val="07174066"/>
    <w:rsid w:val="077D4188"/>
    <w:rsid w:val="083D3D8F"/>
    <w:rsid w:val="08742D37"/>
    <w:rsid w:val="092D3638"/>
    <w:rsid w:val="0969152B"/>
    <w:rsid w:val="097E6109"/>
    <w:rsid w:val="0B1373FF"/>
    <w:rsid w:val="0CC17F35"/>
    <w:rsid w:val="0CD80741"/>
    <w:rsid w:val="0D187FC1"/>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D31A24"/>
    <w:rsid w:val="160A3EB0"/>
    <w:rsid w:val="163E125F"/>
    <w:rsid w:val="17282EEC"/>
    <w:rsid w:val="172C21CC"/>
    <w:rsid w:val="17432ED1"/>
    <w:rsid w:val="1743790C"/>
    <w:rsid w:val="1758171F"/>
    <w:rsid w:val="17671637"/>
    <w:rsid w:val="18225480"/>
    <w:rsid w:val="189F579A"/>
    <w:rsid w:val="18C716DD"/>
    <w:rsid w:val="19787872"/>
    <w:rsid w:val="1A341559"/>
    <w:rsid w:val="1ACA602F"/>
    <w:rsid w:val="1C1A735D"/>
    <w:rsid w:val="1C6A3055"/>
    <w:rsid w:val="1C9B6920"/>
    <w:rsid w:val="1D316D1D"/>
    <w:rsid w:val="1DC240E8"/>
    <w:rsid w:val="1DD0407D"/>
    <w:rsid w:val="1E3F75CB"/>
    <w:rsid w:val="1F2E3600"/>
    <w:rsid w:val="1F4C3447"/>
    <w:rsid w:val="1F805E87"/>
    <w:rsid w:val="202237EC"/>
    <w:rsid w:val="21E265C3"/>
    <w:rsid w:val="21EF13BE"/>
    <w:rsid w:val="22124569"/>
    <w:rsid w:val="22AA301A"/>
    <w:rsid w:val="231A79FB"/>
    <w:rsid w:val="23B87482"/>
    <w:rsid w:val="2534515B"/>
    <w:rsid w:val="25514918"/>
    <w:rsid w:val="25CC746F"/>
    <w:rsid w:val="25CD7195"/>
    <w:rsid w:val="261576E5"/>
    <w:rsid w:val="271746DF"/>
    <w:rsid w:val="275C2E99"/>
    <w:rsid w:val="27630FE2"/>
    <w:rsid w:val="27654257"/>
    <w:rsid w:val="276867BB"/>
    <w:rsid w:val="27E14DA2"/>
    <w:rsid w:val="2825101B"/>
    <w:rsid w:val="28F14FED"/>
    <w:rsid w:val="28FA7512"/>
    <w:rsid w:val="29A0598C"/>
    <w:rsid w:val="2A8759F2"/>
    <w:rsid w:val="2BC86235"/>
    <w:rsid w:val="2BF61856"/>
    <w:rsid w:val="2BFA6DD9"/>
    <w:rsid w:val="2C451C26"/>
    <w:rsid w:val="2C917B80"/>
    <w:rsid w:val="2E0B1A91"/>
    <w:rsid w:val="2E467FBA"/>
    <w:rsid w:val="2EBB1E5C"/>
    <w:rsid w:val="2F2B60A8"/>
    <w:rsid w:val="2F9068E6"/>
    <w:rsid w:val="30E45296"/>
    <w:rsid w:val="3187040E"/>
    <w:rsid w:val="31CA4677"/>
    <w:rsid w:val="33B72C9D"/>
    <w:rsid w:val="34A64039"/>
    <w:rsid w:val="34AF0B35"/>
    <w:rsid w:val="35083BB2"/>
    <w:rsid w:val="35C03643"/>
    <w:rsid w:val="35F60F20"/>
    <w:rsid w:val="363E3C50"/>
    <w:rsid w:val="37837751"/>
    <w:rsid w:val="37E34461"/>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F276853"/>
    <w:rsid w:val="3FEF0D6E"/>
    <w:rsid w:val="405E0718"/>
    <w:rsid w:val="4079252D"/>
    <w:rsid w:val="41D66FCC"/>
    <w:rsid w:val="423F4B39"/>
    <w:rsid w:val="425F6512"/>
    <w:rsid w:val="42606FC8"/>
    <w:rsid w:val="427A6C29"/>
    <w:rsid w:val="44471EF0"/>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E4C35E9"/>
    <w:rsid w:val="4E5C6A4B"/>
    <w:rsid w:val="4EDD069A"/>
    <w:rsid w:val="4F1A6A36"/>
    <w:rsid w:val="4F255DB4"/>
    <w:rsid w:val="4F502534"/>
    <w:rsid w:val="4F8B3F76"/>
    <w:rsid w:val="5086425C"/>
    <w:rsid w:val="50EB4984"/>
    <w:rsid w:val="511F4A02"/>
    <w:rsid w:val="511F77FB"/>
    <w:rsid w:val="51577817"/>
    <w:rsid w:val="51894D24"/>
    <w:rsid w:val="521336C8"/>
    <w:rsid w:val="526E7C4E"/>
    <w:rsid w:val="52B873DF"/>
    <w:rsid w:val="52EB1D81"/>
    <w:rsid w:val="53433460"/>
    <w:rsid w:val="53A0535F"/>
    <w:rsid w:val="53CA0CA6"/>
    <w:rsid w:val="545F3AEE"/>
    <w:rsid w:val="54811502"/>
    <w:rsid w:val="54A045B2"/>
    <w:rsid w:val="553C14D6"/>
    <w:rsid w:val="55CF2235"/>
    <w:rsid w:val="563029D7"/>
    <w:rsid w:val="56567BA9"/>
    <w:rsid w:val="568E62EB"/>
    <w:rsid w:val="575E3358"/>
    <w:rsid w:val="57C14A09"/>
    <w:rsid w:val="5870386E"/>
    <w:rsid w:val="58CD7A24"/>
    <w:rsid w:val="5950539C"/>
    <w:rsid w:val="5A616693"/>
    <w:rsid w:val="5AF014CD"/>
    <w:rsid w:val="5B1950BD"/>
    <w:rsid w:val="5B57314F"/>
    <w:rsid w:val="5C4F65BE"/>
    <w:rsid w:val="5C7A40A7"/>
    <w:rsid w:val="5E255F75"/>
    <w:rsid w:val="5E9C61EE"/>
    <w:rsid w:val="5EAD2585"/>
    <w:rsid w:val="5F502257"/>
    <w:rsid w:val="5F647DF3"/>
    <w:rsid w:val="5F705A0C"/>
    <w:rsid w:val="60D1271D"/>
    <w:rsid w:val="61310BC7"/>
    <w:rsid w:val="61CE73B0"/>
    <w:rsid w:val="6224530F"/>
    <w:rsid w:val="622B2355"/>
    <w:rsid w:val="63442F70"/>
    <w:rsid w:val="63535B88"/>
    <w:rsid w:val="637067C7"/>
    <w:rsid w:val="63B90B4D"/>
    <w:rsid w:val="64A65681"/>
    <w:rsid w:val="650A73B1"/>
    <w:rsid w:val="6551604C"/>
    <w:rsid w:val="65BA1C78"/>
    <w:rsid w:val="65BA2AD4"/>
    <w:rsid w:val="65D86D7D"/>
    <w:rsid w:val="66B53431"/>
    <w:rsid w:val="672659C0"/>
    <w:rsid w:val="6787266D"/>
    <w:rsid w:val="67D77787"/>
    <w:rsid w:val="67EB49D1"/>
    <w:rsid w:val="685C6586"/>
    <w:rsid w:val="687F42C4"/>
    <w:rsid w:val="6960453D"/>
    <w:rsid w:val="697D040D"/>
    <w:rsid w:val="698409ED"/>
    <w:rsid w:val="6A11215D"/>
    <w:rsid w:val="6A492A69"/>
    <w:rsid w:val="6A74173C"/>
    <w:rsid w:val="6B3512F8"/>
    <w:rsid w:val="6B4A4762"/>
    <w:rsid w:val="6B81373D"/>
    <w:rsid w:val="6BF46113"/>
    <w:rsid w:val="6C2329A7"/>
    <w:rsid w:val="6C5A5C1A"/>
    <w:rsid w:val="6CA25F3E"/>
    <w:rsid w:val="6DD0135D"/>
    <w:rsid w:val="6DE81B9B"/>
    <w:rsid w:val="6E777FC9"/>
    <w:rsid w:val="6E921E4C"/>
    <w:rsid w:val="6EC04D44"/>
    <w:rsid w:val="6ED33FB9"/>
    <w:rsid w:val="6ED9516E"/>
    <w:rsid w:val="6F2522CE"/>
    <w:rsid w:val="6FA07554"/>
    <w:rsid w:val="6FD35462"/>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693F6B"/>
    <w:rsid w:val="78E6558A"/>
    <w:rsid w:val="790348B2"/>
    <w:rsid w:val="7B166D76"/>
    <w:rsid w:val="7B347CE7"/>
    <w:rsid w:val="7B927BA1"/>
    <w:rsid w:val="7C544BD7"/>
    <w:rsid w:val="7CCF6E56"/>
    <w:rsid w:val="7E473B6E"/>
    <w:rsid w:val="7E7244F2"/>
    <w:rsid w:val="7EF0300D"/>
    <w:rsid w:val="7F8F0389"/>
    <w:rsid w:val="7FD90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17"/>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99"/>
    <w:rPr>
      <w:rFonts w:cs="Times New Roman"/>
      <w:b/>
      <w:bCs/>
    </w:rPr>
  </w:style>
  <w:style w:type="character" w:styleId="12">
    <w:name w:val="page number"/>
    <w:basedOn w:val="10"/>
    <w:qFormat/>
    <w:uiPriority w:val="0"/>
  </w:style>
  <w:style w:type="character" w:styleId="13">
    <w:name w:val="Emphasis"/>
    <w:basedOn w:val="10"/>
    <w:qFormat/>
    <w:uiPriority w:val="99"/>
    <w:rPr>
      <w:rFonts w:cs="Times New Roman"/>
      <w:i/>
      <w:iCs/>
    </w:rPr>
  </w:style>
  <w:style w:type="character" w:styleId="14">
    <w:name w:val="Hyperlink"/>
    <w:basedOn w:val="10"/>
    <w:qFormat/>
    <w:uiPriority w:val="99"/>
    <w:rPr>
      <w:rFonts w:cs="Times New Roman"/>
      <w:color w:val="444444"/>
      <w:u w:val="none"/>
    </w:rPr>
  </w:style>
  <w:style w:type="paragraph" w:customStyle="1" w:styleId="15">
    <w:name w:val="Char Char Char Char Char Char Char"/>
    <w:basedOn w:val="1"/>
    <w:qFormat/>
    <w:uiPriority w:val="0"/>
    <w:pPr>
      <w:widowControl/>
      <w:spacing w:after="160" w:line="240" w:lineRule="exact"/>
      <w:jc w:val="left"/>
    </w:pPr>
  </w:style>
  <w:style w:type="character" w:customStyle="1" w:styleId="16">
    <w:name w:val="标题 1 Char"/>
    <w:basedOn w:val="10"/>
    <w:link w:val="2"/>
    <w:qFormat/>
    <w:locked/>
    <w:uiPriority w:val="99"/>
    <w:rPr>
      <w:rFonts w:ascii="宋体" w:eastAsia="宋体" w:cs="宋体"/>
      <w:b/>
      <w:bCs/>
      <w:kern w:val="36"/>
      <w:sz w:val="48"/>
      <w:szCs w:val="48"/>
    </w:rPr>
  </w:style>
  <w:style w:type="character" w:customStyle="1" w:styleId="17">
    <w:name w:val="文档结构图 Char"/>
    <w:basedOn w:val="10"/>
    <w:link w:val="3"/>
    <w:semiHidden/>
    <w:qFormat/>
    <w:locked/>
    <w:uiPriority w:val="99"/>
    <w:rPr>
      <w:rFonts w:ascii="宋体" w:hAnsi="Calibri" w:cs="宋体"/>
      <w:kern w:val="2"/>
      <w:sz w:val="18"/>
      <w:szCs w:val="18"/>
    </w:rPr>
  </w:style>
  <w:style w:type="character" w:customStyle="1" w:styleId="18">
    <w:name w:val="批注框文本 Char"/>
    <w:basedOn w:val="10"/>
    <w:link w:val="5"/>
    <w:qFormat/>
    <w:locked/>
    <w:uiPriority w:val="99"/>
    <w:rPr>
      <w:rFonts w:ascii="Calibri" w:hAnsi="Calibri" w:eastAsia="宋体" w:cs="宋体"/>
      <w:kern w:val="2"/>
      <w:sz w:val="18"/>
      <w:szCs w:val="18"/>
    </w:rPr>
  </w:style>
  <w:style w:type="character" w:customStyle="1" w:styleId="19">
    <w:name w:val="页脚 Char"/>
    <w:basedOn w:val="10"/>
    <w:link w:val="6"/>
    <w:qFormat/>
    <w:locked/>
    <w:uiPriority w:val="99"/>
    <w:rPr>
      <w:rFonts w:ascii="Calibri" w:hAnsi="Calibri" w:eastAsia="宋体" w:cs="宋体"/>
      <w:kern w:val="2"/>
      <w:sz w:val="18"/>
      <w:szCs w:val="18"/>
    </w:rPr>
  </w:style>
  <w:style w:type="character" w:customStyle="1" w:styleId="20">
    <w:name w:val="页眉 Char"/>
    <w:basedOn w:val="10"/>
    <w:link w:val="7"/>
    <w:qFormat/>
    <w:locked/>
    <w:uiPriority w:val="99"/>
    <w:rPr>
      <w:rFonts w:ascii="Calibri" w:hAnsi="Calibri" w:eastAsia="宋体" w:cs="宋体"/>
      <w:kern w:val="2"/>
      <w:sz w:val="18"/>
      <w:szCs w:val="18"/>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630</Words>
  <Characters>3597</Characters>
  <Lines>29</Lines>
  <Paragraphs>8</Paragraphs>
  <TotalTime>2</TotalTime>
  <ScaleCrop>false</ScaleCrop>
  <LinksUpToDate>false</LinksUpToDate>
  <CharactersWithSpaces>4219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2019-08-10T02:53:00Z</dcterms:created>
  <dc:creator>lenovo</dc:creator>
  <cp:lastModifiedBy>Administrator</cp:lastModifiedBy>
  <cp:lastPrinted>2019-08-01T07:44:00Z</cp:lastPrinted>
  <dcterms:modified xsi:type="dcterms:W3CDTF">2019-08-28T06:51:36Z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