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rPr>
          <w:rFonts w:ascii="黑体" w:hAnsi="黑体" w:eastAsia="黑体" w:cs="黑体"/>
          <w:kern w:val="2"/>
          <w:sz w:val="30"/>
          <w:szCs w:val="30"/>
          <w:lang w:val="en-US" w:bidi="ar-SA"/>
        </w:rPr>
      </w:pPr>
    </w:p>
    <w:tbl>
      <w:tblPr>
        <w:tblStyle w:val="9"/>
        <w:tblW w:w="9248" w:type="dxa"/>
        <w:jc w:val="center"/>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1" w:hRule="atLeast"/>
          <w:jc w:val="center"/>
        </w:trPr>
        <w:tc>
          <w:tcPr>
            <w:tcW w:w="9248" w:type="dxa"/>
            <w:vAlign w:val="center"/>
          </w:tcPr>
          <w:p>
            <w:pPr>
              <w:autoSpaceDE/>
              <w:autoSpaceDN/>
              <w:jc w:val="center"/>
              <w:rPr>
                <w:rFonts w:ascii="楷体" w:hAnsi="楷体" w:eastAsia="楷体" w:cs="宋体"/>
                <w:color w:val="FF0000"/>
                <w:sz w:val="90"/>
                <w:szCs w:val="90"/>
                <w:lang w:val="en-US" w:bidi="ar-SA"/>
              </w:rPr>
            </w:pPr>
            <w:r>
              <w:rPr>
                <w:rFonts w:hint="eastAsia" w:ascii="楷体" w:hAnsi="楷体" w:eastAsia="楷体" w:cs="宋体"/>
                <w:color w:val="FF0000"/>
                <w:sz w:val="90"/>
                <w:szCs w:val="90"/>
                <w:lang w:val="en-US" w:bidi="ar-SA"/>
              </w:rPr>
              <w:t>中 国 投 资 协 会</w:t>
            </w:r>
          </w:p>
          <w:p>
            <w:pPr>
              <w:autoSpaceDE/>
              <w:autoSpaceDN/>
              <w:jc w:val="center"/>
              <w:rPr>
                <w:rFonts w:ascii="楷体" w:hAnsi="楷体" w:eastAsia="楷体" w:cs="宋体"/>
                <w:color w:val="FF0000"/>
                <w:sz w:val="66"/>
                <w:szCs w:val="66"/>
                <w:lang w:val="en-US" w:bidi="ar-SA"/>
              </w:rPr>
            </w:pPr>
            <w:r>
              <w:rPr>
                <w:rFonts w:hint="eastAsia" w:ascii="楷体" w:hAnsi="楷体" w:eastAsia="楷体" w:cs="宋体"/>
                <w:color w:val="FF0000"/>
                <w:sz w:val="66"/>
                <w:szCs w:val="66"/>
                <w:lang w:val="en-US" w:bidi="ar-SA"/>
              </w:rPr>
              <w:t>项目投融资专业委员会文件</w:t>
            </w:r>
          </w:p>
          <w:p>
            <w:pPr>
              <w:autoSpaceDE/>
              <w:autoSpaceDN/>
              <w:jc w:val="center"/>
              <w:rPr>
                <w:rFonts w:ascii="楷体" w:hAnsi="楷体" w:eastAsia="楷体" w:cs="宋体"/>
                <w:color w:val="000000" w:themeColor="text1"/>
                <w:sz w:val="66"/>
                <w:szCs w:val="66"/>
                <w:lang w:val="en-US" w:bidi="ar-SA"/>
                <w14:textFill>
                  <w14:solidFill>
                    <w14:schemeClr w14:val="tx1"/>
                  </w14:solidFill>
                </w14:textFill>
              </w:rPr>
            </w:pPr>
            <w:r>
              <w:rPr>
                <w:rFonts w:hint="eastAsia" w:ascii="楷体" w:hAnsi="楷体" w:eastAsia="楷体" w:cs="宋体"/>
                <w:kern w:val="2"/>
                <w:sz w:val="30"/>
                <w:szCs w:val="30"/>
                <w:lang w:val="en-US" w:bidi="ar-SA"/>
              </w:rPr>
              <w:t>投融字〔</w:t>
            </w:r>
            <w:r>
              <w:rPr>
                <w:rFonts w:ascii="楷体" w:hAnsi="楷体" w:eastAsia="楷体" w:cs="宋体"/>
                <w:kern w:val="2"/>
                <w:sz w:val="30"/>
                <w:szCs w:val="30"/>
                <w:lang w:val="en-US" w:bidi="ar-SA"/>
              </w:rPr>
              <w:t>201</w:t>
            </w:r>
            <w:r>
              <w:rPr>
                <w:rFonts w:hint="eastAsia" w:ascii="楷体" w:hAnsi="楷体" w:eastAsia="楷体" w:cs="宋体"/>
                <w:kern w:val="2"/>
                <w:sz w:val="30"/>
                <w:szCs w:val="30"/>
                <w:lang w:val="en-US" w:bidi="ar-SA"/>
              </w:rPr>
              <w:t>9〕14号</w:t>
            </w:r>
          </w:p>
        </w:tc>
      </w:tr>
    </w:tbl>
    <w:p>
      <w:pPr>
        <w:autoSpaceDE/>
        <w:autoSpaceDN/>
        <w:jc w:val="center"/>
        <w:rPr>
          <w:rFonts w:ascii="黑体" w:hAnsi="黑体" w:eastAsia="黑体" w:cs="黑体"/>
          <w:kern w:val="2"/>
          <w:sz w:val="30"/>
          <w:szCs w:val="30"/>
          <w:lang w:val="en-US" w:bidi="ar-SA"/>
        </w:rPr>
      </w:pPr>
    </w:p>
    <w:p>
      <w:pPr>
        <w:widowControl/>
        <w:jc w:val="center"/>
        <w:rPr>
          <w:rFonts w:ascii="宋体" w:hAnsi="宋体" w:eastAsia="宋体" w:cs="宋体"/>
          <w:b/>
          <w:bCs/>
          <w:sz w:val="36"/>
          <w:szCs w:val="36"/>
        </w:rPr>
      </w:pPr>
      <w:r>
        <w:rPr>
          <w:rFonts w:hint="eastAsia" w:ascii="宋体" w:hAnsi="宋体" w:eastAsia="宋体" w:cs="宋体"/>
          <w:b/>
          <w:bCs/>
          <w:sz w:val="36"/>
          <w:szCs w:val="36"/>
        </w:rPr>
        <w:t>关于举办“</w:t>
      </w:r>
      <w:r>
        <w:rPr>
          <w:rFonts w:hint="eastAsia" w:ascii="宋体" w:hAnsi="宋体" w:eastAsia="宋体" w:cs="宋体"/>
          <w:b/>
          <w:color w:val="000000"/>
          <w:sz w:val="36"/>
          <w:szCs w:val="36"/>
        </w:rPr>
        <w:t>促进建筑业持续健康发展加强</w:t>
      </w:r>
      <w:r>
        <w:rPr>
          <w:rFonts w:hint="eastAsia" w:ascii="宋体" w:hAnsi="宋体" w:eastAsia="宋体" w:cs="宋体"/>
          <w:b/>
          <w:bCs/>
          <w:sz w:val="36"/>
          <w:szCs w:val="36"/>
        </w:rPr>
        <w:t>工程造价管控</w:t>
      </w:r>
    </w:p>
    <w:p>
      <w:pPr>
        <w:widowControl/>
        <w:jc w:val="center"/>
        <w:rPr>
          <w:rFonts w:ascii="宋体" w:hAnsi="宋体" w:eastAsia="宋体" w:cs="宋体"/>
          <w:bCs/>
          <w:kern w:val="2"/>
          <w:sz w:val="30"/>
          <w:szCs w:val="30"/>
          <w:lang w:val="en-US" w:bidi="ar-SA"/>
        </w:rPr>
      </w:pPr>
      <w:r>
        <w:rPr>
          <w:rFonts w:hint="eastAsia" w:ascii="宋体" w:hAnsi="宋体" w:eastAsia="宋体" w:cs="宋体"/>
          <w:b/>
          <w:color w:val="000000"/>
          <w:sz w:val="36"/>
          <w:szCs w:val="36"/>
        </w:rPr>
        <w:t>规范</w:t>
      </w:r>
      <w:r>
        <w:rPr>
          <w:rFonts w:hint="eastAsia" w:ascii="宋体" w:hAnsi="宋体" w:eastAsia="宋体" w:cs="宋体"/>
          <w:b/>
          <w:bCs/>
          <w:sz w:val="36"/>
          <w:szCs w:val="36"/>
        </w:rPr>
        <w:t>招标实务操作培训班”</w:t>
      </w:r>
      <w:r>
        <w:rPr>
          <w:rFonts w:hint="eastAsia" w:ascii="宋体" w:hAnsi="宋体" w:eastAsia="宋体" w:cs="宋体"/>
          <w:b/>
          <w:bCs/>
          <w:color w:val="000000"/>
          <w:sz w:val="36"/>
          <w:szCs w:val="36"/>
        </w:rPr>
        <w:t>的通知</w:t>
      </w:r>
    </w:p>
    <w:p>
      <w:pPr>
        <w:autoSpaceDE/>
        <w:autoSpaceDN/>
        <w:spacing w:line="360" w:lineRule="exact"/>
        <w:rPr>
          <w:rFonts w:ascii="仿宋_GB2312" w:hAnsi="仿宋_GB2312" w:eastAsia="仿宋_GB2312" w:cs="仿宋_GB2312"/>
          <w:bCs/>
          <w:color w:val="000000"/>
          <w:kern w:val="2"/>
          <w:sz w:val="28"/>
          <w:szCs w:val="28"/>
          <w:lang w:val="en-US" w:bidi="ar-SA"/>
        </w:rPr>
      </w:pPr>
    </w:p>
    <w:p>
      <w:pPr>
        <w:autoSpaceDE/>
        <w:autoSpaceDN/>
        <w:spacing w:line="360" w:lineRule="exact"/>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各有关单位：</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为贯彻落实国务院办公厅《关于促进建筑业持续健康发展的意见》（国办发〔2017〕19号）关于“要完善工程建设组织模式，加快推行工程总承包；要优化建筑市场环境，建立统一开放市场，加强承包履约管理,完善工程量清单计价体系和工程造价信息发布机制，形成统一的工程造价计价规则，合理确定和有效控制工程造价”的要求，深入学习住建部《关于加强和改善工程造价监管的意见》（建标〔2017〕209号）以及住建部标准定额司《关于清单工程量计算规范意见的函》（建标造函〔2018〕208号）等文件，更好地抓住关键环节管好投资、控制造价，规范工程项目招标行为，按照合同约定处理好工程结算中各类问题，中国投资协会项目投融资专业委员会会同北京中建科信管理咨询集团有限公司举办“促进建筑业持续健康发展、加强工程造价管控、规范招标实务操作培训班”。</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本次培训旨在帮助相关专业人员掌握工程计量、招标投标、造价管控、合同管理、纠纷鉴定等方面的政策法规；厘清项目实施中的重点、难点、疑点、焦点等共性问题；拓宽解决问题的思路、方法，有效防范风险，提高专业素养和能力，促进项目管理高质量发展。现将具体事项通知如下：</w:t>
      </w:r>
    </w:p>
    <w:p>
      <w:pPr>
        <w:autoSpaceDE/>
        <w:autoSpaceDN/>
        <w:spacing w:line="360" w:lineRule="exact"/>
        <w:ind w:firstLine="560" w:firstLineChars="200"/>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一、组织机构</w:t>
      </w:r>
    </w:p>
    <w:p>
      <w:pPr>
        <w:autoSpaceDE/>
        <w:autoSpaceDN/>
        <w:spacing w:line="360" w:lineRule="exact"/>
        <w:ind w:firstLine="560" w:firstLineChars="200"/>
        <w:jc w:val="both"/>
        <w:rPr>
          <w:rFonts w:cstheme="minorBidi"/>
          <w:kern w:val="2"/>
          <w:sz w:val="28"/>
          <w:szCs w:val="28"/>
          <w:lang w:val="en-US"/>
        </w:rPr>
      </w:pPr>
      <w:r>
        <w:rPr>
          <w:rFonts w:hint="eastAsia" w:cstheme="minorBidi"/>
          <w:kern w:val="2"/>
          <w:sz w:val="28"/>
          <w:szCs w:val="28"/>
          <w:lang w:val="en-US"/>
        </w:rPr>
        <w:t>主办单位：中国投资协会项目投融资专业委员会</w:t>
      </w:r>
    </w:p>
    <w:p>
      <w:pPr>
        <w:autoSpaceDE/>
        <w:autoSpaceDN/>
        <w:spacing w:line="360" w:lineRule="exact"/>
        <w:ind w:firstLine="560" w:firstLineChars="200"/>
        <w:jc w:val="both"/>
        <w:rPr>
          <w:rFonts w:hint="eastAsia" w:cstheme="minorBidi"/>
          <w:kern w:val="2"/>
          <w:sz w:val="28"/>
          <w:szCs w:val="28"/>
          <w:lang w:val="en-US" w:eastAsia="zh-CN" w:bidi="ar-SA"/>
        </w:rPr>
      </w:pPr>
      <w:r>
        <w:rPr>
          <w:rFonts w:hint="eastAsia" w:cstheme="minorBidi"/>
          <w:kern w:val="2"/>
          <w:sz w:val="28"/>
          <w:szCs w:val="28"/>
          <w:lang w:val="en-US"/>
        </w:rPr>
        <w:t>承办单位：</w:t>
      </w:r>
      <w:r>
        <w:rPr>
          <w:rFonts w:hint="eastAsia" w:cstheme="minorBidi"/>
          <w:kern w:val="2"/>
          <w:sz w:val="28"/>
          <w:szCs w:val="28"/>
          <w:lang w:val="en-US" w:eastAsia="zh-CN" w:bidi="ar-SA"/>
        </w:rPr>
        <w:t>北京中恒研训教育咨询中心</w:t>
      </w:r>
    </w:p>
    <w:p>
      <w:pPr>
        <w:autoSpaceDE/>
        <w:autoSpaceDN/>
        <w:spacing w:line="360" w:lineRule="exact"/>
        <w:ind w:firstLine="560" w:firstLineChars="200"/>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二、培训内容</w:t>
      </w:r>
      <w:r>
        <w:rPr>
          <w:rFonts w:hint="eastAsia" w:ascii="楷体" w:hAnsi="楷体" w:eastAsia="楷体" w:cs="楷体"/>
          <w:kern w:val="2"/>
          <w:sz w:val="28"/>
          <w:szCs w:val="28"/>
          <w:lang w:val="en-US" w:bidi="ar-SA"/>
        </w:rPr>
        <w:t>（详细内容见附件）</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1.最新清单计价与建筑业营改增等政策文件解读</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 xml:space="preserve">2.工程造价管控、计价争议焦点共性问题分析解决思路  </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3.营改增后计价、招标、合同问题对策及风险防范与案例分析</w:t>
      </w:r>
    </w:p>
    <w:p>
      <w:pPr>
        <w:widowControl/>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4.最新法规和招标实务操作重难点分析与监督管理及其相关案例解析</w:t>
      </w:r>
    </w:p>
    <w:p>
      <w:pPr>
        <w:autoSpaceDE/>
        <w:autoSpaceDN/>
        <w:spacing w:line="360" w:lineRule="exact"/>
        <w:ind w:firstLine="560" w:firstLineChars="200"/>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三、培训范围</w:t>
      </w:r>
    </w:p>
    <w:p>
      <w:pPr>
        <w:autoSpaceDE/>
        <w:autoSpaceDN/>
        <w:spacing w:line="36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1.</w:t>
      </w:r>
      <w:r>
        <w:rPr>
          <w:rFonts w:hint="eastAsia" w:ascii="仿宋_GB2312" w:hAnsi="仿宋_GB2312" w:eastAsia="仿宋_GB2312" w:cs="仿宋_GB2312"/>
          <w:bCs/>
          <w:color w:val="000000"/>
          <w:kern w:val="2"/>
          <w:sz w:val="28"/>
          <w:szCs w:val="28"/>
          <w:lang w:bidi="ar-SA"/>
        </w:rPr>
        <w:t>各地政府建设项目管理、招标投标、公共资源交易、工程交易、投资项目评审等相关部门负责人；</w:t>
      </w:r>
    </w:p>
    <w:p>
      <w:pPr>
        <w:autoSpaceDE/>
        <w:autoSpaceDN/>
        <w:spacing w:line="36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2.</w:t>
      </w:r>
      <w:r>
        <w:rPr>
          <w:rFonts w:hint="eastAsia" w:ascii="仿宋_GB2312" w:hAnsi="仿宋_GB2312" w:eastAsia="仿宋_GB2312" w:cs="仿宋_GB2312"/>
          <w:bCs/>
          <w:color w:val="000000"/>
          <w:kern w:val="2"/>
          <w:sz w:val="28"/>
          <w:szCs w:val="28"/>
          <w:lang w:bidi="ar-SA"/>
        </w:rPr>
        <w:t>各业主单位工程建设、</w:t>
      </w:r>
      <w:r>
        <w:rPr>
          <w:rFonts w:hint="eastAsia" w:ascii="仿宋_GB2312" w:hAnsi="仿宋_GB2312" w:eastAsia="仿宋_GB2312" w:cs="仿宋_GB2312"/>
          <w:bCs/>
          <w:color w:val="000000"/>
          <w:kern w:val="2"/>
          <w:sz w:val="28"/>
          <w:szCs w:val="28"/>
          <w:lang w:val="en-US" w:bidi="ar-SA"/>
        </w:rPr>
        <w:t>项目开发、合同管理、</w:t>
      </w:r>
      <w:r>
        <w:rPr>
          <w:rFonts w:hint="eastAsia" w:ascii="仿宋_GB2312" w:hAnsi="仿宋_GB2312" w:eastAsia="仿宋_GB2312" w:cs="仿宋_GB2312"/>
          <w:bCs/>
          <w:color w:val="000000"/>
          <w:kern w:val="2"/>
          <w:sz w:val="28"/>
          <w:szCs w:val="28"/>
          <w:lang w:bidi="ar-SA"/>
        </w:rPr>
        <w:t>工程造价、审计监察等相关部门人员；</w:t>
      </w:r>
    </w:p>
    <w:p>
      <w:pPr>
        <w:autoSpaceDE/>
        <w:autoSpaceDN/>
        <w:spacing w:line="36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3.勘察、设计、</w:t>
      </w:r>
      <w:r>
        <w:rPr>
          <w:rFonts w:hint="eastAsia" w:ascii="仿宋_GB2312" w:hAnsi="仿宋_GB2312" w:eastAsia="仿宋_GB2312" w:cs="仿宋_GB2312"/>
          <w:bCs/>
          <w:color w:val="000000"/>
          <w:kern w:val="2"/>
          <w:sz w:val="28"/>
          <w:szCs w:val="28"/>
          <w:lang w:bidi="ar-SA"/>
        </w:rPr>
        <w:t>施工、监理、项目管理相关工作人员；</w:t>
      </w:r>
    </w:p>
    <w:p>
      <w:pPr>
        <w:autoSpaceDE/>
        <w:autoSpaceDN/>
        <w:spacing w:line="36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4.社会事业</w:t>
      </w:r>
      <w:r>
        <w:rPr>
          <w:rFonts w:hint="eastAsia" w:ascii="仿宋_GB2312" w:hAnsi="仿宋_GB2312" w:eastAsia="仿宋_GB2312" w:cs="仿宋_GB2312"/>
          <w:bCs/>
          <w:color w:val="000000"/>
          <w:kern w:val="2"/>
          <w:sz w:val="28"/>
          <w:szCs w:val="28"/>
          <w:lang w:bidi="ar-SA"/>
        </w:rPr>
        <w:t>及科研机构相关工作人员等。</w:t>
      </w:r>
    </w:p>
    <w:p>
      <w:pPr>
        <w:autoSpaceDE/>
        <w:autoSpaceDN/>
        <w:spacing w:line="360" w:lineRule="exact"/>
        <w:ind w:firstLine="560" w:firstLineChars="200"/>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四、授课专家</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拟邀请国家发改委、住建部、行业协会等</w:t>
      </w:r>
      <w:r>
        <w:rPr>
          <w:rFonts w:hint="eastAsia" w:ascii="仿宋_GB2312" w:hAnsi="仿宋_GB2312" w:eastAsia="仿宋_GB2312" w:cs="仿宋_GB2312"/>
          <w:bCs/>
          <w:color w:val="000000"/>
          <w:kern w:val="2"/>
          <w:sz w:val="28"/>
          <w:szCs w:val="28"/>
          <w:lang w:bidi="ar-SA"/>
        </w:rPr>
        <w:t>参与新规范编写的有关专家现场授课，结合经典案例和实例分析，并进行现场答疑和互动交流</w:t>
      </w:r>
      <w:r>
        <w:rPr>
          <w:rFonts w:hint="eastAsia" w:ascii="仿宋_GB2312" w:hAnsi="仿宋_GB2312" w:eastAsia="仿宋_GB2312" w:cs="仿宋_GB2312"/>
          <w:bCs/>
          <w:color w:val="000000"/>
          <w:kern w:val="2"/>
          <w:sz w:val="28"/>
          <w:szCs w:val="28"/>
          <w:lang w:val="en-US" w:bidi="ar-SA"/>
        </w:rPr>
        <w:t>。</w:t>
      </w:r>
    </w:p>
    <w:p>
      <w:pPr>
        <w:numPr>
          <w:ilvl w:val="0"/>
          <w:numId w:val="1"/>
        </w:numPr>
        <w:autoSpaceDE/>
        <w:autoSpaceDN/>
        <w:spacing w:line="360" w:lineRule="exact"/>
        <w:ind w:firstLine="560" w:firstLineChars="200"/>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时间地点</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第一期 2019年10月18日-23日（18日报到，23日返程） 昆明市</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第二期 2019年11月</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7日-12日（</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7日报到，12日返程） 成都市</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第三期 2019年11月22日-27日（22日报到，27日返程） 厦门市</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第四期 2019年12月13日-18日（13日报到，18日返程） 南宁市</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第五期 2020年</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1月</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9日-14日（</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9日报到，14日返程） 海口市</w:t>
      </w:r>
    </w:p>
    <w:p>
      <w:pPr>
        <w:autoSpaceDE/>
        <w:autoSpaceDN/>
        <w:spacing w:line="360" w:lineRule="exact"/>
        <w:ind w:firstLine="560" w:firstLineChars="200"/>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六、相关事宜</w:t>
      </w:r>
    </w:p>
    <w:p>
      <w:pPr>
        <w:pStyle w:val="20"/>
        <w:autoSpaceDE/>
        <w:autoSpaceDN/>
        <w:spacing w:line="360" w:lineRule="exact"/>
        <w:ind w:firstLine="560"/>
        <w:outlineLvl w:val="0"/>
        <w:rPr>
          <w:rFonts w:ascii="楷体" w:hAnsi="楷体" w:eastAsia="楷体" w:cs="楷体"/>
          <w:bCs/>
          <w:color w:val="000000"/>
          <w:kern w:val="2"/>
          <w:sz w:val="28"/>
          <w:szCs w:val="28"/>
          <w:lang w:val="en-US" w:bidi="ar-SA"/>
        </w:rPr>
      </w:pPr>
      <w:r>
        <w:rPr>
          <w:rFonts w:hint="eastAsia" w:ascii="楷体" w:hAnsi="楷体" w:eastAsia="楷体" w:cs="楷体"/>
          <w:bCs/>
          <w:color w:val="000000"/>
          <w:kern w:val="2"/>
          <w:sz w:val="28"/>
          <w:szCs w:val="28"/>
          <w:lang w:val="en-US" w:bidi="ar-SA"/>
        </w:rPr>
        <w:t>（一）培训费用</w:t>
      </w:r>
    </w:p>
    <w:p>
      <w:pPr>
        <w:pStyle w:val="20"/>
        <w:autoSpaceDE/>
        <w:autoSpaceDN/>
        <w:spacing w:line="360" w:lineRule="exact"/>
        <w:ind w:firstLine="560"/>
        <w:outlineLvl w:val="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A.2800元/人（含培训、资料、电子课件、场地），食宿统一安排，费用自理。</w:t>
      </w:r>
    </w:p>
    <w:p>
      <w:pPr>
        <w:pStyle w:val="20"/>
        <w:autoSpaceDE/>
        <w:autoSpaceDN/>
        <w:spacing w:line="360" w:lineRule="exact"/>
        <w:ind w:firstLine="560"/>
        <w:outlineLvl w:val="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B.4980元/人（含培训、资料、电子课件、场地、食宿），住宿为双人标间，如单人入住补交差价。</w:t>
      </w:r>
    </w:p>
    <w:p>
      <w:pPr>
        <w:pStyle w:val="20"/>
        <w:autoSpaceDE/>
        <w:autoSpaceDN/>
        <w:spacing w:line="360" w:lineRule="exact"/>
        <w:ind w:firstLine="560"/>
        <w:outlineLvl w:val="0"/>
        <w:rPr>
          <w:rFonts w:ascii="楷体" w:hAnsi="楷体" w:eastAsia="楷体" w:cs="楷体"/>
          <w:bCs/>
          <w:color w:val="000000"/>
          <w:kern w:val="2"/>
          <w:sz w:val="28"/>
          <w:szCs w:val="28"/>
          <w:lang w:val="en-US" w:bidi="ar-SA"/>
        </w:rPr>
      </w:pPr>
      <w:r>
        <w:rPr>
          <w:rFonts w:hint="eastAsia" w:ascii="楷体" w:hAnsi="楷体" w:eastAsia="楷体" w:cs="楷体"/>
          <w:bCs/>
          <w:color w:val="000000"/>
          <w:kern w:val="2"/>
          <w:sz w:val="28"/>
          <w:szCs w:val="28"/>
          <w:lang w:val="en-US" w:bidi="ar-SA"/>
        </w:rPr>
        <w:t>（二）联系方式</w:t>
      </w:r>
    </w:p>
    <w:p>
      <w:pPr>
        <w:widowControl/>
        <w:autoSpaceDE/>
        <w:autoSpaceDN/>
        <w:spacing w:line="360" w:lineRule="exact"/>
        <w:jc w:val="both"/>
        <w:rPr>
          <w:rFonts w:hint="eastAsia" w:ascii="仿宋_GB2312" w:hAnsi="仿宋_GB2312" w:eastAsia="仿宋_GB2312" w:cs="仿宋_GB2312"/>
          <w:b/>
          <w:bCs w:val="0"/>
          <w:color w:val="000000"/>
          <w:kern w:val="2"/>
          <w:sz w:val="28"/>
          <w:szCs w:val="28"/>
          <w:lang w:val="en-US" w:bidi="ar-SA"/>
        </w:rPr>
      </w:pPr>
      <w:r>
        <w:rPr>
          <w:rFonts w:hint="eastAsia" w:ascii="仿宋_GB2312" w:hAnsi="仿宋_GB2312" w:eastAsia="仿宋_GB2312" w:cs="仿宋_GB2312"/>
          <w:b/>
          <w:bCs w:val="0"/>
          <w:color w:val="000000"/>
          <w:kern w:val="2"/>
          <w:sz w:val="28"/>
          <w:szCs w:val="28"/>
          <w:lang w:val="en-US" w:bidi="ar-SA"/>
        </w:rPr>
        <w:t>报名联系人：聂红军主任 18211071700（微信</w:t>
      </w:r>
      <w:r>
        <w:rPr>
          <w:rFonts w:hint="eastAsia" w:ascii="仿宋_GB2312" w:hAnsi="仿宋_GB2312" w:eastAsia="仿宋_GB2312" w:cs="仿宋_GB2312"/>
          <w:b/>
          <w:bCs w:val="0"/>
          <w:color w:val="000000"/>
          <w:kern w:val="2"/>
          <w:sz w:val="28"/>
          <w:szCs w:val="28"/>
          <w:lang w:val="en-US" w:eastAsia="zh-CN" w:bidi="ar-SA"/>
        </w:rPr>
        <w:t>）</w:t>
      </w:r>
      <w:r>
        <w:rPr>
          <w:rFonts w:hint="eastAsia" w:ascii="仿宋_GB2312" w:hAnsi="仿宋_GB2312" w:eastAsia="仿宋_GB2312" w:cs="仿宋_GB2312"/>
          <w:b/>
          <w:bCs w:val="0"/>
          <w:color w:val="000000"/>
          <w:kern w:val="2"/>
          <w:sz w:val="28"/>
          <w:szCs w:val="28"/>
          <w:lang w:val="en-US" w:bidi="ar-SA"/>
        </w:rPr>
        <w:t>邮  箱：zqgphwz@126.com</w:t>
      </w:r>
    </w:p>
    <w:p>
      <w:pPr>
        <w:widowControl/>
        <w:autoSpaceDE/>
        <w:autoSpaceDN/>
        <w:spacing w:line="360" w:lineRule="exact"/>
        <w:jc w:val="both"/>
        <w:rPr>
          <w:rFonts w:hint="eastAsia" w:ascii="仿宋_GB2312" w:hAnsi="仿宋_GB2312" w:eastAsia="仿宋_GB2312" w:cs="仿宋_GB2312"/>
          <w:b/>
          <w:bCs w:val="0"/>
          <w:color w:val="000000"/>
          <w:kern w:val="2"/>
          <w:sz w:val="28"/>
          <w:szCs w:val="28"/>
          <w:lang w:val="en-US" w:bidi="ar-SA"/>
        </w:rPr>
      </w:pPr>
      <w:r>
        <w:rPr>
          <w:rFonts w:hint="eastAsia" w:ascii="仿宋_GB2312" w:hAnsi="仿宋_GB2312" w:eastAsia="仿宋_GB2312" w:cs="仿宋_GB2312"/>
          <w:b/>
          <w:bCs w:val="0"/>
          <w:color w:val="000000"/>
          <w:kern w:val="2"/>
          <w:sz w:val="28"/>
          <w:szCs w:val="28"/>
          <w:lang w:val="en-US" w:bidi="ar-SA"/>
        </w:rPr>
        <w:t xml:space="preserve">电话（传真）：010-87697580                qq咨询：3177524020   </w:t>
      </w:r>
    </w:p>
    <w:p>
      <w:pPr>
        <w:widowControl/>
        <w:autoSpaceDE/>
        <w:autoSpaceDN/>
        <w:spacing w:line="360" w:lineRule="exact"/>
        <w:jc w:val="both"/>
        <w:rPr>
          <w:rFonts w:hint="eastAsia" w:ascii="仿宋_GB2312" w:hAnsi="仿宋_GB2312" w:eastAsia="仿宋_GB2312" w:cs="仿宋_GB2312"/>
          <w:b/>
          <w:bCs w:val="0"/>
          <w:color w:val="000000"/>
          <w:kern w:val="2"/>
          <w:sz w:val="28"/>
          <w:szCs w:val="28"/>
          <w:lang w:val="en-US" w:bidi="ar-SA"/>
        </w:rPr>
      </w:pPr>
      <w:r>
        <w:rPr>
          <w:rFonts w:hint="eastAsia" w:ascii="仿宋_GB2312" w:hAnsi="仿宋_GB2312" w:eastAsia="仿宋_GB2312" w:cs="仿宋_GB2312"/>
          <w:b/>
          <w:bCs w:val="0"/>
          <w:color w:val="000000"/>
          <w:kern w:val="2"/>
          <w:sz w:val="28"/>
          <w:szCs w:val="28"/>
          <w:lang w:val="en-US" w:bidi="ar-SA"/>
        </w:rPr>
        <w:t xml:space="preserve">网址查询：http://www.zqgpchina.cn/ </w:t>
      </w:r>
    </w:p>
    <w:p>
      <w:pPr>
        <w:widowControl/>
        <w:autoSpaceDE/>
        <w:autoSpaceDN/>
        <w:spacing w:line="360" w:lineRule="exact"/>
        <w:jc w:val="both"/>
        <w:rPr>
          <w:rFonts w:ascii="黑体" w:hAnsi="黑体" w:eastAsia="黑体" w:cs="黑体"/>
          <w:bCs/>
          <w:color w:val="000000"/>
          <w:kern w:val="2"/>
          <w:sz w:val="28"/>
          <w:szCs w:val="28"/>
          <w:lang w:val="en-US" w:bidi="ar-SA"/>
        </w:rPr>
      </w:pPr>
      <w:r>
        <w:rPr>
          <w:rFonts w:hint="eastAsia" w:ascii="黑体" w:hAnsi="黑体" w:eastAsia="黑体" w:cs="黑体"/>
          <w:bCs/>
          <w:color w:val="000000"/>
          <w:kern w:val="2"/>
          <w:sz w:val="28"/>
          <w:szCs w:val="28"/>
          <w:lang w:val="en-US" w:bidi="ar-SA"/>
        </w:rPr>
        <w:t>附件：</w:t>
      </w:r>
    </w:p>
    <w:p>
      <w:pPr>
        <w:widowControl/>
        <w:autoSpaceDE/>
        <w:autoSpaceDN/>
        <w:spacing w:line="360" w:lineRule="exact"/>
        <w:ind w:firstLine="560" w:firstLineChars="200"/>
        <w:jc w:val="both"/>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1.培训内容</w:t>
      </w:r>
    </w:p>
    <w:p>
      <w:pPr>
        <w:widowControl/>
        <w:autoSpaceDE/>
        <w:autoSpaceDN/>
        <w:spacing w:line="360" w:lineRule="exact"/>
        <w:ind w:firstLine="560" w:firstLineChars="200"/>
        <w:jc w:val="both"/>
        <w:rPr>
          <w:rFonts w:ascii="仿宋_GB2312" w:hAnsi="仿宋_GB2312" w:eastAsia="仿宋_GB2312" w:cs="仿宋_GB2312"/>
          <w:bCs/>
          <w:color w:val="000000"/>
          <w:kern w:val="2"/>
          <w:sz w:val="28"/>
          <w:szCs w:val="28"/>
          <w:lang w:val="en-US" w:bidi="ar-SA"/>
        </w:rPr>
      </w:pPr>
      <w:r>
        <w:rPr>
          <w:rFonts w:ascii="宋体" w:hAnsi="宋体" w:cs="宋体"/>
          <w:b/>
          <w:bCs/>
          <w:color w:val="000000"/>
          <w:sz w:val="28"/>
          <w:szCs w:val="28"/>
          <w:lang w:val="en-US" w:bidi="ar-SA"/>
        </w:rPr>
        <w:drawing>
          <wp:anchor distT="0" distB="0" distL="114300" distR="114300" simplePos="0" relativeHeight="251658240" behindDoc="1" locked="0" layoutInCell="1" allowOverlap="1">
            <wp:simplePos x="0" y="0"/>
            <wp:positionH relativeFrom="column">
              <wp:posOffset>-989330</wp:posOffset>
            </wp:positionH>
            <wp:positionV relativeFrom="paragraph">
              <wp:posOffset>185420</wp:posOffset>
            </wp:positionV>
            <wp:extent cx="7247255" cy="1943100"/>
            <wp:effectExtent l="0" t="0" r="10795" b="0"/>
            <wp:wrapNone/>
            <wp:docPr id="1" name="图片 1" descr="C:\Users\ADMINI~1\AppData\Local\Temp\15668919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156689195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247255" cy="1943100"/>
                    </a:xfrm>
                    <a:prstGeom prst="rect">
                      <a:avLst/>
                    </a:prstGeom>
                    <a:noFill/>
                    <a:ln>
                      <a:noFill/>
                    </a:ln>
                  </pic:spPr>
                </pic:pic>
              </a:graphicData>
            </a:graphic>
          </wp:anchor>
        </w:drawing>
      </w:r>
      <w:r>
        <w:rPr>
          <w:rFonts w:hint="eastAsia" w:ascii="仿宋_GB2312" w:hAnsi="仿宋_GB2312" w:eastAsia="仿宋_GB2312" w:cs="仿宋_GB2312"/>
          <w:bCs/>
          <w:color w:val="000000"/>
          <w:kern w:val="2"/>
          <w:sz w:val="28"/>
          <w:szCs w:val="28"/>
          <w:lang w:val="en-US" w:bidi="ar-SA"/>
        </w:rPr>
        <w:t>2.“促进建筑业持续健康发展、加强工程造价管控、规范招标实务操作培训班”报名回执表</w:t>
      </w:r>
    </w:p>
    <w:p>
      <w:pPr>
        <w:widowControl/>
        <w:autoSpaceDE/>
        <w:autoSpaceDN/>
        <w:spacing w:line="360" w:lineRule="exact"/>
        <w:jc w:val="center"/>
        <w:rPr>
          <w:rStyle w:val="11"/>
          <w:rFonts w:ascii="宋体" w:hAnsi="宋体" w:cs="宋体"/>
          <w:color w:val="000000"/>
          <w:sz w:val="28"/>
          <w:szCs w:val="28"/>
        </w:rPr>
      </w:pPr>
    </w:p>
    <w:p>
      <w:pPr>
        <w:widowControl/>
        <w:autoSpaceDE/>
        <w:autoSpaceDN/>
        <w:spacing w:line="360" w:lineRule="exact"/>
        <w:jc w:val="center"/>
        <w:rPr>
          <w:rStyle w:val="11"/>
          <w:rFonts w:ascii="宋体" w:hAnsi="宋体" w:cs="宋体"/>
          <w:color w:val="000000"/>
          <w:sz w:val="28"/>
          <w:szCs w:val="28"/>
        </w:rPr>
      </w:pPr>
    </w:p>
    <w:p>
      <w:pPr>
        <w:widowControl/>
        <w:autoSpaceDE/>
        <w:autoSpaceDN/>
        <w:spacing w:line="360" w:lineRule="exact"/>
        <w:jc w:val="center"/>
        <w:rPr>
          <w:rStyle w:val="11"/>
          <w:rFonts w:ascii="宋体" w:hAnsi="宋体" w:cs="宋体"/>
          <w:color w:val="000000"/>
          <w:sz w:val="28"/>
          <w:szCs w:val="28"/>
        </w:rPr>
      </w:pPr>
    </w:p>
    <w:p>
      <w:pPr>
        <w:autoSpaceDE/>
        <w:autoSpaceDN/>
        <w:spacing w:line="360" w:lineRule="exact"/>
        <w:jc w:val="both"/>
        <w:rPr>
          <w:kern w:val="2"/>
          <w:sz w:val="28"/>
          <w:szCs w:val="28"/>
        </w:rPr>
      </w:pPr>
    </w:p>
    <w:p>
      <w:pPr>
        <w:autoSpaceDE/>
        <w:autoSpaceDN/>
        <w:spacing w:line="360" w:lineRule="exact"/>
        <w:jc w:val="both"/>
        <w:rPr>
          <w:kern w:val="2"/>
          <w:sz w:val="28"/>
          <w:szCs w:val="28"/>
        </w:rPr>
      </w:pPr>
    </w:p>
    <w:p>
      <w:pPr>
        <w:autoSpaceDE/>
        <w:autoSpaceDN/>
        <w:spacing w:line="360" w:lineRule="exact"/>
        <w:jc w:val="both"/>
        <w:rPr>
          <w:rFonts w:hint="eastAsia"/>
          <w:kern w:val="2"/>
          <w:sz w:val="28"/>
          <w:szCs w:val="28"/>
        </w:rPr>
      </w:pPr>
    </w:p>
    <w:p>
      <w:pPr>
        <w:autoSpaceDE/>
        <w:autoSpaceDN/>
        <w:spacing w:line="440" w:lineRule="exact"/>
        <w:jc w:val="both"/>
        <w:rPr>
          <w:rFonts w:hint="eastAsia" w:ascii="黑体" w:hAnsi="黑体" w:eastAsia="黑体" w:cs="黑体"/>
          <w:kern w:val="2"/>
          <w:sz w:val="28"/>
          <w:szCs w:val="28"/>
          <w:lang w:val="en-US"/>
        </w:rPr>
      </w:pPr>
    </w:p>
    <w:p>
      <w:pPr>
        <w:autoSpaceDE/>
        <w:autoSpaceDN/>
        <w:spacing w:line="440" w:lineRule="exact"/>
        <w:jc w:val="both"/>
        <w:rPr>
          <w:rFonts w:ascii="黑体" w:hAnsi="黑体" w:eastAsia="黑体" w:cs="黑体"/>
          <w:kern w:val="2"/>
          <w:sz w:val="28"/>
          <w:szCs w:val="28"/>
          <w:lang w:val="en-US"/>
        </w:rPr>
      </w:pPr>
      <w:r>
        <w:rPr>
          <w:rFonts w:hint="eastAsia" w:ascii="黑体" w:hAnsi="黑体" w:eastAsia="黑体" w:cs="黑体"/>
          <w:kern w:val="2"/>
          <w:sz w:val="28"/>
          <w:szCs w:val="28"/>
          <w:lang w:val="en-US"/>
        </w:rPr>
        <w:t>附件1.培训内容</w:t>
      </w:r>
    </w:p>
    <w:p>
      <w:pPr>
        <w:widowControl/>
        <w:autoSpaceDE/>
        <w:autoSpaceDN/>
        <w:spacing w:line="440" w:lineRule="exact"/>
        <w:jc w:val="both"/>
        <w:rPr>
          <w:rFonts w:ascii="楷体" w:hAnsi="楷体" w:eastAsia="楷体" w:cs="楷体"/>
          <w:color w:val="000000"/>
          <w:kern w:val="2"/>
          <w:sz w:val="28"/>
          <w:szCs w:val="28"/>
          <w:lang w:val="en-US" w:bidi="ar-SA"/>
        </w:rPr>
      </w:pPr>
      <w:r>
        <w:rPr>
          <w:rFonts w:hint="eastAsia" w:ascii="楷体" w:hAnsi="楷体" w:eastAsia="楷体" w:cs="楷体"/>
          <w:color w:val="000000"/>
          <w:kern w:val="2"/>
          <w:sz w:val="28"/>
          <w:szCs w:val="28"/>
          <w:lang w:val="en-US" w:bidi="ar-SA"/>
        </w:rPr>
        <w:t>（一）最新清单计价与建筑业营改增等政策文件解读</w:t>
      </w:r>
    </w:p>
    <w:p>
      <w:pPr>
        <w:autoSpaceDE/>
        <w:autoSpaceDN/>
        <w:spacing w:line="440" w:lineRule="exact"/>
        <w:jc w:val="both"/>
        <w:rPr>
          <w:bCs/>
          <w:kern w:val="2"/>
          <w:sz w:val="28"/>
          <w:szCs w:val="28"/>
          <w:lang w:val="en-US" w:bidi="ar-SA"/>
        </w:rPr>
      </w:pPr>
      <w:r>
        <w:rPr>
          <w:rFonts w:hint="eastAsia"/>
          <w:bCs/>
          <w:kern w:val="2"/>
          <w:sz w:val="28"/>
          <w:szCs w:val="28"/>
          <w:lang w:val="en-US" w:bidi="ar-SA"/>
        </w:rPr>
        <w:t>1.《国务院办公厅关于促进建筑业持续健康发展的意见》中相关计价规定（国办发</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19号）</w:t>
      </w:r>
    </w:p>
    <w:p>
      <w:pPr>
        <w:autoSpaceDE/>
        <w:autoSpaceDN/>
        <w:spacing w:line="440" w:lineRule="exact"/>
        <w:jc w:val="both"/>
        <w:rPr>
          <w:bCs/>
          <w:kern w:val="2"/>
          <w:sz w:val="28"/>
          <w:szCs w:val="28"/>
          <w:lang w:val="en-US" w:bidi="ar-SA"/>
        </w:rPr>
      </w:pPr>
      <w:r>
        <w:rPr>
          <w:rFonts w:hint="eastAsia"/>
          <w:bCs/>
          <w:kern w:val="2"/>
          <w:sz w:val="28"/>
          <w:szCs w:val="28"/>
          <w:lang w:val="en-US" w:bidi="ar-SA"/>
        </w:rPr>
        <w:t>2.《住建部关于加强和改善工程造价监管的意见》（建标</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209号）</w:t>
      </w:r>
    </w:p>
    <w:p>
      <w:pPr>
        <w:autoSpaceDE/>
        <w:autoSpaceDN/>
        <w:spacing w:line="440" w:lineRule="exact"/>
        <w:jc w:val="both"/>
        <w:rPr>
          <w:bCs/>
          <w:kern w:val="2"/>
          <w:sz w:val="28"/>
          <w:szCs w:val="28"/>
          <w:lang w:val="en-US" w:bidi="ar-SA"/>
        </w:rPr>
      </w:pPr>
      <w:r>
        <w:rPr>
          <w:rFonts w:hint="eastAsia"/>
          <w:bCs/>
          <w:kern w:val="2"/>
          <w:sz w:val="28"/>
          <w:szCs w:val="28"/>
          <w:lang w:val="en-US" w:bidi="ar-SA"/>
        </w:rPr>
        <w:t>3.《住建部标准定额司关于清单工程量计算规范意见的函》（建标造函</w:t>
      </w:r>
      <w:r>
        <w:rPr>
          <w:rFonts w:hint="eastAsia" w:ascii="仿宋_GB2312" w:hAnsi="仿宋_GB2312" w:eastAsia="仿宋_GB2312" w:cs="仿宋_GB2312"/>
          <w:bCs/>
          <w:color w:val="000000"/>
          <w:kern w:val="2"/>
          <w:sz w:val="28"/>
          <w:szCs w:val="28"/>
          <w:lang w:val="en-US" w:bidi="ar-SA"/>
        </w:rPr>
        <w:t>〔2018〕</w:t>
      </w:r>
      <w:r>
        <w:rPr>
          <w:rFonts w:hint="eastAsia"/>
          <w:bCs/>
          <w:kern w:val="2"/>
          <w:sz w:val="28"/>
          <w:szCs w:val="28"/>
          <w:lang w:val="en-US" w:bidi="ar-SA"/>
        </w:rPr>
        <w:t>208号）</w:t>
      </w:r>
    </w:p>
    <w:p>
      <w:pPr>
        <w:autoSpaceDE/>
        <w:autoSpaceDN/>
        <w:spacing w:line="440" w:lineRule="exact"/>
        <w:jc w:val="both"/>
        <w:rPr>
          <w:bCs/>
          <w:kern w:val="2"/>
          <w:sz w:val="28"/>
          <w:szCs w:val="28"/>
          <w:lang w:val="en-US" w:bidi="ar-SA"/>
        </w:rPr>
      </w:pPr>
      <w:r>
        <w:rPr>
          <w:rFonts w:hint="eastAsia"/>
          <w:bCs/>
          <w:kern w:val="2"/>
          <w:sz w:val="28"/>
          <w:szCs w:val="28"/>
          <w:lang w:val="en-US" w:bidi="ar-SA"/>
        </w:rPr>
        <w:t>4.《关于全面推开营业税改征增值税试点的通知》（财税</w:t>
      </w:r>
      <w:r>
        <w:rPr>
          <w:rFonts w:hint="eastAsia" w:ascii="仿宋_GB2312" w:hAnsi="仿宋_GB2312" w:eastAsia="仿宋_GB2312" w:cs="仿宋_GB2312"/>
          <w:bCs/>
          <w:color w:val="000000"/>
          <w:kern w:val="2"/>
          <w:sz w:val="28"/>
          <w:szCs w:val="28"/>
          <w:lang w:val="en-US" w:bidi="ar-SA"/>
        </w:rPr>
        <w:t>〔2016〕</w:t>
      </w:r>
      <w:r>
        <w:rPr>
          <w:rFonts w:hint="eastAsia"/>
          <w:bCs/>
          <w:kern w:val="2"/>
          <w:sz w:val="28"/>
          <w:szCs w:val="28"/>
          <w:lang w:val="en-US" w:bidi="ar-SA"/>
        </w:rPr>
        <w:t>36号）</w:t>
      </w:r>
    </w:p>
    <w:p>
      <w:pPr>
        <w:autoSpaceDE/>
        <w:autoSpaceDN/>
        <w:spacing w:line="440" w:lineRule="exact"/>
        <w:jc w:val="both"/>
        <w:rPr>
          <w:bCs/>
          <w:kern w:val="2"/>
          <w:sz w:val="28"/>
          <w:szCs w:val="28"/>
          <w:lang w:val="en-US" w:bidi="ar-SA"/>
        </w:rPr>
      </w:pPr>
      <w:r>
        <w:rPr>
          <w:rFonts w:hint="eastAsia"/>
          <w:bCs/>
          <w:kern w:val="2"/>
          <w:sz w:val="28"/>
          <w:szCs w:val="28"/>
          <w:lang w:val="en-US" w:bidi="ar-SA"/>
        </w:rPr>
        <w:t>5.《纳税人跨县（市、区）提供建筑服务增值税征收管理暂行办法》（国家税务总局2016年第17号公告）</w:t>
      </w:r>
    </w:p>
    <w:p>
      <w:pPr>
        <w:autoSpaceDE/>
        <w:autoSpaceDN/>
        <w:spacing w:line="440" w:lineRule="exact"/>
        <w:jc w:val="both"/>
        <w:rPr>
          <w:bCs/>
          <w:kern w:val="2"/>
          <w:sz w:val="28"/>
          <w:szCs w:val="28"/>
          <w:lang w:val="en-US" w:bidi="ar-SA"/>
        </w:rPr>
      </w:pPr>
      <w:r>
        <w:rPr>
          <w:rFonts w:hint="eastAsia"/>
          <w:bCs/>
          <w:kern w:val="2"/>
          <w:sz w:val="28"/>
          <w:szCs w:val="28"/>
          <w:lang w:val="en-US" w:bidi="ar-SA"/>
        </w:rPr>
        <w:t>6.《关于做好建筑业营改增建设工程计价依据调整准备工作的通知》（建办标</w:t>
      </w:r>
      <w:r>
        <w:rPr>
          <w:rFonts w:hint="eastAsia" w:ascii="仿宋_GB2312" w:hAnsi="仿宋_GB2312" w:eastAsia="仿宋_GB2312" w:cs="仿宋_GB2312"/>
          <w:bCs/>
          <w:color w:val="000000"/>
          <w:kern w:val="2"/>
          <w:sz w:val="28"/>
          <w:szCs w:val="28"/>
          <w:lang w:val="en-US" w:bidi="ar-SA"/>
        </w:rPr>
        <w:t>〔2016〕</w:t>
      </w:r>
      <w:r>
        <w:rPr>
          <w:rFonts w:hint="eastAsia"/>
          <w:bCs/>
          <w:kern w:val="2"/>
          <w:sz w:val="28"/>
          <w:szCs w:val="28"/>
          <w:lang w:val="en-US" w:bidi="ar-SA"/>
        </w:rPr>
        <w:t>4号）</w:t>
      </w:r>
    </w:p>
    <w:p>
      <w:pPr>
        <w:autoSpaceDE/>
        <w:autoSpaceDN/>
        <w:spacing w:line="440" w:lineRule="exact"/>
        <w:jc w:val="both"/>
        <w:rPr>
          <w:bCs/>
          <w:kern w:val="2"/>
          <w:sz w:val="28"/>
          <w:szCs w:val="28"/>
          <w:lang w:val="en-US" w:bidi="ar-SA"/>
        </w:rPr>
      </w:pPr>
      <w:r>
        <w:rPr>
          <w:rFonts w:hint="eastAsia"/>
          <w:bCs/>
          <w:kern w:val="2"/>
          <w:sz w:val="28"/>
          <w:szCs w:val="28"/>
          <w:lang w:val="en-US" w:bidi="ar-SA"/>
        </w:rPr>
        <w:t>7.《关于建筑服务等营改增试点政策的通知》（财税</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58号）</w:t>
      </w:r>
    </w:p>
    <w:p>
      <w:pPr>
        <w:autoSpaceDE/>
        <w:autoSpaceDN/>
        <w:spacing w:line="440" w:lineRule="exact"/>
        <w:jc w:val="both"/>
        <w:rPr>
          <w:bCs/>
          <w:kern w:val="2"/>
          <w:sz w:val="28"/>
          <w:szCs w:val="28"/>
          <w:lang w:val="en-US" w:bidi="ar-SA"/>
        </w:rPr>
      </w:pPr>
      <w:r>
        <w:rPr>
          <w:rFonts w:hint="eastAsia"/>
          <w:bCs/>
          <w:kern w:val="2"/>
          <w:sz w:val="28"/>
          <w:szCs w:val="28"/>
          <w:lang w:val="en-US" w:bidi="ar-SA"/>
        </w:rPr>
        <w:t>8.《财政部税务总局关于调整增值税税率的通知》（财税</w:t>
      </w:r>
      <w:r>
        <w:rPr>
          <w:rFonts w:hint="eastAsia" w:ascii="仿宋_GB2312" w:hAnsi="仿宋_GB2312" w:eastAsia="仿宋_GB2312" w:cs="仿宋_GB2312"/>
          <w:bCs/>
          <w:color w:val="000000"/>
          <w:kern w:val="2"/>
          <w:sz w:val="28"/>
          <w:szCs w:val="28"/>
          <w:lang w:val="en-US" w:bidi="ar-SA"/>
        </w:rPr>
        <w:t>〔2018〕</w:t>
      </w:r>
      <w:r>
        <w:rPr>
          <w:rFonts w:hint="eastAsia"/>
          <w:bCs/>
          <w:kern w:val="2"/>
          <w:sz w:val="28"/>
          <w:szCs w:val="28"/>
          <w:lang w:val="en-US" w:bidi="ar-SA"/>
        </w:rPr>
        <w:t>32）及国家税务总局2018年第42号公告等文件的重点条文解读</w:t>
      </w:r>
    </w:p>
    <w:p>
      <w:pPr>
        <w:autoSpaceDE/>
        <w:autoSpaceDN/>
        <w:spacing w:line="440" w:lineRule="exact"/>
        <w:jc w:val="both"/>
        <w:rPr>
          <w:rFonts w:ascii="楷体" w:hAnsi="楷体" w:eastAsia="楷体" w:cs="楷体"/>
          <w:color w:val="000000"/>
          <w:kern w:val="2"/>
          <w:sz w:val="28"/>
          <w:szCs w:val="28"/>
          <w:lang w:val="en-US" w:bidi="ar-SA"/>
        </w:rPr>
      </w:pPr>
      <w:r>
        <w:rPr>
          <w:rFonts w:hint="eastAsia" w:ascii="楷体" w:hAnsi="楷体" w:eastAsia="楷体" w:cs="楷体"/>
          <w:kern w:val="2"/>
          <w:sz w:val="28"/>
          <w:szCs w:val="28"/>
          <w:lang w:val="en-US" w:bidi="ar-SA"/>
        </w:rPr>
        <w:t>（二）</w:t>
      </w:r>
      <w:r>
        <w:rPr>
          <w:rFonts w:hint="eastAsia" w:ascii="楷体" w:hAnsi="楷体" w:eastAsia="楷体" w:cs="楷体"/>
          <w:color w:val="000000"/>
          <w:kern w:val="2"/>
          <w:sz w:val="28"/>
          <w:szCs w:val="28"/>
          <w:lang w:val="en-US" w:bidi="ar-SA"/>
        </w:rPr>
        <w:t xml:space="preserve">工程造价管控、计价争议焦点共性问题分析解决思路  </w:t>
      </w:r>
    </w:p>
    <w:p>
      <w:pPr>
        <w:spacing w:line="440" w:lineRule="exact"/>
        <w:rPr>
          <w:rFonts w:cs="宋体"/>
          <w:color w:val="000000"/>
          <w:sz w:val="28"/>
          <w:szCs w:val="28"/>
        </w:rPr>
      </w:pPr>
      <w:r>
        <w:rPr>
          <w:rFonts w:hint="eastAsia" w:cs="宋体"/>
          <w:color w:val="000000"/>
          <w:sz w:val="28"/>
          <w:szCs w:val="28"/>
          <w:lang w:val="en-US"/>
        </w:rPr>
        <w:t>1.</w:t>
      </w:r>
      <w:r>
        <w:rPr>
          <w:rFonts w:hint="eastAsia" w:cs="宋体"/>
          <w:color w:val="000000"/>
          <w:sz w:val="28"/>
          <w:szCs w:val="28"/>
        </w:rPr>
        <w:t>工程造价管控的基础条件分析</w:t>
      </w:r>
    </w:p>
    <w:p>
      <w:pPr>
        <w:spacing w:line="440" w:lineRule="exact"/>
        <w:rPr>
          <w:rFonts w:cs="宋体"/>
          <w:color w:val="000000"/>
          <w:sz w:val="28"/>
          <w:szCs w:val="28"/>
        </w:rPr>
      </w:pPr>
      <w:r>
        <w:rPr>
          <w:rFonts w:hint="eastAsia" w:cs="宋体"/>
          <w:color w:val="000000"/>
          <w:sz w:val="28"/>
          <w:szCs w:val="28"/>
        </w:rPr>
        <w:t>2.招标清单缺漏的价款补偿分析</w:t>
      </w:r>
    </w:p>
    <w:p>
      <w:pPr>
        <w:spacing w:line="440" w:lineRule="exact"/>
        <w:rPr>
          <w:rFonts w:cs="宋体"/>
          <w:color w:val="000000"/>
          <w:sz w:val="28"/>
          <w:szCs w:val="28"/>
        </w:rPr>
      </w:pPr>
      <w:r>
        <w:rPr>
          <w:rFonts w:hint="eastAsia" w:cs="宋体"/>
          <w:color w:val="000000"/>
          <w:sz w:val="28"/>
          <w:szCs w:val="28"/>
        </w:rPr>
        <w:t>3.招标清单特征描述不准确的结算影响</w:t>
      </w:r>
    </w:p>
    <w:p>
      <w:pPr>
        <w:spacing w:line="440" w:lineRule="exact"/>
        <w:rPr>
          <w:rFonts w:cs="宋体"/>
          <w:color w:val="000000"/>
          <w:sz w:val="28"/>
          <w:szCs w:val="28"/>
        </w:rPr>
      </w:pPr>
      <w:r>
        <w:rPr>
          <w:rFonts w:hint="eastAsia" w:cs="宋体"/>
          <w:color w:val="000000"/>
          <w:sz w:val="28"/>
          <w:szCs w:val="28"/>
        </w:rPr>
        <w:t>4.合同价格形式的选择与设计</w:t>
      </w:r>
    </w:p>
    <w:p>
      <w:pPr>
        <w:spacing w:line="440" w:lineRule="exact"/>
        <w:rPr>
          <w:rFonts w:cs="宋体"/>
          <w:color w:val="000000"/>
          <w:sz w:val="28"/>
          <w:szCs w:val="28"/>
        </w:rPr>
      </w:pPr>
      <w:r>
        <w:rPr>
          <w:rFonts w:hint="eastAsia" w:cs="宋体"/>
          <w:color w:val="000000"/>
          <w:sz w:val="28"/>
          <w:szCs w:val="28"/>
        </w:rPr>
        <w:t>5.工程量核定与进度款结算</w:t>
      </w:r>
    </w:p>
    <w:p>
      <w:pPr>
        <w:spacing w:line="440" w:lineRule="exact"/>
        <w:rPr>
          <w:rFonts w:cs="宋体"/>
          <w:color w:val="000000"/>
          <w:sz w:val="28"/>
          <w:szCs w:val="28"/>
        </w:rPr>
      </w:pPr>
      <w:r>
        <w:rPr>
          <w:rFonts w:hint="eastAsia" w:cs="宋体"/>
          <w:color w:val="000000"/>
          <w:sz w:val="28"/>
          <w:szCs w:val="28"/>
        </w:rPr>
        <w:t>6.市场价格波动引起的调价</w:t>
      </w:r>
    </w:p>
    <w:p>
      <w:pPr>
        <w:spacing w:line="440" w:lineRule="exact"/>
        <w:rPr>
          <w:rFonts w:cs="宋体"/>
          <w:color w:val="000000"/>
          <w:sz w:val="28"/>
          <w:szCs w:val="28"/>
        </w:rPr>
      </w:pPr>
      <w:r>
        <w:rPr>
          <w:rFonts w:hint="eastAsia" w:cs="宋体"/>
          <w:color w:val="000000"/>
          <w:sz w:val="28"/>
          <w:szCs w:val="28"/>
        </w:rPr>
        <w:t>7.工程量变更结算中“不平衡单价”处理</w:t>
      </w:r>
    </w:p>
    <w:p>
      <w:pPr>
        <w:spacing w:line="440" w:lineRule="exact"/>
        <w:rPr>
          <w:rFonts w:cs="宋体"/>
          <w:color w:val="000000"/>
          <w:sz w:val="28"/>
          <w:szCs w:val="28"/>
        </w:rPr>
      </w:pPr>
      <w:r>
        <w:rPr>
          <w:rFonts w:hint="eastAsia" w:cs="宋体"/>
          <w:color w:val="000000"/>
          <w:sz w:val="28"/>
          <w:szCs w:val="28"/>
        </w:rPr>
        <w:t>8.工程实体内容变更计价争议与案例</w:t>
      </w:r>
    </w:p>
    <w:p>
      <w:pPr>
        <w:spacing w:line="440" w:lineRule="exact"/>
        <w:rPr>
          <w:rFonts w:cs="宋体"/>
          <w:color w:val="000000"/>
          <w:sz w:val="28"/>
          <w:szCs w:val="28"/>
        </w:rPr>
      </w:pPr>
      <w:r>
        <w:rPr>
          <w:rFonts w:hint="eastAsia" w:cs="宋体"/>
          <w:color w:val="000000"/>
          <w:sz w:val="28"/>
          <w:szCs w:val="28"/>
        </w:rPr>
        <w:t>9.工程措施方案变更的责任分析与计价处理</w:t>
      </w:r>
    </w:p>
    <w:p>
      <w:pPr>
        <w:spacing w:line="440" w:lineRule="exact"/>
        <w:rPr>
          <w:rFonts w:cs="宋体"/>
          <w:color w:val="000000"/>
          <w:sz w:val="28"/>
          <w:szCs w:val="28"/>
        </w:rPr>
      </w:pPr>
      <w:r>
        <w:rPr>
          <w:rFonts w:hint="eastAsia" w:cs="宋体"/>
          <w:color w:val="000000"/>
          <w:sz w:val="28"/>
          <w:szCs w:val="28"/>
        </w:rPr>
        <w:t>10.工程签证与索赔管理典型案例分析</w:t>
      </w:r>
    </w:p>
    <w:p>
      <w:pPr>
        <w:spacing w:line="440" w:lineRule="exact"/>
        <w:rPr>
          <w:rFonts w:cs="宋体"/>
          <w:color w:val="000000"/>
          <w:sz w:val="28"/>
          <w:szCs w:val="28"/>
        </w:rPr>
      </w:pPr>
      <w:r>
        <w:rPr>
          <w:rFonts w:hint="eastAsia" w:cs="宋体"/>
          <w:color w:val="000000"/>
          <w:sz w:val="28"/>
          <w:szCs w:val="28"/>
        </w:rPr>
        <w:t>11.工程造价管控中疑难争议问题解析</w:t>
      </w:r>
    </w:p>
    <w:p>
      <w:pPr>
        <w:spacing w:line="440" w:lineRule="exact"/>
        <w:rPr>
          <w:rFonts w:cs="宋体"/>
          <w:color w:val="000000"/>
          <w:sz w:val="28"/>
          <w:szCs w:val="28"/>
        </w:rPr>
      </w:pPr>
      <w:r>
        <w:rPr>
          <w:rFonts w:hint="eastAsia" w:cs="宋体"/>
          <w:color w:val="000000"/>
          <w:sz w:val="28"/>
          <w:szCs w:val="28"/>
        </w:rPr>
        <w:t>12.工程造价审计的重点内容与方法</w:t>
      </w:r>
    </w:p>
    <w:p>
      <w:pPr>
        <w:widowControl/>
        <w:autoSpaceDE/>
        <w:autoSpaceDN/>
        <w:spacing w:line="440" w:lineRule="exact"/>
        <w:jc w:val="both"/>
        <w:rPr>
          <w:rFonts w:ascii="楷体" w:hAnsi="楷体" w:eastAsia="楷体" w:cs="楷体"/>
          <w:color w:val="000000"/>
          <w:kern w:val="2"/>
          <w:sz w:val="28"/>
          <w:szCs w:val="28"/>
          <w:lang w:val="en-US" w:bidi="ar-SA"/>
        </w:rPr>
      </w:pPr>
      <w:r>
        <w:rPr>
          <w:rFonts w:hint="eastAsia" w:ascii="楷体" w:hAnsi="楷体" w:eastAsia="楷体" w:cs="楷体"/>
          <w:kern w:val="2"/>
          <w:sz w:val="28"/>
          <w:szCs w:val="28"/>
          <w:lang w:val="en-US" w:bidi="ar-SA"/>
        </w:rPr>
        <w:t>（三）</w:t>
      </w:r>
      <w:r>
        <w:rPr>
          <w:rFonts w:hint="eastAsia" w:ascii="楷体" w:hAnsi="楷体" w:eastAsia="楷体" w:cs="楷体"/>
          <w:color w:val="000000"/>
          <w:kern w:val="2"/>
          <w:sz w:val="28"/>
          <w:szCs w:val="28"/>
          <w:lang w:val="en-US" w:bidi="ar-SA"/>
        </w:rPr>
        <w:t>营改增后计价、招标、合同对策分析</w:t>
      </w:r>
      <w:r>
        <w:rPr>
          <w:rFonts w:hint="eastAsia" w:ascii="楷体" w:hAnsi="楷体" w:eastAsia="楷体" w:cs="楷体"/>
          <w:kern w:val="2"/>
          <w:sz w:val="28"/>
          <w:szCs w:val="28"/>
          <w:lang w:val="en-US" w:bidi="ar-SA"/>
        </w:rPr>
        <w:t>、</w:t>
      </w:r>
      <w:r>
        <w:rPr>
          <w:rFonts w:hint="eastAsia" w:ascii="楷体" w:hAnsi="楷体" w:eastAsia="楷体" w:cs="楷体"/>
          <w:color w:val="000000"/>
          <w:kern w:val="2"/>
          <w:sz w:val="28"/>
          <w:szCs w:val="28"/>
          <w:lang w:val="en-US" w:bidi="ar-SA"/>
        </w:rPr>
        <w:t>风险防范与案例分析</w:t>
      </w:r>
    </w:p>
    <w:p>
      <w:pPr>
        <w:widowControl/>
        <w:spacing w:line="440" w:lineRule="exact"/>
        <w:rPr>
          <w:rFonts w:cs="宋体"/>
          <w:color w:val="000000"/>
          <w:sz w:val="28"/>
          <w:szCs w:val="28"/>
        </w:rPr>
      </w:pPr>
      <w:r>
        <w:rPr>
          <w:rFonts w:hint="eastAsia" w:cs="宋体"/>
          <w:color w:val="000000"/>
          <w:sz w:val="28"/>
          <w:szCs w:val="28"/>
        </w:rPr>
        <w:t>1.营改增前后工程计价结构的对比案例分析</w:t>
      </w:r>
    </w:p>
    <w:p>
      <w:pPr>
        <w:widowControl/>
        <w:spacing w:line="440" w:lineRule="exact"/>
        <w:rPr>
          <w:rFonts w:cs="宋体"/>
          <w:color w:val="000000"/>
          <w:sz w:val="28"/>
          <w:szCs w:val="28"/>
        </w:rPr>
      </w:pPr>
      <w:r>
        <w:rPr>
          <w:rFonts w:hint="eastAsia" w:cs="宋体"/>
          <w:color w:val="000000"/>
          <w:sz w:val="28"/>
          <w:szCs w:val="28"/>
        </w:rPr>
        <w:t>2.营改增后甲供材料与设备的计价与计税规定与案例分析</w:t>
      </w:r>
    </w:p>
    <w:p>
      <w:pPr>
        <w:widowControl/>
        <w:spacing w:line="440" w:lineRule="exact"/>
        <w:rPr>
          <w:rFonts w:cs="宋体"/>
          <w:color w:val="000000"/>
          <w:sz w:val="28"/>
          <w:szCs w:val="28"/>
        </w:rPr>
      </w:pPr>
      <w:r>
        <w:rPr>
          <w:rFonts w:hint="eastAsia" w:cs="宋体"/>
          <w:color w:val="000000"/>
          <w:sz w:val="28"/>
          <w:szCs w:val="28"/>
        </w:rPr>
        <w:t>3.为什么“清包工工程”“老项目”大多选用简易计税方法计价</w:t>
      </w:r>
    </w:p>
    <w:p>
      <w:pPr>
        <w:widowControl/>
        <w:spacing w:line="440" w:lineRule="exact"/>
        <w:rPr>
          <w:rFonts w:cs="宋体"/>
          <w:color w:val="000000"/>
          <w:sz w:val="28"/>
          <w:szCs w:val="28"/>
        </w:rPr>
      </w:pPr>
      <w:r>
        <w:rPr>
          <w:rFonts w:hint="eastAsia" w:cs="宋体"/>
          <w:color w:val="000000"/>
          <w:sz w:val="28"/>
          <w:szCs w:val="28"/>
        </w:rPr>
        <w:t>4.“甲供工程”采用简易计税方法一定对业主有利</w:t>
      </w:r>
    </w:p>
    <w:p>
      <w:pPr>
        <w:widowControl/>
        <w:spacing w:line="440" w:lineRule="exact"/>
        <w:rPr>
          <w:rFonts w:cs="宋体"/>
          <w:color w:val="000000"/>
          <w:sz w:val="28"/>
          <w:szCs w:val="28"/>
        </w:rPr>
      </w:pPr>
      <w:r>
        <w:rPr>
          <w:rFonts w:hint="eastAsia" w:cs="宋体"/>
          <w:color w:val="000000"/>
          <w:sz w:val="28"/>
          <w:szCs w:val="28"/>
        </w:rPr>
        <w:t>5.营改增后“新项目新报价”的计税方法的选择与明确</w:t>
      </w:r>
    </w:p>
    <w:p>
      <w:pPr>
        <w:widowControl/>
        <w:spacing w:line="440" w:lineRule="exact"/>
        <w:rPr>
          <w:rFonts w:cs="宋体"/>
          <w:color w:val="000000"/>
          <w:sz w:val="28"/>
          <w:szCs w:val="28"/>
        </w:rPr>
      </w:pPr>
      <w:r>
        <w:rPr>
          <w:rFonts w:hint="eastAsia" w:cs="宋体"/>
          <w:color w:val="000000"/>
          <w:sz w:val="28"/>
          <w:szCs w:val="28"/>
        </w:rPr>
        <w:t>6.甲供内容和比例给定，选择哪种计税方法对业主更优化</w:t>
      </w:r>
    </w:p>
    <w:p>
      <w:pPr>
        <w:widowControl/>
        <w:spacing w:line="440" w:lineRule="exact"/>
        <w:rPr>
          <w:rFonts w:cs="宋体"/>
          <w:color w:val="000000"/>
          <w:sz w:val="28"/>
          <w:szCs w:val="28"/>
        </w:rPr>
      </w:pPr>
      <w:r>
        <w:rPr>
          <w:rFonts w:hint="eastAsia" w:cs="宋体"/>
          <w:color w:val="000000"/>
          <w:sz w:val="28"/>
          <w:szCs w:val="28"/>
        </w:rPr>
        <w:t>7.甲供材料设备增值税可抵扣率16%，比工程造价中增值税可抵扣率10%大，是不是甲供越多抵扣越多、对业主越有利</w:t>
      </w:r>
    </w:p>
    <w:p>
      <w:pPr>
        <w:widowControl/>
        <w:spacing w:line="440" w:lineRule="exact"/>
        <w:rPr>
          <w:rFonts w:cs="宋体"/>
          <w:color w:val="000000"/>
          <w:sz w:val="28"/>
          <w:szCs w:val="28"/>
        </w:rPr>
      </w:pPr>
      <w:r>
        <w:rPr>
          <w:rFonts w:hint="eastAsia" w:cs="宋体"/>
          <w:color w:val="000000"/>
          <w:sz w:val="28"/>
          <w:szCs w:val="28"/>
        </w:rPr>
        <w:t>8.“老项目老报价”的结算价格“剥离”与调整</w:t>
      </w:r>
    </w:p>
    <w:p>
      <w:pPr>
        <w:widowControl/>
        <w:spacing w:line="440" w:lineRule="exact"/>
        <w:rPr>
          <w:rFonts w:cs="宋体"/>
          <w:color w:val="000000"/>
          <w:sz w:val="28"/>
          <w:szCs w:val="28"/>
        </w:rPr>
      </w:pPr>
      <w:r>
        <w:rPr>
          <w:rFonts w:hint="eastAsia" w:cs="宋体"/>
          <w:color w:val="000000"/>
          <w:sz w:val="28"/>
          <w:szCs w:val="28"/>
        </w:rPr>
        <w:t>9.“货物销售+建筑服务”计税方法选择与计价算例</w:t>
      </w:r>
    </w:p>
    <w:p>
      <w:pPr>
        <w:widowControl/>
        <w:spacing w:line="440" w:lineRule="exact"/>
        <w:rPr>
          <w:rFonts w:cs="宋体"/>
          <w:color w:val="000000"/>
          <w:sz w:val="28"/>
          <w:szCs w:val="28"/>
        </w:rPr>
      </w:pPr>
      <w:r>
        <w:rPr>
          <w:rFonts w:hint="eastAsia" w:cs="宋体"/>
          <w:color w:val="000000"/>
          <w:sz w:val="28"/>
          <w:szCs w:val="28"/>
        </w:rPr>
        <w:t>10.营改增后工程计价盈亏因素的案例分析</w:t>
      </w:r>
    </w:p>
    <w:p>
      <w:pPr>
        <w:widowControl/>
        <w:spacing w:line="440" w:lineRule="exact"/>
        <w:rPr>
          <w:rFonts w:hint="eastAsia" w:cs="宋体"/>
          <w:color w:val="000000"/>
          <w:sz w:val="28"/>
          <w:szCs w:val="28"/>
        </w:rPr>
      </w:pPr>
      <w:r>
        <w:rPr>
          <w:rFonts w:hint="eastAsia" w:cs="宋体"/>
          <w:color w:val="000000"/>
          <w:sz w:val="28"/>
          <w:szCs w:val="28"/>
        </w:rPr>
        <w:t>11.营改增后建设单位对招标文件及施工合同的审查要点</w:t>
      </w:r>
    </w:p>
    <w:p>
      <w:pPr>
        <w:widowControl/>
        <w:spacing w:line="440" w:lineRule="exact"/>
        <w:rPr>
          <w:rFonts w:ascii="楷体" w:hAnsi="楷体" w:eastAsia="楷体" w:cs="楷体"/>
          <w:color w:val="000000"/>
          <w:kern w:val="2"/>
          <w:sz w:val="28"/>
          <w:szCs w:val="28"/>
          <w:lang w:val="en-US" w:bidi="ar-SA"/>
        </w:rPr>
      </w:pPr>
      <w:r>
        <w:rPr>
          <w:rFonts w:hint="eastAsia" w:ascii="楷体" w:hAnsi="楷体" w:eastAsia="楷体" w:cs="楷体"/>
          <w:color w:val="000000"/>
          <w:kern w:val="2"/>
          <w:sz w:val="28"/>
          <w:szCs w:val="28"/>
          <w:lang w:val="en-US" w:bidi="ar-SA"/>
        </w:rPr>
        <w:t>（四）最新法规和招标实务操作重难点分析与监督管理及其相关案例分析</w:t>
      </w:r>
    </w:p>
    <w:p>
      <w:pPr>
        <w:widowControl/>
        <w:numPr>
          <w:ilvl w:val="255"/>
          <w:numId w:val="0"/>
        </w:numPr>
        <w:spacing w:line="440" w:lineRule="exact"/>
        <w:rPr>
          <w:rFonts w:cs="宋体"/>
          <w:color w:val="000000"/>
          <w:sz w:val="28"/>
          <w:szCs w:val="28"/>
        </w:rPr>
      </w:pPr>
      <w:r>
        <w:rPr>
          <w:rFonts w:hint="eastAsia" w:cs="宋体"/>
          <w:color w:val="000000"/>
          <w:sz w:val="28"/>
          <w:szCs w:val="28"/>
          <w:lang w:val="en-US"/>
        </w:rPr>
        <w:t>1.</w:t>
      </w:r>
      <w:r>
        <w:rPr>
          <w:rFonts w:hint="eastAsia" w:cs="宋体"/>
          <w:color w:val="000000"/>
          <w:sz w:val="28"/>
          <w:szCs w:val="28"/>
        </w:rPr>
        <w:t>《</w:t>
      </w:r>
      <w:r>
        <w:rPr>
          <w:rFonts w:hint="eastAsia" w:cs="宋体"/>
          <w:color w:val="333333"/>
          <w:sz w:val="28"/>
          <w:szCs w:val="28"/>
        </w:rPr>
        <w:t>国务院办公厅转发国家发展改革委关于深化公共资源交易平台整合共享指导意见的通知</w:t>
      </w:r>
      <w:r>
        <w:rPr>
          <w:rFonts w:hint="eastAsia" w:cs="宋体"/>
          <w:color w:val="000000"/>
          <w:sz w:val="28"/>
          <w:szCs w:val="28"/>
        </w:rPr>
        <w:t>》和《国务院关于促进平台经济规范健康发展的指导意见》的介绍</w:t>
      </w:r>
    </w:p>
    <w:p>
      <w:pPr>
        <w:widowControl/>
        <w:numPr>
          <w:ilvl w:val="255"/>
          <w:numId w:val="0"/>
        </w:numPr>
        <w:spacing w:line="440" w:lineRule="exact"/>
        <w:rPr>
          <w:rFonts w:cs="宋体"/>
          <w:color w:val="000000"/>
          <w:sz w:val="28"/>
          <w:szCs w:val="28"/>
        </w:rPr>
      </w:pPr>
      <w:r>
        <w:rPr>
          <w:rFonts w:hint="eastAsia" w:cs="宋体"/>
          <w:color w:val="000000"/>
          <w:sz w:val="28"/>
          <w:szCs w:val="28"/>
          <w:lang w:val="en-US"/>
        </w:rPr>
        <w:t>2.</w:t>
      </w:r>
      <w:r>
        <w:rPr>
          <w:rFonts w:hint="eastAsia" w:cs="宋体"/>
          <w:color w:val="000000"/>
          <w:sz w:val="28"/>
          <w:szCs w:val="28"/>
        </w:rPr>
        <w:t>《必须招标的工程项目规定》和《必须招标的基础设施和公用事业项目范围规定》的解读</w:t>
      </w:r>
    </w:p>
    <w:p>
      <w:pPr>
        <w:widowControl/>
        <w:spacing w:line="440" w:lineRule="exact"/>
        <w:rPr>
          <w:rFonts w:cs="宋体"/>
          <w:sz w:val="28"/>
          <w:szCs w:val="28"/>
        </w:rPr>
      </w:pPr>
      <w:r>
        <w:rPr>
          <w:rFonts w:hint="eastAsia" w:cs="宋体"/>
          <w:sz w:val="28"/>
          <w:szCs w:val="28"/>
        </w:rPr>
        <w:t>3</w:t>
      </w:r>
      <w:r>
        <w:rPr>
          <w:rFonts w:hint="eastAsia" w:cs="宋体"/>
          <w:sz w:val="28"/>
          <w:szCs w:val="28"/>
          <w:lang w:val="en-US"/>
        </w:rPr>
        <w:t>.</w:t>
      </w:r>
      <w:r>
        <w:rPr>
          <w:rFonts w:hint="eastAsia" w:cs="宋体"/>
          <w:sz w:val="28"/>
          <w:szCs w:val="28"/>
        </w:rPr>
        <w:t>《国有企业采购操作规范》的</w:t>
      </w:r>
      <w:r>
        <w:rPr>
          <w:rFonts w:hint="eastAsia" w:cs="宋体"/>
          <w:color w:val="000000"/>
          <w:sz w:val="28"/>
          <w:szCs w:val="28"/>
        </w:rPr>
        <w:t>适用范围</w:t>
      </w:r>
    </w:p>
    <w:p>
      <w:pPr>
        <w:widowControl/>
        <w:spacing w:line="440" w:lineRule="exact"/>
        <w:rPr>
          <w:rFonts w:cs="宋体"/>
          <w:sz w:val="28"/>
          <w:szCs w:val="28"/>
        </w:rPr>
      </w:pPr>
      <w:r>
        <w:rPr>
          <w:rFonts w:hint="eastAsia" w:cs="宋体"/>
          <w:sz w:val="28"/>
          <w:szCs w:val="28"/>
        </w:rPr>
        <w:t>4</w:t>
      </w:r>
      <w:r>
        <w:rPr>
          <w:rFonts w:hint="eastAsia" w:cs="宋体"/>
          <w:sz w:val="28"/>
          <w:szCs w:val="28"/>
          <w:lang w:val="en-US"/>
        </w:rPr>
        <w:t>.</w:t>
      </w:r>
      <w:r>
        <w:rPr>
          <w:rFonts w:hint="eastAsia" w:cs="宋体"/>
          <w:sz w:val="28"/>
          <w:szCs w:val="28"/>
        </w:rPr>
        <w:t>《国有企业采购操作规范》推荐的非招标采购方式使用范围与操作特点</w:t>
      </w:r>
    </w:p>
    <w:p>
      <w:pPr>
        <w:widowControl/>
        <w:spacing w:line="440" w:lineRule="exact"/>
        <w:rPr>
          <w:rFonts w:cs="宋体"/>
          <w:color w:val="000000"/>
          <w:sz w:val="28"/>
          <w:szCs w:val="28"/>
        </w:rPr>
      </w:pPr>
      <w:r>
        <w:rPr>
          <w:rFonts w:hint="eastAsia" w:cs="宋体"/>
          <w:color w:val="000000"/>
          <w:sz w:val="28"/>
          <w:szCs w:val="28"/>
        </w:rPr>
        <w:t>5</w:t>
      </w:r>
      <w:r>
        <w:rPr>
          <w:rFonts w:hint="eastAsia" w:cs="宋体"/>
          <w:color w:val="000000"/>
          <w:sz w:val="28"/>
          <w:szCs w:val="28"/>
          <w:lang w:val="en-US"/>
        </w:rPr>
        <w:t>.</w:t>
      </w:r>
      <w:r>
        <w:rPr>
          <w:rFonts w:hint="eastAsia" w:cs="宋体"/>
          <w:color w:val="000000"/>
          <w:sz w:val="28"/>
          <w:szCs w:val="28"/>
        </w:rPr>
        <w:t>招标文件的编制与九部委局新发布《标准招标文件》范本的适用范围和使用说明</w:t>
      </w:r>
    </w:p>
    <w:p>
      <w:pPr>
        <w:widowControl/>
        <w:spacing w:line="440" w:lineRule="exact"/>
        <w:rPr>
          <w:rFonts w:cs="宋体"/>
          <w:color w:val="000000"/>
          <w:sz w:val="28"/>
          <w:szCs w:val="28"/>
        </w:rPr>
      </w:pPr>
      <w:r>
        <w:rPr>
          <w:rFonts w:hint="eastAsia" w:cs="宋体"/>
          <w:color w:val="000000"/>
          <w:sz w:val="28"/>
          <w:szCs w:val="28"/>
        </w:rPr>
        <w:t>6</w:t>
      </w:r>
      <w:r>
        <w:rPr>
          <w:rFonts w:hint="eastAsia" w:cs="宋体"/>
          <w:color w:val="000000"/>
          <w:sz w:val="28"/>
          <w:szCs w:val="28"/>
          <w:lang w:val="en-US"/>
        </w:rPr>
        <w:t>.</w:t>
      </w:r>
      <w:r>
        <w:rPr>
          <w:rFonts w:hint="eastAsia" w:cs="宋体"/>
          <w:color w:val="000000"/>
          <w:sz w:val="28"/>
          <w:szCs w:val="28"/>
        </w:rPr>
        <w:t>《标准招标文件》范本中招标人可以补充、细化和修改的内容</w:t>
      </w:r>
    </w:p>
    <w:p>
      <w:pPr>
        <w:widowControl/>
        <w:spacing w:line="440" w:lineRule="exact"/>
        <w:rPr>
          <w:rFonts w:cs="宋体"/>
          <w:color w:val="000000"/>
          <w:sz w:val="28"/>
          <w:szCs w:val="28"/>
        </w:rPr>
      </w:pPr>
      <w:r>
        <w:rPr>
          <w:rFonts w:hint="eastAsia" w:cs="宋体"/>
          <w:color w:val="000000"/>
          <w:sz w:val="28"/>
          <w:szCs w:val="28"/>
        </w:rPr>
        <w:t>7</w:t>
      </w:r>
      <w:r>
        <w:rPr>
          <w:rFonts w:hint="eastAsia" w:cs="宋体"/>
          <w:color w:val="000000"/>
          <w:sz w:val="28"/>
          <w:szCs w:val="28"/>
          <w:lang w:val="en-US"/>
        </w:rPr>
        <w:t>.</w:t>
      </w:r>
      <w:r>
        <w:rPr>
          <w:rFonts w:hint="eastAsia" w:cs="宋体"/>
          <w:color w:val="000000"/>
          <w:sz w:val="28"/>
          <w:szCs w:val="28"/>
        </w:rPr>
        <w:t>招标文件的采购需求和技术标书的编制方法</w:t>
      </w:r>
    </w:p>
    <w:p>
      <w:pPr>
        <w:widowControl/>
        <w:spacing w:line="440" w:lineRule="exact"/>
        <w:rPr>
          <w:rFonts w:cs="宋体"/>
          <w:color w:val="000000"/>
          <w:sz w:val="28"/>
          <w:szCs w:val="28"/>
        </w:rPr>
      </w:pPr>
      <w:r>
        <w:rPr>
          <w:rFonts w:hint="eastAsia" w:cs="宋体"/>
          <w:color w:val="000000"/>
          <w:sz w:val="28"/>
          <w:szCs w:val="28"/>
        </w:rPr>
        <w:t>8</w:t>
      </w:r>
      <w:r>
        <w:rPr>
          <w:rFonts w:hint="eastAsia" w:cs="宋体"/>
          <w:color w:val="000000"/>
          <w:sz w:val="28"/>
          <w:szCs w:val="28"/>
          <w:lang w:val="en-US"/>
        </w:rPr>
        <w:t>.</w:t>
      </w:r>
      <w:r>
        <w:rPr>
          <w:rFonts w:hint="eastAsia" w:cs="宋体"/>
          <w:color w:val="000000"/>
          <w:sz w:val="28"/>
          <w:szCs w:val="28"/>
        </w:rPr>
        <w:t>二大评标基本原则和六大类评标方法的介绍</w:t>
      </w:r>
    </w:p>
    <w:p>
      <w:pPr>
        <w:widowControl/>
        <w:spacing w:line="440" w:lineRule="exact"/>
        <w:rPr>
          <w:rFonts w:cs="宋体"/>
          <w:color w:val="000000"/>
          <w:sz w:val="28"/>
          <w:szCs w:val="28"/>
        </w:rPr>
      </w:pPr>
      <w:r>
        <w:rPr>
          <w:rFonts w:hint="eastAsia" w:cs="宋体"/>
          <w:color w:val="000000"/>
          <w:sz w:val="28"/>
          <w:szCs w:val="28"/>
        </w:rPr>
        <w:t>9</w:t>
      </w:r>
      <w:r>
        <w:rPr>
          <w:rFonts w:hint="eastAsia" w:cs="宋体"/>
          <w:color w:val="000000"/>
          <w:sz w:val="28"/>
          <w:szCs w:val="28"/>
          <w:lang w:val="en-US"/>
        </w:rPr>
        <w:t>.</w:t>
      </w:r>
      <w:r>
        <w:rPr>
          <w:rFonts w:hint="eastAsia" w:cs="宋体"/>
          <w:color w:val="000000"/>
          <w:sz w:val="28"/>
          <w:szCs w:val="28"/>
        </w:rPr>
        <w:t>开标评标环节注意事项和各种评标技巧</w:t>
      </w:r>
    </w:p>
    <w:p>
      <w:pPr>
        <w:widowControl/>
        <w:spacing w:line="440" w:lineRule="exact"/>
        <w:rPr>
          <w:rFonts w:cs="宋体"/>
          <w:color w:val="000000"/>
          <w:sz w:val="28"/>
          <w:szCs w:val="28"/>
        </w:rPr>
      </w:pPr>
      <w:r>
        <w:rPr>
          <w:rFonts w:hint="eastAsia" w:cs="宋体"/>
          <w:color w:val="000000"/>
          <w:sz w:val="28"/>
          <w:szCs w:val="28"/>
        </w:rPr>
        <w:t>1</w:t>
      </w:r>
      <w:r>
        <w:rPr>
          <w:rFonts w:hint="eastAsia" w:cs="宋体"/>
          <w:color w:val="000000"/>
          <w:sz w:val="28"/>
          <w:szCs w:val="28"/>
          <w:lang w:val="en-US"/>
        </w:rPr>
        <w:t>0.</w:t>
      </w:r>
      <w:r>
        <w:rPr>
          <w:rFonts w:hint="eastAsia" w:cs="宋体"/>
          <w:color w:val="000000"/>
          <w:sz w:val="28"/>
          <w:szCs w:val="28"/>
        </w:rPr>
        <w:t>否决投标的合法性及七种常见法定废标条件详解</w:t>
      </w:r>
    </w:p>
    <w:p>
      <w:pPr>
        <w:widowControl/>
        <w:spacing w:line="440" w:lineRule="exact"/>
        <w:rPr>
          <w:rFonts w:cs="宋体"/>
          <w:color w:val="000000"/>
          <w:sz w:val="28"/>
          <w:szCs w:val="28"/>
        </w:rPr>
      </w:pPr>
      <w:r>
        <w:rPr>
          <w:rFonts w:hint="eastAsia" w:cs="宋体"/>
          <w:color w:val="000000"/>
          <w:sz w:val="28"/>
          <w:szCs w:val="28"/>
        </w:rPr>
        <w:t>11</w:t>
      </w:r>
      <w:r>
        <w:rPr>
          <w:rFonts w:hint="eastAsia" w:cs="宋体"/>
          <w:color w:val="000000"/>
          <w:sz w:val="28"/>
          <w:szCs w:val="28"/>
          <w:lang w:val="en-US"/>
        </w:rPr>
        <w:t>.</w:t>
      </w:r>
      <w:r>
        <w:rPr>
          <w:rFonts w:hint="eastAsia" w:cs="宋体"/>
          <w:color w:val="000000"/>
          <w:sz w:val="28"/>
          <w:szCs w:val="28"/>
        </w:rPr>
        <w:t>纪检监察审计财务等部门全过程跟踪监督管理内容及有关注意事项</w:t>
      </w:r>
    </w:p>
    <w:p>
      <w:pPr>
        <w:widowControl/>
        <w:spacing w:line="440" w:lineRule="exact"/>
        <w:rPr>
          <w:rFonts w:cs="宋体"/>
          <w:color w:val="000000"/>
          <w:sz w:val="28"/>
          <w:szCs w:val="28"/>
        </w:rPr>
      </w:pPr>
      <w:r>
        <w:rPr>
          <w:rFonts w:hint="eastAsia" w:cs="宋体"/>
          <w:color w:val="000000"/>
          <w:sz w:val="28"/>
          <w:szCs w:val="28"/>
        </w:rPr>
        <w:t>12</w:t>
      </w:r>
      <w:r>
        <w:rPr>
          <w:rFonts w:hint="eastAsia" w:cs="宋体"/>
          <w:color w:val="000000"/>
          <w:sz w:val="28"/>
          <w:szCs w:val="28"/>
          <w:lang w:val="en-US"/>
        </w:rPr>
        <w:t>.</w:t>
      </w:r>
      <w:r>
        <w:rPr>
          <w:rFonts w:hint="eastAsia" w:cs="宋体"/>
          <w:color w:val="000000"/>
          <w:sz w:val="28"/>
          <w:szCs w:val="28"/>
        </w:rPr>
        <w:t>招标无效、投标无效、评标无效、中标无效行为的认定</w:t>
      </w:r>
    </w:p>
    <w:p>
      <w:pPr>
        <w:widowControl/>
        <w:spacing w:line="440" w:lineRule="exact"/>
        <w:rPr>
          <w:rFonts w:cs="宋体"/>
          <w:color w:val="000000"/>
          <w:sz w:val="28"/>
          <w:szCs w:val="28"/>
        </w:rPr>
      </w:pPr>
      <w:r>
        <w:rPr>
          <w:rFonts w:hint="eastAsia" w:cs="宋体"/>
          <w:color w:val="000000"/>
          <w:sz w:val="28"/>
          <w:szCs w:val="28"/>
        </w:rPr>
        <w:t>13</w:t>
      </w:r>
      <w:r>
        <w:rPr>
          <w:rFonts w:hint="eastAsia" w:cs="宋体"/>
          <w:color w:val="000000"/>
          <w:sz w:val="28"/>
          <w:szCs w:val="28"/>
          <w:lang w:val="en-US"/>
        </w:rPr>
        <w:t>.</w:t>
      </w:r>
      <w:r>
        <w:rPr>
          <w:rFonts w:hint="eastAsia" w:cs="宋体"/>
          <w:color w:val="000000"/>
          <w:sz w:val="28"/>
          <w:szCs w:val="28"/>
        </w:rPr>
        <w:t>招标投标中异议和投诉的相关法律规定</w:t>
      </w:r>
    </w:p>
    <w:p>
      <w:pPr>
        <w:widowControl/>
        <w:autoSpaceDE/>
        <w:autoSpaceDN/>
        <w:spacing w:line="440" w:lineRule="exact"/>
        <w:rPr>
          <w:bCs/>
          <w:kern w:val="2"/>
          <w:sz w:val="28"/>
          <w:szCs w:val="28"/>
          <w:lang w:val="en-US" w:bidi="ar-SA"/>
        </w:rPr>
      </w:pPr>
      <w:r>
        <w:rPr>
          <w:rFonts w:hint="eastAsia" w:cs="宋体"/>
          <w:color w:val="000000"/>
          <w:sz w:val="28"/>
          <w:szCs w:val="28"/>
        </w:rPr>
        <w:t>14、如何鉴别、处理与预防高价围标、低价抢标、挂靠作假和内外勾结等违法乱纪行为</w:t>
      </w:r>
    </w:p>
    <w:p>
      <w:pPr>
        <w:widowControl/>
        <w:spacing w:line="380" w:lineRule="exact"/>
        <w:rPr>
          <w:rStyle w:val="11"/>
          <w:rFonts w:hint="eastAsia" w:ascii="黑体" w:hAnsi="黑体" w:eastAsia="黑体" w:cs="黑体"/>
          <w:b w:val="0"/>
          <w:bCs w:val="0"/>
          <w:color w:val="000000"/>
          <w:sz w:val="28"/>
          <w:szCs w:val="28"/>
          <w:lang w:val="en-US"/>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Style w:val="11"/>
          <w:rFonts w:ascii="黑体" w:hAnsi="黑体" w:eastAsia="黑体" w:cs="黑体"/>
          <w:b w:val="0"/>
          <w:bCs w:val="0"/>
          <w:color w:val="000000"/>
          <w:sz w:val="28"/>
          <w:szCs w:val="28"/>
          <w:lang w:val="en-US"/>
        </w:rPr>
      </w:pPr>
      <w:r>
        <w:rPr>
          <w:rStyle w:val="11"/>
          <w:rFonts w:hint="eastAsia" w:ascii="黑体" w:hAnsi="黑体" w:eastAsia="黑体" w:cs="黑体"/>
          <w:b w:val="0"/>
          <w:bCs w:val="0"/>
          <w:color w:val="000000"/>
          <w:sz w:val="28"/>
          <w:szCs w:val="28"/>
          <w:lang w:val="en-US"/>
        </w:rPr>
        <w:t>附件2. “</w:t>
      </w:r>
      <w:r>
        <w:rPr>
          <w:rStyle w:val="11"/>
          <w:rFonts w:hint="eastAsia" w:ascii="黑体" w:hAnsi="黑体" w:eastAsia="黑体" w:cs="黑体"/>
          <w:b w:val="0"/>
          <w:color w:val="000000"/>
          <w:sz w:val="28"/>
          <w:szCs w:val="28"/>
          <w:lang w:val="en-US"/>
        </w:rPr>
        <w:t>促进建筑业持续健康发展、加强</w:t>
      </w:r>
      <w:r>
        <w:rPr>
          <w:rStyle w:val="11"/>
          <w:rFonts w:hint="eastAsia" w:ascii="黑体" w:hAnsi="黑体" w:eastAsia="黑体" w:cs="黑体"/>
          <w:b w:val="0"/>
          <w:bCs w:val="0"/>
          <w:color w:val="000000"/>
          <w:sz w:val="28"/>
          <w:szCs w:val="28"/>
          <w:lang w:val="en-US"/>
        </w:rPr>
        <w:t>工程造价管控、</w:t>
      </w:r>
      <w:r>
        <w:rPr>
          <w:rStyle w:val="11"/>
          <w:rFonts w:hint="eastAsia" w:ascii="黑体" w:hAnsi="黑体" w:eastAsia="黑体" w:cs="黑体"/>
          <w:b w:val="0"/>
          <w:color w:val="000000"/>
          <w:sz w:val="28"/>
          <w:szCs w:val="28"/>
          <w:lang w:val="en-US"/>
        </w:rPr>
        <w:t>规范</w:t>
      </w:r>
      <w:r>
        <w:rPr>
          <w:rStyle w:val="11"/>
          <w:rFonts w:hint="eastAsia" w:ascii="黑体" w:hAnsi="黑体" w:eastAsia="黑体" w:cs="黑体"/>
          <w:b w:val="0"/>
          <w:bCs w:val="0"/>
          <w:color w:val="000000"/>
          <w:sz w:val="28"/>
          <w:szCs w:val="28"/>
          <w:lang w:val="en-US"/>
        </w:rPr>
        <w:t>招标实务操作培训班”报名回执表</w:t>
      </w:r>
    </w:p>
    <w:tbl>
      <w:tblPr>
        <w:tblStyle w:val="9"/>
        <w:tblpPr w:leftFromText="180" w:rightFromText="180" w:vertAnchor="text" w:horzAnchor="margin" w:tblpXSpec="center" w:tblpY="70"/>
        <w:tblW w:w="1028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852"/>
        <w:gridCol w:w="524"/>
        <w:gridCol w:w="907"/>
        <w:gridCol w:w="1125"/>
        <w:gridCol w:w="1290"/>
        <w:gridCol w:w="1365"/>
        <w:gridCol w:w="206"/>
        <w:gridCol w:w="784"/>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lang w:val="en-US"/>
              </w:rPr>
            </w:pPr>
            <w:r>
              <w:rPr>
                <w:rFonts w:hint="eastAsia"/>
                <w:sz w:val="28"/>
                <w:szCs w:val="28"/>
                <w:lang w:val="en-US"/>
              </w:rPr>
              <w:t>单位名称</w:t>
            </w:r>
          </w:p>
        </w:tc>
        <w:tc>
          <w:tcPr>
            <w:tcW w:w="762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通讯地址</w:t>
            </w:r>
          </w:p>
        </w:tc>
        <w:tc>
          <w:tcPr>
            <w:tcW w:w="762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3" w:hRule="exact"/>
          <w:jc w:val="center"/>
        </w:trPr>
        <w:tc>
          <w:tcPr>
            <w:tcW w:w="1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审批人</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职 务</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电  话</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手  机</w:t>
            </w:r>
          </w:p>
        </w:tc>
        <w:tc>
          <w:tcPr>
            <w:tcW w:w="1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7" w:hRule="exact"/>
          <w:jc w:val="center"/>
        </w:trPr>
        <w:tc>
          <w:tcPr>
            <w:tcW w:w="1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联系人</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职 务</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电  话</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手  机</w:t>
            </w:r>
          </w:p>
        </w:tc>
        <w:tc>
          <w:tcPr>
            <w:tcW w:w="1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4" w:hRule="exac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参会人姓名</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性 别</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部  门</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职  务</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手 机</w:t>
            </w:r>
          </w:p>
        </w:tc>
        <w:tc>
          <w:tcPr>
            <w:tcW w:w="1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8"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1"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4"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jc w:val="center"/>
        </w:trPr>
        <w:tc>
          <w:tcPr>
            <w:tcW w:w="21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是否住宿</w:t>
            </w:r>
          </w:p>
        </w:tc>
        <w:tc>
          <w:tcPr>
            <w:tcW w:w="25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□是     □否</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住宿要求</w:t>
            </w:r>
          </w:p>
        </w:tc>
        <w:tc>
          <w:tcPr>
            <w:tcW w:w="43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□单住(需另补床位费)□合住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jc w:val="center"/>
        </w:trPr>
        <w:tc>
          <w:tcPr>
            <w:tcW w:w="21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费用选择</w:t>
            </w:r>
          </w:p>
        </w:tc>
        <w:tc>
          <w:tcPr>
            <w:tcW w:w="815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□A：2800             □B：4980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jc w:val="center"/>
        </w:trPr>
        <w:tc>
          <w:tcPr>
            <w:tcW w:w="21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参加地点</w:t>
            </w:r>
          </w:p>
        </w:tc>
        <w:tc>
          <w:tcPr>
            <w:tcW w:w="815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lang w:val="en-US"/>
              </w:rPr>
            </w:pPr>
            <w:r>
              <w:rPr>
                <w:rFonts w:hint="eastAsia"/>
                <w:sz w:val="28"/>
                <w:szCs w:val="28"/>
              </w:rPr>
              <w:t>□昆明</w:t>
            </w:r>
            <w:r>
              <w:rPr>
                <w:rFonts w:hint="eastAsia"/>
                <w:sz w:val="28"/>
                <w:szCs w:val="28"/>
                <w:lang w:val="en-US"/>
              </w:rPr>
              <w:t xml:space="preserve">      </w:t>
            </w:r>
            <w:r>
              <w:rPr>
                <w:rFonts w:hint="eastAsia"/>
                <w:sz w:val="28"/>
                <w:szCs w:val="28"/>
              </w:rPr>
              <w:t>□成都</w:t>
            </w:r>
            <w:r>
              <w:rPr>
                <w:rFonts w:hint="eastAsia"/>
                <w:sz w:val="28"/>
                <w:szCs w:val="28"/>
                <w:lang w:val="en-US"/>
              </w:rPr>
              <w:t xml:space="preserve">     </w:t>
            </w:r>
            <w:r>
              <w:rPr>
                <w:rFonts w:hint="eastAsia"/>
                <w:sz w:val="28"/>
                <w:szCs w:val="28"/>
              </w:rPr>
              <w:t>□厦门</w:t>
            </w:r>
            <w:r>
              <w:rPr>
                <w:rFonts w:hint="eastAsia"/>
                <w:sz w:val="28"/>
                <w:szCs w:val="28"/>
                <w:lang w:val="en-US"/>
              </w:rPr>
              <w:t xml:space="preserve">      </w:t>
            </w:r>
            <w:r>
              <w:rPr>
                <w:rFonts w:hint="eastAsia"/>
                <w:sz w:val="28"/>
                <w:szCs w:val="28"/>
              </w:rPr>
              <w:t>□南宁</w:t>
            </w:r>
            <w:r>
              <w:rPr>
                <w:rFonts w:hint="eastAsia"/>
                <w:sz w:val="28"/>
                <w:szCs w:val="28"/>
                <w:lang w:val="en-US"/>
              </w:rPr>
              <w:t xml:space="preserve">   </w:t>
            </w:r>
            <w:r>
              <w:rPr>
                <w:rFonts w:hint="eastAsia"/>
                <w:sz w:val="28"/>
                <w:szCs w:val="28"/>
              </w:rPr>
              <w:t>□海口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5" w:hRule="atLeast"/>
          <w:jc w:val="center"/>
        </w:trPr>
        <w:tc>
          <w:tcPr>
            <w:tcW w:w="2137"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开票信息</w:t>
            </w:r>
          </w:p>
        </w:tc>
        <w:tc>
          <w:tcPr>
            <w:tcW w:w="8150"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 xml:space="preserve">    □增值税专用发票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21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单位名称</w:t>
            </w:r>
          </w:p>
        </w:tc>
        <w:tc>
          <w:tcPr>
            <w:tcW w:w="815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exact"/>
          <w:jc w:val="center"/>
        </w:trPr>
        <w:tc>
          <w:tcPr>
            <w:tcW w:w="21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sz w:val="28"/>
                <w:szCs w:val="28"/>
              </w:rPr>
            </w:pPr>
            <w:r>
              <w:rPr>
                <w:rFonts w:hint="eastAsia"/>
                <w:sz w:val="28"/>
                <w:szCs w:val="28"/>
              </w:rPr>
              <w:t>纳税人识别号</w:t>
            </w:r>
          </w:p>
        </w:tc>
        <w:tc>
          <w:tcPr>
            <w:tcW w:w="815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3" w:hRule="exact"/>
          <w:jc w:val="center"/>
        </w:trPr>
        <w:tc>
          <w:tcPr>
            <w:tcW w:w="21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地址电话</w:t>
            </w:r>
          </w:p>
        </w:tc>
        <w:tc>
          <w:tcPr>
            <w:tcW w:w="815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0" w:hRule="exact"/>
          <w:jc w:val="center"/>
        </w:trPr>
        <w:tc>
          <w:tcPr>
            <w:tcW w:w="21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开户行账号</w:t>
            </w:r>
          </w:p>
        </w:tc>
        <w:tc>
          <w:tcPr>
            <w:tcW w:w="815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7" w:hRule="exact"/>
          <w:jc w:val="center"/>
        </w:trPr>
        <w:tc>
          <w:tcPr>
            <w:tcW w:w="2137"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收款账户</w:t>
            </w:r>
          </w:p>
        </w:tc>
        <w:tc>
          <w:tcPr>
            <w:tcW w:w="815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color w:val="auto"/>
                <w:sz w:val="28"/>
                <w:szCs w:val="28"/>
                <w:lang w:val="en-US"/>
              </w:rPr>
            </w:pPr>
            <w:r>
              <w:rPr>
                <w:rFonts w:hint="eastAsia"/>
                <w:sz w:val="28"/>
                <w:szCs w:val="28"/>
              </w:rPr>
              <w:t>单位名称：</w:t>
            </w:r>
            <w:r>
              <w:rPr>
                <w:rFonts w:hint="eastAsia"/>
                <w:color w:val="auto"/>
                <w:sz w:val="28"/>
                <w:szCs w:val="28"/>
                <w:lang w:val="en-US"/>
              </w:rPr>
              <w:t>北京中恒研训教育咨询中心</w:t>
            </w:r>
          </w:p>
          <w:p>
            <w:pPr>
              <w:keepNext w:val="0"/>
              <w:keepLines w:val="0"/>
              <w:pageBreakBefore w:val="0"/>
              <w:widowControl/>
              <w:kinsoku/>
              <w:wordWrap/>
              <w:overflowPunct/>
              <w:topLinePunct w:val="0"/>
              <w:autoSpaceDE/>
              <w:autoSpaceDN/>
              <w:bidi w:val="0"/>
              <w:adjustRightInd/>
              <w:snapToGrid/>
              <w:spacing w:line="360" w:lineRule="exact"/>
              <w:textAlignment w:val="auto"/>
              <w:rPr>
                <w:color w:val="auto"/>
                <w:sz w:val="28"/>
                <w:szCs w:val="28"/>
              </w:rPr>
            </w:pPr>
            <w:r>
              <w:rPr>
                <w:rFonts w:hint="eastAsia"/>
                <w:color w:val="auto"/>
                <w:sz w:val="28"/>
                <w:szCs w:val="28"/>
                <w:lang w:val="en-US"/>
              </w:rPr>
              <w:t xml:space="preserve">开 </w:t>
            </w:r>
            <w:r>
              <w:rPr>
                <w:rFonts w:hint="eastAsia"/>
                <w:color w:val="auto"/>
                <w:sz w:val="28"/>
                <w:szCs w:val="28"/>
              </w:rPr>
              <w:t>户</w:t>
            </w:r>
            <w:r>
              <w:rPr>
                <w:rFonts w:hint="eastAsia"/>
                <w:color w:val="auto"/>
                <w:sz w:val="28"/>
                <w:szCs w:val="28"/>
                <w:lang w:val="en-US"/>
              </w:rPr>
              <w:t xml:space="preserve"> </w:t>
            </w:r>
            <w:r>
              <w:rPr>
                <w:rFonts w:hint="eastAsia"/>
                <w:color w:val="auto"/>
                <w:sz w:val="28"/>
                <w:szCs w:val="28"/>
              </w:rPr>
              <w:t>行：</w:t>
            </w:r>
            <w:r>
              <w:rPr>
                <w:rFonts w:hint="eastAsia"/>
                <w:color w:val="auto"/>
                <w:sz w:val="28"/>
                <w:szCs w:val="36"/>
              </w:rPr>
              <w:t>中国工商银行股份有限公司北京永定路支行</w:t>
            </w:r>
            <w:r>
              <w:rPr>
                <w:rFonts w:hint="eastAsia"/>
                <w:color w:val="auto"/>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exact"/>
              <w:textAlignment w:val="auto"/>
              <w:rPr>
                <w:sz w:val="28"/>
                <w:szCs w:val="28"/>
              </w:rPr>
            </w:pPr>
            <w:r>
              <w:rPr>
                <w:rFonts w:hint="eastAsia"/>
                <w:color w:val="auto"/>
                <w:sz w:val="28"/>
                <w:szCs w:val="28"/>
              </w:rPr>
              <w:t>账</w:t>
            </w:r>
            <w:r>
              <w:rPr>
                <w:rFonts w:hint="eastAsia"/>
                <w:color w:val="auto"/>
                <w:sz w:val="28"/>
                <w:szCs w:val="28"/>
                <w:lang w:val="en-US"/>
              </w:rPr>
              <w:t xml:space="preserve">    </w:t>
            </w:r>
            <w:r>
              <w:rPr>
                <w:rFonts w:hint="eastAsia"/>
                <w:color w:val="auto"/>
                <w:sz w:val="28"/>
                <w:szCs w:val="28"/>
              </w:rPr>
              <w:t xml:space="preserve">号： </w:t>
            </w:r>
            <w:r>
              <w:rPr>
                <w:rFonts w:hint="eastAsia"/>
                <w:color w:val="auto"/>
                <w:sz w:val="28"/>
                <w:szCs w:val="36"/>
              </w:rPr>
              <w:t>0200004909200205138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7" w:hRule="exact"/>
          <w:jc w:val="center"/>
        </w:trPr>
        <w:tc>
          <w:tcPr>
            <w:tcW w:w="2137"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备注</w:t>
            </w:r>
          </w:p>
        </w:tc>
        <w:tc>
          <w:tcPr>
            <w:tcW w:w="5417"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textAlignment w:val="auto"/>
              <w:rPr>
                <w:sz w:val="28"/>
                <w:szCs w:val="28"/>
              </w:rPr>
            </w:pPr>
            <w:r>
              <w:rPr>
                <w:rFonts w:hint="eastAsia"/>
                <w:sz w:val="28"/>
                <w:szCs w:val="28"/>
              </w:rPr>
              <w:t>请及时将回执表回传或E-mail至会务组，在报名5日内将费用通过银行转账付款，会务组确认到款后即发《报到通知》，其中将详细注明报到时间、报到详细地点等具体安排事项，各参训学员凭证入场。</w:t>
            </w:r>
          </w:p>
        </w:tc>
        <w:tc>
          <w:tcPr>
            <w:tcW w:w="2733"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textAlignment w:val="auto"/>
              <w:rPr>
                <w:sz w:val="28"/>
                <w:szCs w:val="28"/>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rPr>
              <w:t>单位印章</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sz w:val="28"/>
                <w:szCs w:val="28"/>
              </w:rPr>
            </w:pPr>
            <w:r>
              <w:rPr>
                <w:rFonts w:hint="eastAsia"/>
                <w:sz w:val="28"/>
                <w:szCs w:val="28"/>
                <w:lang w:val="en-US"/>
              </w:rPr>
              <w:t>2019</w:t>
            </w:r>
            <w:r>
              <w:rPr>
                <w:rFonts w:hint="eastAsia"/>
                <w:sz w:val="28"/>
                <w:szCs w:val="28"/>
              </w:rPr>
              <w:t>年</w:t>
            </w:r>
            <w:r>
              <w:rPr>
                <w:rFonts w:hint="eastAsia"/>
                <w:sz w:val="28"/>
                <w:szCs w:val="28"/>
                <w:lang w:val="en-US"/>
              </w:rPr>
              <w:t xml:space="preserve"> </w:t>
            </w:r>
            <w:r>
              <w:rPr>
                <w:rFonts w:hint="eastAsia"/>
                <w:sz w:val="28"/>
                <w:szCs w:val="28"/>
              </w:rPr>
              <w:t xml:space="preserve">  月</w:t>
            </w:r>
            <w:r>
              <w:rPr>
                <w:rFonts w:hint="eastAsia"/>
                <w:sz w:val="28"/>
                <w:szCs w:val="28"/>
                <w:lang w:val="en-US"/>
              </w:rPr>
              <w:t xml:space="preserve"> </w:t>
            </w:r>
            <w:r>
              <w:rPr>
                <w:rFonts w:hint="eastAsia"/>
                <w:sz w:val="28"/>
                <w:szCs w:val="28"/>
              </w:rPr>
              <w:t xml:space="preserve">  日</w:t>
            </w:r>
          </w:p>
        </w:tc>
      </w:tr>
    </w:tbl>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sz w:val="24"/>
        </w:rPr>
      </w:pPr>
      <w:r>
        <w:rPr>
          <w:rFonts w:hint="eastAsia"/>
          <w:sz w:val="24"/>
        </w:rPr>
        <w:t>备注：：</w:t>
      </w:r>
      <w:r>
        <w:rPr>
          <w:rFonts w:hint="eastAsia" w:ascii="仿宋" w:hAnsi="仿宋" w:cs="仿宋"/>
          <w:kern w:val="0"/>
          <w:sz w:val="24"/>
          <w:szCs w:val="22"/>
        </w:rPr>
        <w:t>1</w:t>
      </w:r>
      <w:r>
        <w:rPr>
          <w:rFonts w:hint="eastAsia" w:ascii="仿宋" w:hAnsi="仿宋" w:cs="仿宋"/>
          <w:kern w:val="0"/>
          <w:sz w:val="24"/>
          <w:szCs w:val="22"/>
          <w:lang w:val="zh-CN"/>
        </w:rPr>
        <w:t>、</w:t>
      </w:r>
      <w:r>
        <w:rPr>
          <w:rFonts w:hint="eastAsia"/>
          <w:sz w:val="24"/>
        </w:rPr>
        <w:t>培训班名额有限,请尽早报名，额满为止。报名表加盖印章有效</w:t>
      </w:r>
    </w:p>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 w:hAnsi="仿宋" w:cs="仿宋"/>
          <w:kern w:val="0"/>
          <w:sz w:val="24"/>
          <w:szCs w:val="22"/>
          <w:lang w:val="zh-CN"/>
        </w:rPr>
      </w:pPr>
      <w:r>
        <w:rPr>
          <w:rFonts w:hint="eastAsia"/>
          <w:sz w:val="24"/>
          <w:szCs w:val="22"/>
          <w:lang w:val="en-US" w:eastAsia="zh-CN"/>
        </w:rPr>
        <w:t>2</w:t>
      </w:r>
      <w:r>
        <w:rPr>
          <w:rFonts w:hint="eastAsia" w:ascii="仿宋" w:hAnsi="仿宋" w:cs="仿宋"/>
          <w:kern w:val="0"/>
          <w:sz w:val="24"/>
          <w:szCs w:val="22"/>
          <w:lang w:val="zh-CN"/>
        </w:rPr>
        <w:t>、</w:t>
      </w:r>
      <w:r>
        <w:rPr>
          <w:rFonts w:hint="eastAsia" w:ascii="仿宋" w:hAnsi="仿宋"/>
          <w:sz w:val="24"/>
          <w:szCs w:val="22"/>
          <w:lang w:val="zh-CN"/>
        </w:rPr>
        <w:t>本次培训内容及建筑领域相关管理培训均可赴企业提供内训（</w:t>
      </w:r>
      <w:r>
        <w:rPr>
          <w:rFonts w:hint="eastAsia" w:ascii="仿宋" w:hAnsi="仿宋"/>
          <w:sz w:val="24"/>
          <w:szCs w:val="22"/>
        </w:rPr>
        <w:t>40人以上</w:t>
      </w:r>
      <w:r>
        <w:rPr>
          <w:rFonts w:hint="eastAsia" w:ascii="仿宋" w:hAnsi="仿宋"/>
          <w:sz w:val="24"/>
          <w:szCs w:val="22"/>
          <w:lang w:val="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val="0"/>
          <w:color w:val="000000"/>
          <w:kern w:val="2"/>
          <w:sz w:val="28"/>
          <w:szCs w:val="28"/>
          <w:lang w:val="en-US" w:bidi="ar-SA"/>
        </w:rPr>
      </w:pPr>
      <w:r>
        <w:rPr>
          <w:rFonts w:hint="eastAsia" w:ascii="仿宋_GB2312" w:hAnsi="仿宋_GB2312" w:eastAsia="仿宋_GB2312" w:cs="仿宋_GB2312"/>
          <w:b/>
          <w:bCs w:val="0"/>
          <w:color w:val="000000"/>
          <w:kern w:val="2"/>
          <w:sz w:val="28"/>
          <w:szCs w:val="28"/>
          <w:lang w:val="en-US" w:bidi="ar-SA"/>
        </w:rPr>
        <w:t>报名联系人：聂红军主任 18211071700（微信）邮  箱：zqgphwz@126.com</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val="0"/>
          <w:color w:val="000000"/>
          <w:kern w:val="2"/>
          <w:sz w:val="28"/>
          <w:szCs w:val="28"/>
          <w:lang w:val="en-US" w:bidi="ar-SA"/>
        </w:rPr>
      </w:pPr>
      <w:r>
        <w:rPr>
          <w:rFonts w:hint="eastAsia" w:ascii="仿宋_GB2312" w:hAnsi="仿宋_GB2312" w:eastAsia="仿宋_GB2312" w:cs="仿宋_GB2312"/>
          <w:b/>
          <w:bCs w:val="0"/>
          <w:color w:val="000000"/>
          <w:kern w:val="2"/>
          <w:sz w:val="28"/>
          <w:szCs w:val="28"/>
          <w:lang w:val="en-US" w:bidi="ar-SA"/>
        </w:rPr>
        <w:t xml:space="preserve">电话（传真）：010-87697580               qq咨询：3177524020   </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val="0"/>
          <w:color w:val="000000"/>
          <w:kern w:val="2"/>
          <w:sz w:val="28"/>
          <w:szCs w:val="28"/>
          <w:lang w:val="en-US" w:bidi="ar-SA"/>
        </w:rPr>
      </w:pPr>
      <w:r>
        <w:rPr>
          <w:rFonts w:hint="eastAsia" w:ascii="仿宋_GB2312" w:hAnsi="仿宋_GB2312" w:eastAsia="仿宋_GB2312" w:cs="仿宋_GB2312"/>
          <w:b/>
          <w:bCs w:val="0"/>
          <w:color w:val="000000"/>
          <w:kern w:val="2"/>
          <w:sz w:val="28"/>
          <w:szCs w:val="28"/>
          <w:lang w:val="en-US" w:bidi="ar-SA"/>
        </w:rPr>
        <w:t xml:space="preserve">网址查询：http://www.zqgpchina.cn/ </w:t>
      </w:r>
      <w:bookmarkStart w:id="0" w:name="_GoBack"/>
      <w:bookmarkEnd w:id="0"/>
    </w:p>
    <w:sectPr>
      <w:footerReference r:id="rId3" w:type="default"/>
      <w:pgSz w:w="11910" w:h="16840"/>
      <w:pgMar w:top="1580" w:right="1200" w:bottom="1560" w:left="1480" w:header="0" w:footer="137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3756660</wp:posOffset>
              </wp:positionH>
              <wp:positionV relativeFrom="page">
                <wp:posOffset>9677400</wp:posOffset>
              </wp:positionV>
              <wp:extent cx="118110" cy="177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18110" cy="177800"/>
                      </a:xfrm>
                      <a:prstGeom prst="rect">
                        <a:avLst/>
                      </a:prstGeom>
                      <a:noFill/>
                      <a:ln w="9525">
                        <a:noFill/>
                      </a:ln>
                      <a:effectLst/>
                    </wps:spPr>
                    <wps:txbx>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2</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5.8pt;margin-top:762pt;height:14pt;width:9.3pt;mso-position-horizontal-relative:page;mso-position-vertical-relative:page;z-index:-251658240;mso-width-relative:page;mso-height-relative:page;" filled="f" stroked="f" coordsize="21600,21600" o:gfxdata="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m1XQg2gAA&#10;AA0BAAAPAAAAAAAAAAEAIAAAACIAAABkcnMvZG93bnJldi54bWxQSwECFAAUAAAACACHTuJA+1vp&#10;Z6oBAAA6AwAADgAAAAAAAAABACAAAAApAQAAZHJzL2Uyb0RvYy54bWxQSwUGAAAAAAYABgBZAQAA&#10;RQUAAAAA&#10;">
              <v:fill on="f" focussize="0,0"/>
              <v:stroke on="f"/>
              <v:imagedata o:title=""/>
              <o:lock v:ext="edit" aspectratio="f"/>
              <v:textbox inset="0mm,0mm,0mm,0mm">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9EE04"/>
    <w:multiLevelType w:val="singleLevel"/>
    <w:tmpl w:val="3819EE0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54"/>
    <w:rsid w:val="000226B7"/>
    <w:rsid w:val="00051AC9"/>
    <w:rsid w:val="000557C6"/>
    <w:rsid w:val="000831BC"/>
    <w:rsid w:val="000855B6"/>
    <w:rsid w:val="00095A14"/>
    <w:rsid w:val="000B5575"/>
    <w:rsid w:val="000C3A01"/>
    <w:rsid w:val="000D3A16"/>
    <w:rsid w:val="000D4BAB"/>
    <w:rsid w:val="000E22C6"/>
    <w:rsid w:val="000E360F"/>
    <w:rsid w:val="000F2DF1"/>
    <w:rsid w:val="0010528B"/>
    <w:rsid w:val="00112211"/>
    <w:rsid w:val="00114D84"/>
    <w:rsid w:val="001421FF"/>
    <w:rsid w:val="001747A0"/>
    <w:rsid w:val="001945D8"/>
    <w:rsid w:val="001956C6"/>
    <w:rsid w:val="001C2294"/>
    <w:rsid w:val="0020070E"/>
    <w:rsid w:val="00201C31"/>
    <w:rsid w:val="00212426"/>
    <w:rsid w:val="002617B2"/>
    <w:rsid w:val="00280C9C"/>
    <w:rsid w:val="00291504"/>
    <w:rsid w:val="002D5ED7"/>
    <w:rsid w:val="00306FA0"/>
    <w:rsid w:val="00314D6D"/>
    <w:rsid w:val="00330B99"/>
    <w:rsid w:val="00334EF0"/>
    <w:rsid w:val="0034401E"/>
    <w:rsid w:val="00344472"/>
    <w:rsid w:val="003675E6"/>
    <w:rsid w:val="00392A69"/>
    <w:rsid w:val="003B0763"/>
    <w:rsid w:val="003B6F94"/>
    <w:rsid w:val="003C4464"/>
    <w:rsid w:val="003C58C4"/>
    <w:rsid w:val="003D4C52"/>
    <w:rsid w:val="003E6654"/>
    <w:rsid w:val="00401F50"/>
    <w:rsid w:val="00416E49"/>
    <w:rsid w:val="00442799"/>
    <w:rsid w:val="004436F0"/>
    <w:rsid w:val="0046455B"/>
    <w:rsid w:val="00474C59"/>
    <w:rsid w:val="004B3342"/>
    <w:rsid w:val="004B4981"/>
    <w:rsid w:val="004B4B89"/>
    <w:rsid w:val="004B7096"/>
    <w:rsid w:val="004C13E8"/>
    <w:rsid w:val="004D09AA"/>
    <w:rsid w:val="004D0BE2"/>
    <w:rsid w:val="005307B5"/>
    <w:rsid w:val="00542474"/>
    <w:rsid w:val="00554509"/>
    <w:rsid w:val="005601D4"/>
    <w:rsid w:val="0057406C"/>
    <w:rsid w:val="0059618C"/>
    <w:rsid w:val="00597C93"/>
    <w:rsid w:val="005A0117"/>
    <w:rsid w:val="005E457A"/>
    <w:rsid w:val="006131C3"/>
    <w:rsid w:val="00630F45"/>
    <w:rsid w:val="006416B5"/>
    <w:rsid w:val="00646F76"/>
    <w:rsid w:val="00671948"/>
    <w:rsid w:val="0069460A"/>
    <w:rsid w:val="006A68B6"/>
    <w:rsid w:val="006B65E1"/>
    <w:rsid w:val="006E6832"/>
    <w:rsid w:val="00712046"/>
    <w:rsid w:val="00712110"/>
    <w:rsid w:val="00714606"/>
    <w:rsid w:val="007212E4"/>
    <w:rsid w:val="007426C8"/>
    <w:rsid w:val="00743DF1"/>
    <w:rsid w:val="00761204"/>
    <w:rsid w:val="00773409"/>
    <w:rsid w:val="007778B9"/>
    <w:rsid w:val="0078780F"/>
    <w:rsid w:val="00792F6A"/>
    <w:rsid w:val="007B394C"/>
    <w:rsid w:val="007C2C11"/>
    <w:rsid w:val="007E02B1"/>
    <w:rsid w:val="007F730A"/>
    <w:rsid w:val="007F7AC2"/>
    <w:rsid w:val="00801607"/>
    <w:rsid w:val="00807261"/>
    <w:rsid w:val="00821914"/>
    <w:rsid w:val="00841FE1"/>
    <w:rsid w:val="00862433"/>
    <w:rsid w:val="00896FA1"/>
    <w:rsid w:val="008A0452"/>
    <w:rsid w:val="008D4680"/>
    <w:rsid w:val="008F0373"/>
    <w:rsid w:val="00935366"/>
    <w:rsid w:val="009867B7"/>
    <w:rsid w:val="00993BC5"/>
    <w:rsid w:val="00993CD2"/>
    <w:rsid w:val="009A14FC"/>
    <w:rsid w:val="009C26D0"/>
    <w:rsid w:val="009C604E"/>
    <w:rsid w:val="009D4F4D"/>
    <w:rsid w:val="00A255A4"/>
    <w:rsid w:val="00A50EE1"/>
    <w:rsid w:val="00A60A18"/>
    <w:rsid w:val="00A61ECF"/>
    <w:rsid w:val="00A73082"/>
    <w:rsid w:val="00AA1D34"/>
    <w:rsid w:val="00AC1A68"/>
    <w:rsid w:val="00AF65FB"/>
    <w:rsid w:val="00B1017F"/>
    <w:rsid w:val="00B40A5C"/>
    <w:rsid w:val="00B42459"/>
    <w:rsid w:val="00B4774A"/>
    <w:rsid w:val="00B63360"/>
    <w:rsid w:val="00B72DBC"/>
    <w:rsid w:val="00BA4CB9"/>
    <w:rsid w:val="00BB60D7"/>
    <w:rsid w:val="00BD13F3"/>
    <w:rsid w:val="00BF73A9"/>
    <w:rsid w:val="00C1331D"/>
    <w:rsid w:val="00C15A18"/>
    <w:rsid w:val="00C5281E"/>
    <w:rsid w:val="00C52CBF"/>
    <w:rsid w:val="00C60C59"/>
    <w:rsid w:val="00C80752"/>
    <w:rsid w:val="00C931A2"/>
    <w:rsid w:val="00CC7C54"/>
    <w:rsid w:val="00CF4EE8"/>
    <w:rsid w:val="00D172B9"/>
    <w:rsid w:val="00D17780"/>
    <w:rsid w:val="00D3548D"/>
    <w:rsid w:val="00D47FBD"/>
    <w:rsid w:val="00D60FC6"/>
    <w:rsid w:val="00D70254"/>
    <w:rsid w:val="00DA01F3"/>
    <w:rsid w:val="00DB1B92"/>
    <w:rsid w:val="00DB5012"/>
    <w:rsid w:val="00DB6AD9"/>
    <w:rsid w:val="00DC0882"/>
    <w:rsid w:val="00DC0D47"/>
    <w:rsid w:val="00DC4BCA"/>
    <w:rsid w:val="00DC6092"/>
    <w:rsid w:val="00DE70BA"/>
    <w:rsid w:val="00E02450"/>
    <w:rsid w:val="00E05DEA"/>
    <w:rsid w:val="00E15C08"/>
    <w:rsid w:val="00E3226A"/>
    <w:rsid w:val="00E32534"/>
    <w:rsid w:val="00E40A14"/>
    <w:rsid w:val="00E77BCD"/>
    <w:rsid w:val="00E82A13"/>
    <w:rsid w:val="00E847BD"/>
    <w:rsid w:val="00E9637A"/>
    <w:rsid w:val="00EA0B97"/>
    <w:rsid w:val="00EC45FF"/>
    <w:rsid w:val="00ED0F32"/>
    <w:rsid w:val="00EF2D4A"/>
    <w:rsid w:val="00F23382"/>
    <w:rsid w:val="00F2499B"/>
    <w:rsid w:val="00F45CD0"/>
    <w:rsid w:val="00F6487F"/>
    <w:rsid w:val="00F849A1"/>
    <w:rsid w:val="00F87064"/>
    <w:rsid w:val="00F97125"/>
    <w:rsid w:val="00FA0CDF"/>
    <w:rsid w:val="00FB7113"/>
    <w:rsid w:val="00FC5800"/>
    <w:rsid w:val="00FD6A1C"/>
    <w:rsid w:val="00FD7048"/>
    <w:rsid w:val="00FE77C8"/>
    <w:rsid w:val="013771E6"/>
    <w:rsid w:val="016109D7"/>
    <w:rsid w:val="01735518"/>
    <w:rsid w:val="017A50DC"/>
    <w:rsid w:val="017B1727"/>
    <w:rsid w:val="01D76048"/>
    <w:rsid w:val="022137F7"/>
    <w:rsid w:val="026D15EA"/>
    <w:rsid w:val="02A60B0C"/>
    <w:rsid w:val="02AE4913"/>
    <w:rsid w:val="02BB7BA6"/>
    <w:rsid w:val="02BE7FCF"/>
    <w:rsid w:val="02FA1740"/>
    <w:rsid w:val="031C3586"/>
    <w:rsid w:val="031D7FC4"/>
    <w:rsid w:val="033C2CA1"/>
    <w:rsid w:val="034436C8"/>
    <w:rsid w:val="03977EED"/>
    <w:rsid w:val="03B91FD5"/>
    <w:rsid w:val="03C404AD"/>
    <w:rsid w:val="042F30B9"/>
    <w:rsid w:val="04CD6F84"/>
    <w:rsid w:val="04F74955"/>
    <w:rsid w:val="06341232"/>
    <w:rsid w:val="067025EC"/>
    <w:rsid w:val="06A2673F"/>
    <w:rsid w:val="06B4352D"/>
    <w:rsid w:val="06C92E81"/>
    <w:rsid w:val="06E671A9"/>
    <w:rsid w:val="06EE3C53"/>
    <w:rsid w:val="071C7A98"/>
    <w:rsid w:val="072F7C8F"/>
    <w:rsid w:val="07320F11"/>
    <w:rsid w:val="07962C18"/>
    <w:rsid w:val="07A74BD7"/>
    <w:rsid w:val="080B6770"/>
    <w:rsid w:val="08604E12"/>
    <w:rsid w:val="08DC0640"/>
    <w:rsid w:val="090B5B4E"/>
    <w:rsid w:val="091238EA"/>
    <w:rsid w:val="09543010"/>
    <w:rsid w:val="09B31E2D"/>
    <w:rsid w:val="09EB764B"/>
    <w:rsid w:val="0A160EF3"/>
    <w:rsid w:val="0A55344E"/>
    <w:rsid w:val="0AC544AD"/>
    <w:rsid w:val="0ACD2603"/>
    <w:rsid w:val="0AE84C65"/>
    <w:rsid w:val="0B1626C4"/>
    <w:rsid w:val="0B740F7E"/>
    <w:rsid w:val="0B7B6F2C"/>
    <w:rsid w:val="0B835CB0"/>
    <w:rsid w:val="0B8F6FF9"/>
    <w:rsid w:val="0BAF3315"/>
    <w:rsid w:val="0BB80F9B"/>
    <w:rsid w:val="0C254944"/>
    <w:rsid w:val="0C6B5E5F"/>
    <w:rsid w:val="0C7B38BC"/>
    <w:rsid w:val="0C931EB5"/>
    <w:rsid w:val="0C9979DE"/>
    <w:rsid w:val="0D15164F"/>
    <w:rsid w:val="0D3D4889"/>
    <w:rsid w:val="0DE9282A"/>
    <w:rsid w:val="0DF8640F"/>
    <w:rsid w:val="0E404D6D"/>
    <w:rsid w:val="0EAA3EDF"/>
    <w:rsid w:val="0F3B3092"/>
    <w:rsid w:val="0FB50991"/>
    <w:rsid w:val="0FDF5170"/>
    <w:rsid w:val="108D52B6"/>
    <w:rsid w:val="10ED138E"/>
    <w:rsid w:val="113D447D"/>
    <w:rsid w:val="118F3304"/>
    <w:rsid w:val="11B76F39"/>
    <w:rsid w:val="124D1644"/>
    <w:rsid w:val="12B50B46"/>
    <w:rsid w:val="12B86FD0"/>
    <w:rsid w:val="12CA15B6"/>
    <w:rsid w:val="12FC650C"/>
    <w:rsid w:val="13250F97"/>
    <w:rsid w:val="1354414E"/>
    <w:rsid w:val="13607B0B"/>
    <w:rsid w:val="143035CB"/>
    <w:rsid w:val="14416F48"/>
    <w:rsid w:val="145A4BA7"/>
    <w:rsid w:val="14C10033"/>
    <w:rsid w:val="14D17D07"/>
    <w:rsid w:val="154C7F9C"/>
    <w:rsid w:val="15FF1403"/>
    <w:rsid w:val="16112D88"/>
    <w:rsid w:val="161A4631"/>
    <w:rsid w:val="168F03FD"/>
    <w:rsid w:val="16EE53A8"/>
    <w:rsid w:val="16FF41BB"/>
    <w:rsid w:val="171C307D"/>
    <w:rsid w:val="17603E13"/>
    <w:rsid w:val="1767526C"/>
    <w:rsid w:val="176E0257"/>
    <w:rsid w:val="179011FA"/>
    <w:rsid w:val="17DD548B"/>
    <w:rsid w:val="17E96766"/>
    <w:rsid w:val="180B75CD"/>
    <w:rsid w:val="182500D8"/>
    <w:rsid w:val="18372E94"/>
    <w:rsid w:val="18B56DF3"/>
    <w:rsid w:val="18D37074"/>
    <w:rsid w:val="19410966"/>
    <w:rsid w:val="195F41DA"/>
    <w:rsid w:val="198C00C8"/>
    <w:rsid w:val="19B71667"/>
    <w:rsid w:val="19E92D43"/>
    <w:rsid w:val="19FF4E4E"/>
    <w:rsid w:val="1A454889"/>
    <w:rsid w:val="1A47272E"/>
    <w:rsid w:val="1A99724C"/>
    <w:rsid w:val="1ACF53B0"/>
    <w:rsid w:val="1B5668DC"/>
    <w:rsid w:val="1B772DCD"/>
    <w:rsid w:val="1B9918F4"/>
    <w:rsid w:val="1BA21807"/>
    <w:rsid w:val="1C0D2A3B"/>
    <w:rsid w:val="1C1D6E86"/>
    <w:rsid w:val="1C633A55"/>
    <w:rsid w:val="1CF873AE"/>
    <w:rsid w:val="1D1F49DF"/>
    <w:rsid w:val="1D2B041C"/>
    <w:rsid w:val="1D6C1343"/>
    <w:rsid w:val="1D9E3C64"/>
    <w:rsid w:val="1DA86D52"/>
    <w:rsid w:val="1DB75F47"/>
    <w:rsid w:val="1E1851A7"/>
    <w:rsid w:val="1E4F42C5"/>
    <w:rsid w:val="1E614C2D"/>
    <w:rsid w:val="1E6702F4"/>
    <w:rsid w:val="1E8C4347"/>
    <w:rsid w:val="1EA94926"/>
    <w:rsid w:val="1EC40574"/>
    <w:rsid w:val="1F035ED8"/>
    <w:rsid w:val="1F1A56DA"/>
    <w:rsid w:val="1F240D71"/>
    <w:rsid w:val="1F416E2E"/>
    <w:rsid w:val="1F632A5E"/>
    <w:rsid w:val="1F8A64BD"/>
    <w:rsid w:val="1F8B1021"/>
    <w:rsid w:val="200D3DB8"/>
    <w:rsid w:val="205923D5"/>
    <w:rsid w:val="2073771A"/>
    <w:rsid w:val="208F057E"/>
    <w:rsid w:val="20AE6102"/>
    <w:rsid w:val="20B24CFC"/>
    <w:rsid w:val="20CE09AA"/>
    <w:rsid w:val="20D840B8"/>
    <w:rsid w:val="20E6061B"/>
    <w:rsid w:val="20F4224E"/>
    <w:rsid w:val="212B5CF8"/>
    <w:rsid w:val="21661170"/>
    <w:rsid w:val="216E556D"/>
    <w:rsid w:val="218005ED"/>
    <w:rsid w:val="228B6335"/>
    <w:rsid w:val="22C31026"/>
    <w:rsid w:val="23100D0D"/>
    <w:rsid w:val="2349270D"/>
    <w:rsid w:val="236E2906"/>
    <w:rsid w:val="2372327F"/>
    <w:rsid w:val="237D050E"/>
    <w:rsid w:val="246D0ECC"/>
    <w:rsid w:val="24A50E5D"/>
    <w:rsid w:val="25533957"/>
    <w:rsid w:val="259102C6"/>
    <w:rsid w:val="25C20B02"/>
    <w:rsid w:val="25CB223C"/>
    <w:rsid w:val="25DB12CD"/>
    <w:rsid w:val="26286D1B"/>
    <w:rsid w:val="268041D8"/>
    <w:rsid w:val="26C87907"/>
    <w:rsid w:val="26EA3341"/>
    <w:rsid w:val="26EC0BF6"/>
    <w:rsid w:val="27BD03CE"/>
    <w:rsid w:val="27EA7D5A"/>
    <w:rsid w:val="284D660E"/>
    <w:rsid w:val="285C30DF"/>
    <w:rsid w:val="28826942"/>
    <w:rsid w:val="28B1769E"/>
    <w:rsid w:val="28B22CDD"/>
    <w:rsid w:val="28B95649"/>
    <w:rsid w:val="28DF672A"/>
    <w:rsid w:val="295B2858"/>
    <w:rsid w:val="29A22151"/>
    <w:rsid w:val="29D554C9"/>
    <w:rsid w:val="29E32841"/>
    <w:rsid w:val="2A064F81"/>
    <w:rsid w:val="2A0B1C72"/>
    <w:rsid w:val="2A327258"/>
    <w:rsid w:val="2A51109B"/>
    <w:rsid w:val="2A5348CB"/>
    <w:rsid w:val="2A7F07F4"/>
    <w:rsid w:val="2A990DF6"/>
    <w:rsid w:val="2AA82458"/>
    <w:rsid w:val="2AFE0F8D"/>
    <w:rsid w:val="2B0035BB"/>
    <w:rsid w:val="2B4F3C19"/>
    <w:rsid w:val="2BA218C6"/>
    <w:rsid w:val="2BC03407"/>
    <w:rsid w:val="2BFD2777"/>
    <w:rsid w:val="2C3A5CBF"/>
    <w:rsid w:val="2C592F23"/>
    <w:rsid w:val="2CF2691E"/>
    <w:rsid w:val="2D4C2C92"/>
    <w:rsid w:val="2D4E460D"/>
    <w:rsid w:val="2D660714"/>
    <w:rsid w:val="2D774F8F"/>
    <w:rsid w:val="2E9A3FBB"/>
    <w:rsid w:val="2EEC54AB"/>
    <w:rsid w:val="2FB022EF"/>
    <w:rsid w:val="2FC00E7D"/>
    <w:rsid w:val="2FEB009F"/>
    <w:rsid w:val="30203F5A"/>
    <w:rsid w:val="302925AC"/>
    <w:rsid w:val="30405819"/>
    <w:rsid w:val="30773CD9"/>
    <w:rsid w:val="31153FE3"/>
    <w:rsid w:val="31160A74"/>
    <w:rsid w:val="311B5994"/>
    <w:rsid w:val="317F480D"/>
    <w:rsid w:val="31892BC9"/>
    <w:rsid w:val="31D30C2F"/>
    <w:rsid w:val="320B4997"/>
    <w:rsid w:val="32196463"/>
    <w:rsid w:val="321F2634"/>
    <w:rsid w:val="32523BCF"/>
    <w:rsid w:val="32F277E0"/>
    <w:rsid w:val="33681689"/>
    <w:rsid w:val="339B58F5"/>
    <w:rsid w:val="33A575BC"/>
    <w:rsid w:val="33B31936"/>
    <w:rsid w:val="349214C6"/>
    <w:rsid w:val="34A81001"/>
    <w:rsid w:val="34A82A16"/>
    <w:rsid w:val="34C1757E"/>
    <w:rsid w:val="3576421C"/>
    <w:rsid w:val="35767A53"/>
    <w:rsid w:val="3594684B"/>
    <w:rsid w:val="35A62252"/>
    <w:rsid w:val="35B7689D"/>
    <w:rsid w:val="35C56F3B"/>
    <w:rsid w:val="35F924E0"/>
    <w:rsid w:val="3601054C"/>
    <w:rsid w:val="36020B10"/>
    <w:rsid w:val="36344C81"/>
    <w:rsid w:val="363B3EAB"/>
    <w:rsid w:val="368D3EEE"/>
    <w:rsid w:val="36B24588"/>
    <w:rsid w:val="36FC028F"/>
    <w:rsid w:val="37352683"/>
    <w:rsid w:val="37410B17"/>
    <w:rsid w:val="377B2D7F"/>
    <w:rsid w:val="37973F99"/>
    <w:rsid w:val="37A250C4"/>
    <w:rsid w:val="37CF0D55"/>
    <w:rsid w:val="37CF7071"/>
    <w:rsid w:val="37D969DB"/>
    <w:rsid w:val="37E732D2"/>
    <w:rsid w:val="38515E77"/>
    <w:rsid w:val="3863550A"/>
    <w:rsid w:val="38A8771B"/>
    <w:rsid w:val="38C03A10"/>
    <w:rsid w:val="38C417E5"/>
    <w:rsid w:val="38DC3E15"/>
    <w:rsid w:val="38E65DC5"/>
    <w:rsid w:val="392442BB"/>
    <w:rsid w:val="393F01AD"/>
    <w:rsid w:val="394346A5"/>
    <w:rsid w:val="39C304DC"/>
    <w:rsid w:val="39D91BAC"/>
    <w:rsid w:val="3A2A0D28"/>
    <w:rsid w:val="3A2B49F3"/>
    <w:rsid w:val="3A34505C"/>
    <w:rsid w:val="3A450D00"/>
    <w:rsid w:val="3A803484"/>
    <w:rsid w:val="3A8C2B52"/>
    <w:rsid w:val="3AA6666E"/>
    <w:rsid w:val="3B333C29"/>
    <w:rsid w:val="3B7C6ABD"/>
    <w:rsid w:val="3B7F265F"/>
    <w:rsid w:val="3B802041"/>
    <w:rsid w:val="3B883D74"/>
    <w:rsid w:val="3BD256EA"/>
    <w:rsid w:val="3BD41BC4"/>
    <w:rsid w:val="3BFE7389"/>
    <w:rsid w:val="3C650A7A"/>
    <w:rsid w:val="3CA943CF"/>
    <w:rsid w:val="3CAE6F28"/>
    <w:rsid w:val="3CB6726A"/>
    <w:rsid w:val="3CD42D50"/>
    <w:rsid w:val="3CFA5C7D"/>
    <w:rsid w:val="3D177618"/>
    <w:rsid w:val="3D2D0A5D"/>
    <w:rsid w:val="3D477831"/>
    <w:rsid w:val="3D606FC1"/>
    <w:rsid w:val="3D6E7527"/>
    <w:rsid w:val="3DC51279"/>
    <w:rsid w:val="3DC5462F"/>
    <w:rsid w:val="3E11337A"/>
    <w:rsid w:val="3E5E0479"/>
    <w:rsid w:val="3E6871A8"/>
    <w:rsid w:val="3EBC4598"/>
    <w:rsid w:val="3EBD31BA"/>
    <w:rsid w:val="3EE02ADE"/>
    <w:rsid w:val="3EEE6682"/>
    <w:rsid w:val="3F736B93"/>
    <w:rsid w:val="3FC31F95"/>
    <w:rsid w:val="3FF941E7"/>
    <w:rsid w:val="401C25A5"/>
    <w:rsid w:val="40C30737"/>
    <w:rsid w:val="418C36C1"/>
    <w:rsid w:val="419C4DE8"/>
    <w:rsid w:val="41F22679"/>
    <w:rsid w:val="420B562E"/>
    <w:rsid w:val="421456A4"/>
    <w:rsid w:val="421F2348"/>
    <w:rsid w:val="42A956F9"/>
    <w:rsid w:val="42DC3D8C"/>
    <w:rsid w:val="43136590"/>
    <w:rsid w:val="436D7F7F"/>
    <w:rsid w:val="43A72941"/>
    <w:rsid w:val="443C2171"/>
    <w:rsid w:val="4503714A"/>
    <w:rsid w:val="45D071B4"/>
    <w:rsid w:val="46696BD7"/>
    <w:rsid w:val="47163B63"/>
    <w:rsid w:val="472B680F"/>
    <w:rsid w:val="47402754"/>
    <w:rsid w:val="475B375A"/>
    <w:rsid w:val="4768179F"/>
    <w:rsid w:val="479869FA"/>
    <w:rsid w:val="47B92C6F"/>
    <w:rsid w:val="47D30073"/>
    <w:rsid w:val="47FF529B"/>
    <w:rsid w:val="48015284"/>
    <w:rsid w:val="482D1320"/>
    <w:rsid w:val="485E7CD2"/>
    <w:rsid w:val="487E4D6F"/>
    <w:rsid w:val="48876801"/>
    <w:rsid w:val="48A86EA9"/>
    <w:rsid w:val="48BE3A53"/>
    <w:rsid w:val="48DF08A8"/>
    <w:rsid w:val="48E433AB"/>
    <w:rsid w:val="490506C8"/>
    <w:rsid w:val="49115DD3"/>
    <w:rsid w:val="491E7D30"/>
    <w:rsid w:val="492F2E3C"/>
    <w:rsid w:val="494E7F91"/>
    <w:rsid w:val="496468C5"/>
    <w:rsid w:val="499D009D"/>
    <w:rsid w:val="499D1E97"/>
    <w:rsid w:val="49C21650"/>
    <w:rsid w:val="49D95ABB"/>
    <w:rsid w:val="49EB27E4"/>
    <w:rsid w:val="49F920CF"/>
    <w:rsid w:val="4A0734ED"/>
    <w:rsid w:val="4A097423"/>
    <w:rsid w:val="4A0A4A0E"/>
    <w:rsid w:val="4A5D67BA"/>
    <w:rsid w:val="4A654B04"/>
    <w:rsid w:val="4A667365"/>
    <w:rsid w:val="4AB437DD"/>
    <w:rsid w:val="4AED16E8"/>
    <w:rsid w:val="4AF34F14"/>
    <w:rsid w:val="4B9E4AED"/>
    <w:rsid w:val="4BA57185"/>
    <w:rsid w:val="4BCC0D6A"/>
    <w:rsid w:val="4BD774FC"/>
    <w:rsid w:val="4BE73A7D"/>
    <w:rsid w:val="4BF53811"/>
    <w:rsid w:val="4C6659A4"/>
    <w:rsid w:val="4C7815FC"/>
    <w:rsid w:val="4CBB046F"/>
    <w:rsid w:val="4D355E6A"/>
    <w:rsid w:val="4D6E317C"/>
    <w:rsid w:val="4D9339C2"/>
    <w:rsid w:val="4DA02C03"/>
    <w:rsid w:val="4E666F95"/>
    <w:rsid w:val="4E6931F2"/>
    <w:rsid w:val="4E7A1200"/>
    <w:rsid w:val="4EA25674"/>
    <w:rsid w:val="4EF74507"/>
    <w:rsid w:val="4F311F4F"/>
    <w:rsid w:val="504E2702"/>
    <w:rsid w:val="507B4D0C"/>
    <w:rsid w:val="50814E98"/>
    <w:rsid w:val="5084097C"/>
    <w:rsid w:val="50A074BD"/>
    <w:rsid w:val="513474AE"/>
    <w:rsid w:val="51484174"/>
    <w:rsid w:val="514D50F2"/>
    <w:rsid w:val="515B3C95"/>
    <w:rsid w:val="518B30F9"/>
    <w:rsid w:val="51C81E19"/>
    <w:rsid w:val="51F21AB4"/>
    <w:rsid w:val="52683934"/>
    <w:rsid w:val="52B5316A"/>
    <w:rsid w:val="533B2CB0"/>
    <w:rsid w:val="533D119D"/>
    <w:rsid w:val="53407F9C"/>
    <w:rsid w:val="53682F30"/>
    <w:rsid w:val="536C36BB"/>
    <w:rsid w:val="536F380D"/>
    <w:rsid w:val="537855CC"/>
    <w:rsid w:val="53F51D22"/>
    <w:rsid w:val="541C04E1"/>
    <w:rsid w:val="542C4022"/>
    <w:rsid w:val="546F3D95"/>
    <w:rsid w:val="547C656E"/>
    <w:rsid w:val="54E454F2"/>
    <w:rsid w:val="54E95F22"/>
    <w:rsid w:val="552F7658"/>
    <w:rsid w:val="56125D54"/>
    <w:rsid w:val="565B5A6B"/>
    <w:rsid w:val="56936B2F"/>
    <w:rsid w:val="56AB30F9"/>
    <w:rsid w:val="56E6336F"/>
    <w:rsid w:val="56EB2123"/>
    <w:rsid w:val="570E64D2"/>
    <w:rsid w:val="572C5808"/>
    <w:rsid w:val="5738444F"/>
    <w:rsid w:val="574D7982"/>
    <w:rsid w:val="576E2338"/>
    <w:rsid w:val="578C6581"/>
    <w:rsid w:val="57A31298"/>
    <w:rsid w:val="57C23E3E"/>
    <w:rsid w:val="582B1AB8"/>
    <w:rsid w:val="58492CAD"/>
    <w:rsid w:val="58A6074F"/>
    <w:rsid w:val="58AE16E9"/>
    <w:rsid w:val="58C9283B"/>
    <w:rsid w:val="58E04B7C"/>
    <w:rsid w:val="58E0603B"/>
    <w:rsid w:val="58E63D4D"/>
    <w:rsid w:val="58E64A4E"/>
    <w:rsid w:val="59452459"/>
    <w:rsid w:val="59475D46"/>
    <w:rsid w:val="59735892"/>
    <w:rsid w:val="59834482"/>
    <w:rsid w:val="599E2AE3"/>
    <w:rsid w:val="59AE3933"/>
    <w:rsid w:val="59F649BB"/>
    <w:rsid w:val="5A545877"/>
    <w:rsid w:val="5A742A67"/>
    <w:rsid w:val="5AED5098"/>
    <w:rsid w:val="5B2C5FF4"/>
    <w:rsid w:val="5BA25DF8"/>
    <w:rsid w:val="5BB93758"/>
    <w:rsid w:val="5BD47084"/>
    <w:rsid w:val="5BF8028E"/>
    <w:rsid w:val="5C56155B"/>
    <w:rsid w:val="5C755D1D"/>
    <w:rsid w:val="5C7C56D1"/>
    <w:rsid w:val="5C8D72F1"/>
    <w:rsid w:val="5D1F7626"/>
    <w:rsid w:val="5D7C67CA"/>
    <w:rsid w:val="5D8632E3"/>
    <w:rsid w:val="5D9813FA"/>
    <w:rsid w:val="5DAB0B58"/>
    <w:rsid w:val="5DE92F30"/>
    <w:rsid w:val="5E0F24B7"/>
    <w:rsid w:val="5E20289C"/>
    <w:rsid w:val="5EFE06A3"/>
    <w:rsid w:val="5F0A6EA4"/>
    <w:rsid w:val="5F7E1AEF"/>
    <w:rsid w:val="5FB11485"/>
    <w:rsid w:val="5FB37911"/>
    <w:rsid w:val="605E4A83"/>
    <w:rsid w:val="609E6884"/>
    <w:rsid w:val="60C63FE1"/>
    <w:rsid w:val="60C657E6"/>
    <w:rsid w:val="60F37399"/>
    <w:rsid w:val="613F7304"/>
    <w:rsid w:val="615A1751"/>
    <w:rsid w:val="617525FF"/>
    <w:rsid w:val="61F867E4"/>
    <w:rsid w:val="62036780"/>
    <w:rsid w:val="621A3AE4"/>
    <w:rsid w:val="624007AC"/>
    <w:rsid w:val="62666DC8"/>
    <w:rsid w:val="62AE3212"/>
    <w:rsid w:val="62E62CBF"/>
    <w:rsid w:val="62FE3A5C"/>
    <w:rsid w:val="6338690F"/>
    <w:rsid w:val="63CD15D3"/>
    <w:rsid w:val="63D83318"/>
    <w:rsid w:val="63EC3C55"/>
    <w:rsid w:val="64300A41"/>
    <w:rsid w:val="643F791D"/>
    <w:rsid w:val="64F12354"/>
    <w:rsid w:val="65013A40"/>
    <w:rsid w:val="650228D1"/>
    <w:rsid w:val="658E078C"/>
    <w:rsid w:val="65AC4EF4"/>
    <w:rsid w:val="65DB7F58"/>
    <w:rsid w:val="663B25C8"/>
    <w:rsid w:val="66765D85"/>
    <w:rsid w:val="679F6FFF"/>
    <w:rsid w:val="67A905B6"/>
    <w:rsid w:val="67C47574"/>
    <w:rsid w:val="67CF073E"/>
    <w:rsid w:val="67CF623C"/>
    <w:rsid w:val="680861DB"/>
    <w:rsid w:val="68A34183"/>
    <w:rsid w:val="68B11574"/>
    <w:rsid w:val="691A6835"/>
    <w:rsid w:val="69600C3C"/>
    <w:rsid w:val="698A31A3"/>
    <w:rsid w:val="69CE20EE"/>
    <w:rsid w:val="6A0635ED"/>
    <w:rsid w:val="6A0E41B0"/>
    <w:rsid w:val="6A1A628F"/>
    <w:rsid w:val="6A527522"/>
    <w:rsid w:val="6AB31089"/>
    <w:rsid w:val="6B125D97"/>
    <w:rsid w:val="6BBD3EE1"/>
    <w:rsid w:val="6C345E60"/>
    <w:rsid w:val="6CA16DF7"/>
    <w:rsid w:val="6CE643B2"/>
    <w:rsid w:val="6D601A3F"/>
    <w:rsid w:val="6D8315B1"/>
    <w:rsid w:val="6D8E31D7"/>
    <w:rsid w:val="6DDF433A"/>
    <w:rsid w:val="6DF83231"/>
    <w:rsid w:val="6E4C6691"/>
    <w:rsid w:val="6EA47879"/>
    <w:rsid w:val="6ED00832"/>
    <w:rsid w:val="6F651DD5"/>
    <w:rsid w:val="6F872F90"/>
    <w:rsid w:val="6F8C70D2"/>
    <w:rsid w:val="6FC30AD0"/>
    <w:rsid w:val="70675EC6"/>
    <w:rsid w:val="709476C4"/>
    <w:rsid w:val="709A05FD"/>
    <w:rsid w:val="70A30374"/>
    <w:rsid w:val="70BE7F70"/>
    <w:rsid w:val="70E87EDF"/>
    <w:rsid w:val="71543E3B"/>
    <w:rsid w:val="715C2FAA"/>
    <w:rsid w:val="719A5D76"/>
    <w:rsid w:val="71B0067D"/>
    <w:rsid w:val="71D86C8F"/>
    <w:rsid w:val="71F1407C"/>
    <w:rsid w:val="723F5571"/>
    <w:rsid w:val="72527C52"/>
    <w:rsid w:val="72542ECE"/>
    <w:rsid w:val="72550334"/>
    <w:rsid w:val="72552D53"/>
    <w:rsid w:val="72564FF6"/>
    <w:rsid w:val="72F10BC0"/>
    <w:rsid w:val="73424EF5"/>
    <w:rsid w:val="734D4910"/>
    <w:rsid w:val="736D11E7"/>
    <w:rsid w:val="737F6239"/>
    <w:rsid w:val="73A43E1C"/>
    <w:rsid w:val="73D06E0D"/>
    <w:rsid w:val="73D079B1"/>
    <w:rsid w:val="741E7C39"/>
    <w:rsid w:val="74627ADF"/>
    <w:rsid w:val="746C6035"/>
    <w:rsid w:val="747B7E94"/>
    <w:rsid w:val="74874F26"/>
    <w:rsid w:val="74AA0FF4"/>
    <w:rsid w:val="754420CC"/>
    <w:rsid w:val="7550464D"/>
    <w:rsid w:val="75552E9B"/>
    <w:rsid w:val="756258DC"/>
    <w:rsid w:val="75DB00DA"/>
    <w:rsid w:val="761A76BF"/>
    <w:rsid w:val="76372B69"/>
    <w:rsid w:val="766E0607"/>
    <w:rsid w:val="76AA5AA8"/>
    <w:rsid w:val="76D81809"/>
    <w:rsid w:val="7710712C"/>
    <w:rsid w:val="771C21E8"/>
    <w:rsid w:val="772D0C7F"/>
    <w:rsid w:val="77531505"/>
    <w:rsid w:val="778977AA"/>
    <w:rsid w:val="783B5EDC"/>
    <w:rsid w:val="78712329"/>
    <w:rsid w:val="78A267DF"/>
    <w:rsid w:val="78BA3EC4"/>
    <w:rsid w:val="78E32EE7"/>
    <w:rsid w:val="7A7233CB"/>
    <w:rsid w:val="7ACB0048"/>
    <w:rsid w:val="7AF119EE"/>
    <w:rsid w:val="7B021D2C"/>
    <w:rsid w:val="7B285BDC"/>
    <w:rsid w:val="7B5E2B72"/>
    <w:rsid w:val="7C0E1D05"/>
    <w:rsid w:val="7C3C1EE8"/>
    <w:rsid w:val="7C4E3E48"/>
    <w:rsid w:val="7C575729"/>
    <w:rsid w:val="7C837D9F"/>
    <w:rsid w:val="7CEF0A7C"/>
    <w:rsid w:val="7D8259EA"/>
    <w:rsid w:val="7DA665ED"/>
    <w:rsid w:val="7E243A23"/>
    <w:rsid w:val="7EA65A11"/>
    <w:rsid w:val="7EAD5AE0"/>
    <w:rsid w:val="7EB72F22"/>
    <w:rsid w:val="7F590384"/>
    <w:rsid w:val="7F9F1D31"/>
    <w:rsid w:val="7FE703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130" w:right="295"/>
      <w:jc w:val="center"/>
      <w:outlineLvl w:val="0"/>
    </w:pPr>
    <w:rPr>
      <w:rFonts w:ascii="微软雅黑" w:hAnsi="微软雅黑" w:eastAsia="微软雅黑" w:cs="微软雅黑"/>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8"/>
    <w:qFormat/>
    <w:uiPriority w:val="1"/>
    <w:pPr>
      <w:ind w:left="1068"/>
    </w:pPr>
    <w:rPr>
      <w:sz w:val="32"/>
      <w:szCs w:val="32"/>
    </w:rPr>
  </w:style>
  <w:style w:type="paragraph" w:styleId="4">
    <w:name w:val="Date"/>
    <w:basedOn w:val="1"/>
    <w:next w:val="1"/>
    <w:link w:val="19"/>
    <w:qFormat/>
    <w:uiPriority w:val="0"/>
    <w:pPr>
      <w:ind w:left="100" w:leftChars="2500"/>
    </w:pPr>
  </w:style>
  <w:style w:type="paragraph" w:styleId="5">
    <w:name w:val="Balloon Text"/>
    <w:basedOn w:val="1"/>
    <w:link w:val="21"/>
    <w:qFormat/>
    <w:uiPriority w:val="0"/>
    <w:rPr>
      <w:sz w:val="18"/>
      <w:szCs w:val="1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spacing w:before="100" w:beforeAutospacing="1" w:after="100" w:afterAutospacing="1" w:line="500" w:lineRule="exact"/>
    </w:pPr>
    <w:rPr>
      <w:rFonts w:ascii="宋体" w:hAnsi="宋体" w:eastAsia="宋体" w:cs="宋体"/>
      <w:sz w:val="24"/>
      <w:szCs w:val="24"/>
      <w:lang w:val="en-US" w:bidi="ar-SA"/>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table" w:customStyle="1" w:styleId="13">
    <w:name w:val="Table Normal"/>
    <w:semiHidden/>
    <w:unhideWhenUsed/>
    <w:qFormat/>
    <w:uiPriority w:val="2"/>
    <w:tblPr>
      <w:tblLayout w:type="fixed"/>
      <w:tblCellMar>
        <w:top w:w="0" w:type="dxa"/>
        <w:left w:w="0" w:type="dxa"/>
        <w:bottom w:w="0" w:type="dxa"/>
        <w:right w:w="0" w:type="dxa"/>
      </w:tblCellMar>
    </w:tblPr>
  </w:style>
  <w:style w:type="paragraph" w:styleId="14">
    <w:name w:val="List Paragraph"/>
    <w:basedOn w:val="1"/>
    <w:qFormat/>
    <w:uiPriority w:val="34"/>
    <w:pPr>
      <w:spacing w:before="183"/>
      <w:ind w:left="1068" w:hanging="321"/>
    </w:pPr>
  </w:style>
  <w:style w:type="paragraph" w:customStyle="1" w:styleId="15">
    <w:name w:val="Table Paragraph"/>
    <w:basedOn w:val="1"/>
    <w:qFormat/>
    <w:uiPriority w:val="1"/>
  </w:style>
  <w:style w:type="character" w:customStyle="1" w:styleId="16">
    <w:name w:val="页眉 Char"/>
    <w:basedOn w:val="10"/>
    <w:link w:val="7"/>
    <w:qFormat/>
    <w:uiPriority w:val="0"/>
    <w:rPr>
      <w:rFonts w:ascii="仿宋" w:hAnsi="仿宋" w:eastAsia="仿宋" w:cs="仿宋"/>
      <w:sz w:val="18"/>
      <w:szCs w:val="18"/>
      <w:lang w:val="zh-CN" w:bidi="zh-CN"/>
    </w:rPr>
  </w:style>
  <w:style w:type="character" w:customStyle="1" w:styleId="17">
    <w:name w:val="页脚 Char"/>
    <w:basedOn w:val="10"/>
    <w:link w:val="6"/>
    <w:qFormat/>
    <w:uiPriority w:val="0"/>
    <w:rPr>
      <w:rFonts w:ascii="仿宋" w:hAnsi="仿宋" w:eastAsia="仿宋" w:cs="仿宋"/>
      <w:sz w:val="18"/>
      <w:szCs w:val="18"/>
      <w:lang w:val="zh-CN" w:bidi="zh-CN"/>
    </w:rPr>
  </w:style>
  <w:style w:type="character" w:customStyle="1" w:styleId="18">
    <w:name w:val="正文文本 Char"/>
    <w:basedOn w:val="10"/>
    <w:link w:val="3"/>
    <w:qFormat/>
    <w:uiPriority w:val="1"/>
    <w:rPr>
      <w:rFonts w:ascii="仿宋" w:hAnsi="仿宋" w:eastAsia="仿宋" w:cs="仿宋"/>
      <w:sz w:val="32"/>
      <w:szCs w:val="32"/>
      <w:lang w:val="zh-CN" w:bidi="zh-CN"/>
    </w:rPr>
  </w:style>
  <w:style w:type="character" w:customStyle="1" w:styleId="19">
    <w:name w:val="日期 Char"/>
    <w:basedOn w:val="10"/>
    <w:link w:val="4"/>
    <w:qFormat/>
    <w:uiPriority w:val="0"/>
    <w:rPr>
      <w:rFonts w:ascii="仿宋" w:hAnsi="仿宋" w:eastAsia="仿宋" w:cs="仿宋"/>
      <w:sz w:val="22"/>
      <w:szCs w:val="22"/>
      <w:lang w:val="zh-CN" w:bidi="zh-CN"/>
    </w:rPr>
  </w:style>
  <w:style w:type="paragraph" w:customStyle="1" w:styleId="20">
    <w:name w:val="列出段落1"/>
    <w:basedOn w:val="1"/>
    <w:qFormat/>
    <w:uiPriority w:val="99"/>
    <w:pPr>
      <w:ind w:firstLine="420" w:firstLineChars="200"/>
    </w:pPr>
    <w:rPr>
      <w:rFonts w:cs="Times New Roman"/>
    </w:rPr>
  </w:style>
  <w:style w:type="character" w:customStyle="1" w:styleId="21">
    <w:name w:val="批注框文本 Char"/>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31619C-EB68-4FB3-AC9A-744C1D1BF0B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552</Words>
  <Characters>3150</Characters>
  <Lines>26</Lines>
  <Paragraphs>7</Paragraphs>
  <TotalTime>13</TotalTime>
  <ScaleCrop>false</ScaleCrop>
  <LinksUpToDate>false</LinksUpToDate>
  <CharactersWithSpaces>3695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2019-07-19T08:21:00Z</dcterms:created>
  <dc:creator>Admin</dc:creator>
  <cp:lastModifiedBy>Administrator</cp:lastModifiedBy>
  <dcterms:modified xsi:type="dcterms:W3CDTF">2019-08-28T00:18:16Z</dcterms:modified>
  <dc:title>合作协议</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WPS 文字</vt:lpwstr>
  </property>
  <property fmtid="{D5CDD505-2E9C-101B-9397-08002B2CF9AE}" pid="4" name="LastSaved">
    <vt:filetime>2018-11-30T00:00:00Z</vt:filetime>
  </property>
  <property fmtid="{D5CDD505-2E9C-101B-9397-08002B2CF9AE}" pid="5" name="KSOProductBuildVer">
    <vt:lpwstr>2052-11.1.0.8894</vt:lpwstr>
  </property>
</Properties>
</file>