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0" w:firstLineChars="100"/>
        <w:jc w:val="center"/>
        <w:rPr>
          <w:rFonts w:hint="eastAsia" w:ascii="微软雅黑" w:hAnsi="微软雅黑" w:eastAsia="微软雅黑"/>
          <w:color w:val="333333"/>
          <w:sz w:val="36"/>
          <w:szCs w:val="36"/>
          <w:lang w:val="en-US" w:eastAsia="zh-CN"/>
        </w:rPr>
      </w:pPr>
      <w:r>
        <w:rPr>
          <w:rFonts w:hint="eastAsia" w:ascii="微软雅黑" w:hAnsi="微软雅黑" w:eastAsia="微软雅黑"/>
          <w:color w:val="333333"/>
          <w:sz w:val="36"/>
          <w:szCs w:val="36"/>
          <w:lang w:val="en-US" w:eastAsia="zh-CN"/>
        </w:rPr>
        <w:t>各单位参与商务部企业信用AAA评级的文件</w:t>
      </w:r>
    </w:p>
    <w:p>
      <w:pPr>
        <w:pStyle w:val="6"/>
        <w:keepNext w:val="0"/>
        <w:keepLines w:val="0"/>
        <w:pageBreakBefore w:val="0"/>
        <w:kinsoku/>
        <w:overflowPunct/>
        <w:topLinePunct w:val="0"/>
        <w:autoSpaceDE/>
        <w:autoSpaceDN/>
        <w:bidi w:val="0"/>
        <w:adjustRightInd/>
        <w:snapToGrid/>
        <w:spacing w:line="360" w:lineRule="auto"/>
        <w:textAlignment w:val="auto"/>
        <w:outlineLvl w:val="9"/>
        <w:rPr>
          <w:rFonts w:hint="eastAsia" w:ascii="宋体" w:hAnsi="宋体" w:eastAsia="宋体" w:cs="宋体"/>
          <w:sz w:val="24"/>
          <w:szCs w:val="24"/>
          <w:lang w:val="en-US" w:eastAsia="zh-CN"/>
        </w:rPr>
      </w:pPr>
    </w:p>
    <w:p>
      <w:pPr>
        <w:pStyle w:val="6"/>
        <w:keepNext w:val="0"/>
        <w:keepLines w:val="0"/>
        <w:pageBreakBefore w:val="0"/>
        <w:kinsoku/>
        <w:overflowPunct/>
        <w:topLinePunct w:val="0"/>
        <w:autoSpaceDE/>
        <w:autoSpaceDN/>
        <w:bidi w:val="0"/>
        <w:adjustRightInd/>
        <w:snapToGrid/>
        <w:spacing w:line="360" w:lineRule="auto"/>
        <w:textAlignment w:val="auto"/>
        <w:outlineLvl w:val="9"/>
        <w:rPr>
          <w:rFonts w:hint="eastAsia" w:ascii="宋体" w:hAnsi="宋体" w:eastAsia="宋体" w:cs="宋体"/>
          <w:sz w:val="24"/>
          <w:szCs w:val="24"/>
          <w:u w:val="single"/>
          <w:lang w:val="en-US" w:eastAsia="zh-CN"/>
        </w:rPr>
      </w:pPr>
      <w:r>
        <w:rPr>
          <w:rFonts w:hint="eastAsia" w:ascii="宋体" w:hAnsi="宋体" w:eastAsia="宋体" w:cs="宋体"/>
          <w:sz w:val="24"/>
          <w:szCs w:val="24"/>
          <w:lang w:val="en-US" w:eastAsia="zh-CN"/>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公司领导：</w:t>
      </w:r>
    </w:p>
    <w:p>
      <w:pPr>
        <w:pStyle w:val="6"/>
        <w:keepNext w:val="0"/>
        <w:keepLines w:val="0"/>
        <w:pageBreakBefore w:val="0"/>
        <w:kinsoku/>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随着改革开放成功走过40年，我国正处于深化经济体制改革和完善社会主义市场经济体制的攻坚期。现代市场经济是信用经济，建立健全社会信用体系，是整顿和规范市场经济秩序、改善市场信用环境、降低交易成本、防范经济风险的重要举措，是减少政府对经济的行政干预、完善社会主义市场经济体制的迫切要求。</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国家在2014-2020的社会信用体系规划纲要中明确指出：“社会信用体系建设的主要目标是：到2020年，社会信用基础性法律法规和标准体系基本建立，以信用信息资源共享为基础的覆盖全社会的征信系统基本建成，信用监管体制基本健全，信用服务市场体系比较完善，守信激励和失信惩戒机制全面发挥作用。政务诚信、商务诚信、社会诚信和司法公信建设取得明显进展，市场和社会满意度大幅提高。全社会诚信意识普遍增强，经济社会发展信用环境明显改善，经济社会秩序显著好转。”</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我国的市场经济目前正处于信用交易阶段，</w:t>
      </w:r>
      <w:r>
        <w:rPr>
          <w:rFonts w:hint="eastAsia" w:ascii="宋体" w:hAnsi="宋体" w:eastAsia="宋体" w:cs="宋体"/>
          <w:sz w:val="24"/>
          <w:szCs w:val="24"/>
        </w:rPr>
        <w:t>50%以上</w:t>
      </w:r>
      <w:r>
        <w:rPr>
          <w:rFonts w:hint="eastAsia" w:ascii="宋体" w:hAnsi="宋体" w:eastAsia="宋体" w:cs="宋体"/>
          <w:sz w:val="24"/>
          <w:szCs w:val="24"/>
          <w:lang w:eastAsia="zh-CN"/>
        </w:rPr>
        <w:t>的企业间</w:t>
      </w:r>
      <w:r>
        <w:rPr>
          <w:rFonts w:hint="eastAsia" w:ascii="宋体" w:hAnsi="宋体" w:eastAsia="宋体" w:cs="宋体"/>
          <w:sz w:val="24"/>
          <w:szCs w:val="24"/>
        </w:rPr>
        <w:t>交易是以信用交易的方式来完成的。也正式标志着国家经济交易由现金交易转变为信用</w:t>
      </w:r>
      <w:r>
        <w:rPr>
          <w:rFonts w:hint="eastAsia" w:ascii="宋体" w:hAnsi="宋体" w:eastAsia="宋体" w:cs="宋体"/>
          <w:sz w:val="24"/>
          <w:szCs w:val="24"/>
          <w:lang w:val="en-US" w:eastAsia="zh-CN"/>
        </w:rPr>
        <w:t>交易</w:t>
      </w:r>
      <w:r>
        <w:rPr>
          <w:rFonts w:hint="eastAsia" w:ascii="宋体" w:hAnsi="宋体" w:eastAsia="宋体" w:cs="宋体"/>
          <w:sz w:val="24"/>
          <w:szCs w:val="24"/>
        </w:rPr>
        <w:t>。一个企业</w:t>
      </w:r>
      <w:r>
        <w:rPr>
          <w:rFonts w:hint="eastAsia" w:ascii="宋体" w:hAnsi="宋体" w:eastAsia="宋体" w:cs="宋体"/>
          <w:sz w:val="24"/>
          <w:szCs w:val="24"/>
          <w:lang w:eastAsia="zh-CN"/>
        </w:rPr>
        <w:t>只</w:t>
      </w:r>
      <w:r>
        <w:rPr>
          <w:rFonts w:hint="eastAsia" w:ascii="宋体" w:hAnsi="宋体" w:eastAsia="宋体" w:cs="宋体"/>
          <w:sz w:val="24"/>
          <w:szCs w:val="24"/>
        </w:rPr>
        <w:t>有诚信才能在社会立足、取得人们的信任。但是一些企业为了追求利益最大化，拼命搞所谓的“原始积累”，甚至彰明较著的造假。</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为了更好</w:t>
      </w:r>
      <w:r>
        <w:rPr>
          <w:rFonts w:hint="eastAsia" w:ascii="宋体" w:hAnsi="宋体" w:eastAsia="宋体" w:cs="宋体"/>
          <w:sz w:val="24"/>
          <w:szCs w:val="24"/>
          <w:lang w:eastAsia="zh-CN"/>
        </w:rPr>
        <w:t>地通过大数据来监管</w:t>
      </w:r>
      <w:r>
        <w:rPr>
          <w:rFonts w:hint="eastAsia" w:ascii="宋体" w:hAnsi="宋体" w:eastAsia="宋体" w:cs="宋体"/>
          <w:sz w:val="24"/>
          <w:szCs w:val="24"/>
        </w:rPr>
        <w:t>经济市场的</w:t>
      </w:r>
      <w:r>
        <w:rPr>
          <w:rFonts w:hint="eastAsia" w:ascii="宋体" w:hAnsi="宋体" w:eastAsia="宋体" w:cs="宋体"/>
          <w:sz w:val="24"/>
          <w:szCs w:val="24"/>
          <w:lang w:eastAsia="zh-CN"/>
        </w:rPr>
        <w:t>所有失信行为，</w:t>
      </w:r>
      <w:r>
        <w:rPr>
          <w:rFonts w:hint="eastAsia" w:ascii="宋体" w:hAnsi="宋体" w:eastAsia="宋体" w:cs="宋体"/>
          <w:sz w:val="24"/>
          <w:szCs w:val="24"/>
        </w:rPr>
        <w:t>也为</w:t>
      </w:r>
      <w:r>
        <w:rPr>
          <w:rFonts w:hint="eastAsia" w:ascii="宋体" w:hAnsi="宋体" w:eastAsia="宋体" w:cs="宋体"/>
          <w:sz w:val="24"/>
          <w:szCs w:val="24"/>
          <w:lang w:eastAsia="zh-CN"/>
        </w:rPr>
        <w:t>了让企业将诚信文化的建设融入企业文化，打造整个社会信用体系生态圈的良好氛围与意识</w:t>
      </w:r>
      <w:r>
        <w:rPr>
          <w:rFonts w:hint="eastAsia" w:ascii="宋体" w:hAnsi="宋体" w:eastAsia="宋体" w:cs="宋体"/>
          <w:sz w:val="24"/>
          <w:szCs w:val="24"/>
        </w:rPr>
        <w:t>。</w:t>
      </w:r>
      <w:r>
        <w:rPr>
          <w:rFonts w:hint="eastAsia" w:ascii="宋体" w:hAnsi="宋体" w:eastAsia="宋体" w:cs="宋体"/>
          <w:sz w:val="24"/>
          <w:szCs w:val="24"/>
          <w:lang w:eastAsia="zh-CN"/>
        </w:rPr>
        <w:t>国家正大力通过各种渠道及方式宣传践行诚信建设万里行活动。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rPr>
        <w:t>商务部</w:t>
      </w:r>
      <w:r>
        <w:rPr>
          <w:rFonts w:hint="eastAsia" w:ascii="宋体" w:hAnsi="宋体" w:eastAsia="宋体" w:cs="宋体"/>
          <w:color w:val="000000"/>
          <w:kern w:val="0"/>
          <w:sz w:val="24"/>
          <w:szCs w:val="24"/>
          <w:lang w:val="en-US" w:eastAsia="zh-CN"/>
        </w:rPr>
        <w:t>AAA</w:t>
      </w:r>
      <w:r>
        <w:rPr>
          <w:rFonts w:hint="eastAsia" w:ascii="宋体" w:hAnsi="宋体" w:eastAsia="宋体" w:cs="宋体"/>
          <w:color w:val="000000"/>
          <w:kern w:val="0"/>
          <w:sz w:val="24"/>
          <w:szCs w:val="24"/>
        </w:rPr>
        <w:t>信用评级作为市场经济下的发展产物，对各类主体，特别是在市场经济中占主导的企业的履约能力和信用程度，给出综合分析和测评。企业做了</w:t>
      </w:r>
      <w:r>
        <w:rPr>
          <w:rFonts w:hint="eastAsia" w:ascii="宋体" w:hAnsi="宋体" w:eastAsia="宋体" w:cs="宋体"/>
          <w:color w:val="000000"/>
          <w:kern w:val="0"/>
          <w:sz w:val="24"/>
          <w:szCs w:val="24"/>
          <w:lang w:val="en-US" w:eastAsia="zh-CN"/>
        </w:rPr>
        <w:t>AAA</w:t>
      </w:r>
      <w:r>
        <w:rPr>
          <w:rFonts w:hint="eastAsia" w:ascii="宋体" w:hAnsi="宋体" w:eastAsia="宋体" w:cs="宋体"/>
          <w:color w:val="000000"/>
          <w:kern w:val="0"/>
          <w:sz w:val="24"/>
          <w:szCs w:val="24"/>
        </w:rPr>
        <w:t>信用评级对于企业</w:t>
      </w:r>
      <w:r>
        <w:rPr>
          <w:rFonts w:hint="eastAsia" w:ascii="宋体" w:hAnsi="宋体" w:eastAsia="宋体" w:cs="宋体"/>
          <w:color w:val="000000"/>
          <w:kern w:val="0"/>
          <w:sz w:val="24"/>
          <w:szCs w:val="24"/>
          <w:lang w:val="en-US" w:eastAsia="zh-CN"/>
        </w:rPr>
        <w:t>本身的好处及实际益处如下：</w:t>
      </w:r>
    </w:p>
    <w:p>
      <w:pPr>
        <w:keepNext w:val="0"/>
        <w:keepLines w:val="0"/>
        <w:pageBreakBefore w:val="0"/>
        <w:widowControl/>
        <w:kinsoku/>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rPr>
      </w:pP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000000"/>
          <w:kern w:val="0"/>
          <w:sz w:val="24"/>
          <w:szCs w:val="24"/>
          <w:lang w:eastAsia="zh-CN"/>
        </w:rPr>
      </w:pPr>
      <w:r>
        <w:rPr>
          <w:rFonts w:hint="eastAsia" w:ascii="宋体" w:hAnsi="宋体" w:eastAsia="宋体" w:cs="宋体"/>
          <w:b/>
          <w:bCs/>
          <w:color w:val="000000"/>
          <w:kern w:val="0"/>
          <w:sz w:val="24"/>
          <w:szCs w:val="24"/>
        </w:rPr>
        <w:t>企业信用评级的定义</w:t>
      </w:r>
      <w:r>
        <w:rPr>
          <w:rFonts w:hint="eastAsia" w:ascii="宋体" w:hAnsi="宋体" w:eastAsia="宋体" w:cs="宋体"/>
          <w:b/>
          <w:bCs/>
          <w:color w:val="000000"/>
          <w:kern w:val="0"/>
          <w:sz w:val="24"/>
          <w:szCs w:val="24"/>
          <w:lang w:eastAsia="zh-CN"/>
        </w:rPr>
        <w:t>：</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000000"/>
          <w:kern w:val="0"/>
          <w:sz w:val="24"/>
          <w:szCs w:val="24"/>
          <w:lang w:eastAsia="zh-CN"/>
        </w:rPr>
      </w:pPr>
    </w:p>
    <w:p>
      <w:pPr>
        <w:keepNext w:val="0"/>
        <w:keepLines w:val="0"/>
        <w:pageBreakBefore w:val="0"/>
        <w:widowControl/>
        <w:kinsoku/>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企业信用评级是企业信用评级是评级机构按照一定的方法和程序在由商务部、国资委联合推行的行业信用等级评价工作，是由专业的对企业进行全面了解、考察调研和分析的基础上，做出有关其信用行为的可靠性、安全性程度的评价，并以专用符号或简单的文字形式来表达的一种信用服务，企业信用评级能够客观公正地反映受评对象按合同约定如期履行债务或其他义务的能力和意愿。</w:t>
      </w:r>
      <w:r>
        <w:rPr>
          <w:rFonts w:hint="eastAsia" w:ascii="宋体" w:hAnsi="宋体" w:eastAsia="宋体" w:cs="宋体"/>
          <w:color w:val="000000"/>
          <w:kern w:val="0"/>
          <w:sz w:val="24"/>
          <w:szCs w:val="24"/>
        </w:rPr>
        <w:br w:type="textWrapping"/>
      </w:r>
      <w:r>
        <w:rPr>
          <w:rFonts w:hint="eastAsia" w:ascii="宋体" w:hAnsi="宋体" w:eastAsia="宋体" w:cs="宋体"/>
          <w:color w:val="000000"/>
          <w:kern w:val="0"/>
          <w:sz w:val="24"/>
          <w:szCs w:val="24"/>
        </w:rPr>
        <w:t> </w:t>
      </w:r>
    </w:p>
    <w:p>
      <w:pPr>
        <w:keepNext w:val="0"/>
        <w:keepLines w:val="0"/>
        <w:pageBreakBefore w:val="0"/>
        <w:widowControl/>
        <w:kinsoku/>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商务部AAA级信用企业评价对企业的好处：</w:t>
      </w:r>
    </w:p>
    <w:p>
      <w:pPr>
        <w:keepNext w:val="0"/>
        <w:keepLines w:val="0"/>
        <w:pageBreakBefore w:val="0"/>
        <w:widowControl/>
        <w:kinsoku/>
        <w:overflowPunct/>
        <w:topLinePunct w:val="0"/>
        <w:autoSpaceDE/>
        <w:autoSpaceDN/>
        <w:bidi w:val="0"/>
        <w:adjustRightInd/>
        <w:snapToGrid/>
        <w:spacing w:line="360" w:lineRule="auto"/>
        <w:ind w:firstLine="480"/>
        <w:jc w:val="left"/>
        <w:textAlignment w:val="auto"/>
        <w:outlineLvl w:val="9"/>
        <w:rPr>
          <w:rFonts w:hint="eastAsia" w:ascii="宋体" w:hAnsi="宋体" w:eastAsia="宋体" w:cs="宋体"/>
          <w:b/>
          <w:bCs/>
          <w:color w:val="000000"/>
          <w:kern w:val="0"/>
          <w:sz w:val="24"/>
          <w:szCs w:val="24"/>
        </w:rPr>
      </w:pP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1、品牌资质提升</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提升企业资质树立，获得国家政府的认可，颁发商务部统一编号的牌匾和证书。</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2、成交率提升：是企业履约能力、投标信誉、综合实力与竞争力的体现，在市场交易活动中提高成交率。</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3、融资货款优惠：争取机构风投、融资担保、银行放贷等提供的国家级信用评级证明。</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4、商务合作使用：在企业招商、政府投标、签约合作等出示的信用资质。AAA信用企业资质在招投标中最高值</w:t>
      </w: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分</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5、项目支持：银行融资贷款、申报政府项目、国家无偿资助时有一定加分。</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6、政策扶持争取：面向政府扶持基金、政府机构监管展示的企业品质证明</w:t>
      </w:r>
      <w:r>
        <w:rPr>
          <w:rFonts w:hint="eastAsia" w:ascii="宋体" w:hAnsi="宋体" w:eastAsia="宋体" w:cs="宋体"/>
          <w:color w:val="000000"/>
          <w:kern w:val="0"/>
          <w:sz w:val="24"/>
          <w:szCs w:val="24"/>
          <w:lang w:eastAsia="zh-CN"/>
        </w:rPr>
        <w:t>。</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7、政府项目加分：政府项目申报前提条件之一</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项目审批以信用为基础的新型监管机制</w:t>
      </w:r>
      <w:r>
        <w:rPr>
          <w:rFonts w:hint="eastAsia" w:ascii="宋体" w:hAnsi="宋体" w:eastAsia="宋体" w:cs="宋体"/>
          <w:color w:val="000000"/>
          <w:kern w:val="0"/>
          <w:sz w:val="24"/>
          <w:szCs w:val="24"/>
        </w:rPr>
        <w:t>。</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8、供销采买依据：与交易伙伴赊销、拓展上下游供采时可做为的权威信用标准。</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9、 国际贸易征信：在国际合作与贸易时，可出示的企业国家级信用证明。</w:t>
      </w:r>
    </w:p>
    <w:p>
      <w:pPr>
        <w:keepNext w:val="0"/>
        <w:keepLines w:val="0"/>
        <w:pageBreakBefore w:val="0"/>
        <w:widowControl/>
        <w:kinsoku/>
        <w:overflowPunct/>
        <w:topLinePunct w:val="0"/>
        <w:autoSpaceDE/>
        <w:autoSpaceDN/>
        <w:bidi w:val="0"/>
        <w:adjustRightInd/>
        <w:snapToGrid/>
        <w:spacing w:line="360" w:lineRule="auto"/>
        <w:jc w:val="left"/>
        <w:textAlignment w:val="auto"/>
        <w:outlineLvl w:val="9"/>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　　10、在腾讯网、网易、中国人民网、和讯网、慧聪网五大媒体中对企业获得该评级的信息进行新闻宣传</w:t>
      </w:r>
      <w:r>
        <w:rPr>
          <w:rFonts w:hint="eastAsia" w:ascii="宋体" w:hAnsi="宋体" w:eastAsia="宋体" w:cs="宋体"/>
          <w:color w:val="000000"/>
          <w:kern w:val="0"/>
          <w:sz w:val="24"/>
          <w:szCs w:val="24"/>
          <w:lang w:eastAsia="zh-CN"/>
        </w:rPr>
        <w:t>。</w:t>
      </w:r>
    </w:p>
    <w:p>
      <w:pPr>
        <w:keepNext w:val="0"/>
        <w:keepLines w:val="0"/>
        <w:pageBreakBefore w:val="0"/>
        <w:widowControl/>
        <w:kinsoku/>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信用对于一个企业不管是管理还是日常运营都是至关重要的，商务部中国国际电子商务中心做为国家唯一部属信用第三方机构、</w:t>
      </w:r>
      <w:r>
        <w:rPr>
          <w:rFonts w:hint="eastAsia" w:ascii="宋体" w:hAnsi="宋体" w:eastAsia="宋体" w:cs="宋体"/>
          <w:sz w:val="24"/>
          <w:szCs w:val="24"/>
        </w:rPr>
        <w:t>发改委“双公示”第三方评估合作机构</w:t>
      </w:r>
      <w:r>
        <w:rPr>
          <w:rFonts w:hint="eastAsia" w:ascii="宋体" w:hAnsi="宋体" w:eastAsia="宋体" w:cs="宋体"/>
          <w:sz w:val="24"/>
          <w:szCs w:val="24"/>
          <w:lang w:eastAsia="zh-CN"/>
        </w:rPr>
        <w:t>、</w:t>
      </w:r>
      <w:r>
        <w:rPr>
          <w:rFonts w:hint="eastAsia" w:ascii="宋体" w:hAnsi="宋体" w:eastAsia="宋体" w:cs="宋体"/>
          <w:sz w:val="24"/>
          <w:szCs w:val="24"/>
        </w:rPr>
        <w:t>国家信息中心数据共享机构</w:t>
      </w:r>
      <w:r>
        <w:rPr>
          <w:rFonts w:hint="eastAsia" w:ascii="宋体" w:hAnsi="宋体" w:eastAsia="宋体" w:cs="宋体"/>
          <w:color w:val="000000"/>
          <w:kern w:val="0"/>
          <w:sz w:val="24"/>
          <w:szCs w:val="24"/>
          <w:lang w:val="en-US" w:eastAsia="zh-CN"/>
        </w:rPr>
        <w:t>，在全民大数据监管背景下，必须承担起相应责任。</w:t>
      </w:r>
      <w:r>
        <w:rPr>
          <w:rFonts w:hint="eastAsia" w:ascii="宋体" w:hAnsi="宋体" w:eastAsia="宋体" w:cs="宋体"/>
          <w:i w:val="0"/>
          <w:caps w:val="0"/>
          <w:color w:val="000000"/>
          <w:spacing w:val="0"/>
          <w:sz w:val="24"/>
          <w:szCs w:val="24"/>
        </w:rPr>
        <w:t>目前国家已将企业信用纳入到包括招投标、政府采购、行政审批、市场准入、评先评优、贷款融资，是招标竞标中的重点商务考评依据（加分项），同时也是政府为企业做</w:t>
      </w:r>
      <w:r>
        <w:rPr>
          <w:rFonts w:hint="eastAsia" w:ascii="宋体" w:hAnsi="宋体" w:eastAsia="宋体" w:cs="宋体"/>
          <w:i w:val="0"/>
          <w:caps w:val="0"/>
          <w:color w:val="000000"/>
          <w:spacing w:val="0"/>
          <w:sz w:val="24"/>
          <w:szCs w:val="24"/>
          <w:lang w:val="en-US" w:eastAsia="zh-CN"/>
        </w:rPr>
        <w:t>为</w:t>
      </w:r>
      <w:r>
        <w:rPr>
          <w:rFonts w:hint="eastAsia" w:ascii="宋体" w:hAnsi="宋体" w:eastAsia="宋体" w:cs="宋体"/>
          <w:i w:val="0"/>
          <w:caps w:val="0"/>
          <w:color w:val="000000"/>
          <w:spacing w:val="0"/>
          <w:sz w:val="24"/>
          <w:szCs w:val="24"/>
        </w:rPr>
        <w:t>信用官方背书</w:t>
      </w:r>
      <w:r>
        <w:rPr>
          <w:rFonts w:hint="eastAsia" w:ascii="宋体" w:hAnsi="宋体" w:eastAsia="宋体" w:cs="宋体"/>
          <w:i w:val="0"/>
          <w:caps w:val="0"/>
          <w:color w:val="000000"/>
          <w:spacing w:val="0"/>
          <w:sz w:val="24"/>
          <w:szCs w:val="24"/>
          <w:lang w:val="en-US" w:eastAsia="zh-CN"/>
        </w:rPr>
        <w:t>的途径</w:t>
      </w:r>
      <w:r>
        <w:rPr>
          <w:rFonts w:hint="eastAsia" w:ascii="宋体" w:hAnsi="宋体" w:eastAsia="宋体" w:cs="宋体"/>
          <w:i w:val="0"/>
          <w:caps w:val="0"/>
          <w:color w:val="000000"/>
          <w:spacing w:val="0"/>
          <w:sz w:val="24"/>
          <w:szCs w:val="24"/>
        </w:rPr>
        <w:t>（商务部主办权威平台双公示--企业官方品牌宣传、市场推广的途径），</w:t>
      </w:r>
      <w:r>
        <w:rPr>
          <w:rFonts w:hint="eastAsia" w:ascii="宋体" w:hAnsi="宋体" w:eastAsia="宋体" w:cs="宋体"/>
          <w:i w:val="0"/>
          <w:caps w:val="0"/>
          <w:color w:val="000000"/>
          <w:spacing w:val="0"/>
          <w:sz w:val="24"/>
          <w:szCs w:val="24"/>
          <w:lang w:val="en-US" w:eastAsia="zh-CN"/>
        </w:rPr>
        <w:t>所以企业参与信用评级势在必行。</w:t>
      </w:r>
    </w:p>
    <w:p>
      <w:pPr>
        <w:keepNext w:val="0"/>
        <w:keepLines w:val="0"/>
        <w:pageBreakBefore w:val="0"/>
        <w:widowControl/>
        <w:kinsoku/>
        <w:wordWrap w:val="0"/>
        <w:overflowPunct/>
        <w:topLinePunct w:val="0"/>
        <w:autoSpaceDE/>
        <w:autoSpaceDN/>
        <w:bidi w:val="0"/>
        <w:adjustRightInd/>
        <w:snapToGrid/>
        <w:spacing w:line="360" w:lineRule="auto"/>
        <w:ind w:firstLine="1446" w:firstLineChars="600"/>
        <w:jc w:val="both"/>
        <w:textAlignment w:val="auto"/>
        <w:outlineLvl w:val="9"/>
        <w:rPr>
          <w:rFonts w:hint="eastAsia" w:ascii="宋体" w:hAnsi="宋体" w:eastAsia="宋体" w:cs="宋体"/>
          <w:b/>
          <w:bCs/>
          <w:color w:val="000000"/>
          <w:kern w:val="0"/>
          <w:sz w:val="24"/>
          <w:szCs w:val="24"/>
          <w:lang w:val="en-US" w:eastAsia="zh-CN"/>
        </w:rPr>
      </w:pPr>
    </w:p>
    <w:p>
      <w:pPr>
        <w:keepNext w:val="0"/>
        <w:keepLines w:val="0"/>
        <w:pageBreakBefore w:val="0"/>
        <w:widowControl/>
        <w:kinsoku/>
        <w:wordWrap w:val="0"/>
        <w:overflowPunct/>
        <w:topLinePunct w:val="0"/>
        <w:autoSpaceDE/>
        <w:autoSpaceDN/>
        <w:bidi w:val="0"/>
        <w:adjustRightInd/>
        <w:snapToGrid/>
        <w:spacing w:line="360" w:lineRule="auto"/>
        <w:ind w:firstLine="1205" w:firstLineChars="500"/>
        <w:jc w:val="center"/>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60" w:lineRule="auto"/>
        <w:ind w:firstLine="1205" w:firstLineChars="500"/>
        <w:jc w:val="center"/>
        <w:textAlignment w:val="auto"/>
        <w:outlineLvl w:val="9"/>
        <w:rPr>
          <w:rFonts w:hint="eastAsia" w:ascii="宋体" w:hAnsi="宋体" w:eastAsia="宋体" w:cs="宋体"/>
          <w:b/>
          <w:bCs/>
          <w:color w:val="000000"/>
          <w:kern w:val="0"/>
          <w:sz w:val="24"/>
          <w:szCs w:val="24"/>
          <w:lang w:val="en-US" w:eastAsia="zh-CN"/>
        </w:rPr>
      </w:pPr>
    </w:p>
    <w:p>
      <w:pPr>
        <w:keepNext w:val="0"/>
        <w:keepLines w:val="0"/>
        <w:pageBreakBefore w:val="0"/>
        <w:widowControl/>
        <w:kinsoku/>
        <w:wordWrap w:val="0"/>
        <w:overflowPunct/>
        <w:topLinePunct w:val="0"/>
        <w:autoSpaceDE/>
        <w:autoSpaceDN/>
        <w:bidi w:val="0"/>
        <w:adjustRightInd/>
        <w:snapToGrid/>
        <w:spacing w:line="360" w:lineRule="auto"/>
        <w:ind w:firstLine="1205" w:firstLineChars="500"/>
        <w:jc w:val="center"/>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60" w:lineRule="auto"/>
        <w:ind w:firstLine="1205" w:firstLineChars="500"/>
        <w:jc w:val="center"/>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        </w:t>
      </w:r>
    </w:p>
    <w:p>
      <w:pPr>
        <w:keepNext w:val="0"/>
        <w:keepLines w:val="0"/>
        <w:pageBreakBefore w:val="0"/>
        <w:widowControl/>
        <w:kinsoku/>
        <w:wordWrap w:val="0"/>
        <w:overflowPunct/>
        <w:topLinePunct w:val="0"/>
        <w:autoSpaceDE/>
        <w:autoSpaceDN/>
        <w:bidi w:val="0"/>
        <w:adjustRightInd/>
        <w:snapToGrid/>
        <w:spacing w:line="360" w:lineRule="auto"/>
        <w:ind w:firstLine="1205" w:firstLineChars="500"/>
        <w:jc w:val="center"/>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                         中国国际电子商务中心</w:t>
      </w:r>
    </w:p>
    <w:p>
      <w:pPr>
        <w:keepNext w:val="0"/>
        <w:keepLines w:val="0"/>
        <w:pageBreakBefore w:val="0"/>
        <w:widowControl/>
        <w:kinsoku/>
        <w:wordWrap w:val="0"/>
        <w:overflowPunct/>
        <w:topLinePunct w:val="0"/>
        <w:autoSpaceDE/>
        <w:autoSpaceDN/>
        <w:bidi w:val="0"/>
        <w:adjustRightInd/>
        <w:snapToGrid/>
        <w:spacing w:line="360" w:lineRule="auto"/>
        <w:jc w:val="right"/>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 xml:space="preserve">  北京国富泰信用管理有限公司   </w:t>
      </w:r>
    </w:p>
    <w:p>
      <w:pPr>
        <w:keepNext w:val="0"/>
        <w:keepLines w:val="0"/>
        <w:pageBreakBefore w:val="0"/>
        <w:widowControl/>
        <w:kinsoku/>
        <w:wordWrap w:val="0"/>
        <w:overflowPunct/>
        <w:topLinePunct w:val="0"/>
        <w:autoSpaceDE/>
        <w:autoSpaceDN/>
        <w:bidi w:val="0"/>
        <w:adjustRightInd/>
        <w:snapToGrid/>
        <w:spacing w:line="360" w:lineRule="auto"/>
        <w:jc w:val="center"/>
        <w:textAlignment w:val="auto"/>
        <w:outlineLvl w:val="9"/>
        <w:rPr>
          <w:rFonts w:hint="eastAsia" w:ascii="黑体" w:hAnsi="黑体" w:eastAsia="黑体"/>
          <w:b/>
          <w:kern w:val="0"/>
          <w:sz w:val="32"/>
          <w:szCs w:val="32"/>
        </w:rPr>
      </w:pPr>
      <w:r>
        <w:rPr>
          <w:rFonts w:hint="eastAsia" w:ascii="宋体" w:hAnsi="宋体" w:eastAsia="宋体" w:cs="宋体"/>
          <w:b/>
          <w:bCs/>
          <w:color w:val="000000"/>
          <w:kern w:val="0"/>
          <w:sz w:val="24"/>
          <w:szCs w:val="24"/>
          <w:lang w:val="en-US" w:eastAsia="zh-CN"/>
        </w:rPr>
        <w:t xml:space="preserve">                                 </w:t>
      </w:r>
    </w:p>
    <w:p>
      <w:pPr>
        <w:jc w:val="center"/>
        <w:rPr>
          <w:rFonts w:hint="eastAsia" w:ascii="黑体" w:hAnsi="黑体" w:eastAsia="黑体"/>
          <w:b/>
          <w:kern w:val="0"/>
          <w:sz w:val="32"/>
          <w:szCs w:val="32"/>
        </w:rPr>
      </w:pPr>
    </w:p>
    <w:p>
      <w:pPr>
        <w:jc w:val="center"/>
        <w:rPr>
          <w:rFonts w:hint="eastAsia" w:ascii="黑体" w:hAnsi="黑体" w:eastAsia="黑体"/>
          <w:b/>
          <w:kern w:val="0"/>
          <w:sz w:val="32"/>
          <w:szCs w:val="32"/>
        </w:rPr>
      </w:pPr>
    </w:p>
    <w:p>
      <w:pPr>
        <w:jc w:val="center"/>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黑体" w:hAnsi="黑体" w:eastAsia="黑体"/>
          <w:b/>
          <w:kern w:val="0"/>
          <w:sz w:val="32"/>
          <w:szCs w:val="32"/>
        </w:rPr>
      </w:pPr>
    </w:p>
    <w:p>
      <w:pPr>
        <w:jc w:val="both"/>
        <w:rPr>
          <w:rFonts w:hint="eastAsia" w:ascii="微软雅黑" w:hAnsi="微软雅黑" w:eastAsia="微软雅黑" w:cs="微软雅黑"/>
          <w:b/>
          <w:kern w:val="0"/>
          <w:sz w:val="32"/>
          <w:szCs w:val="32"/>
        </w:rPr>
      </w:pPr>
    </w:p>
    <w:p>
      <w:pPr>
        <w:jc w:val="center"/>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kern w:val="0"/>
          <w:sz w:val="32"/>
          <w:szCs w:val="32"/>
        </w:rPr>
        <w:t>商</w:t>
      </w:r>
      <w:r>
        <w:rPr>
          <w:rFonts w:hint="eastAsia" w:ascii="微软雅黑" w:hAnsi="微软雅黑" w:eastAsia="微软雅黑" w:cs="微软雅黑"/>
          <w:b/>
          <w:sz w:val="32"/>
          <w:szCs w:val="32"/>
        </w:rPr>
        <w:t>务部中国国际电子商务中心</w:t>
      </w:r>
      <w:r>
        <w:rPr>
          <w:rFonts w:hint="eastAsia" w:ascii="微软雅黑" w:hAnsi="微软雅黑" w:eastAsia="微软雅黑" w:cs="微软雅黑"/>
          <w:b/>
          <w:sz w:val="32"/>
          <w:szCs w:val="32"/>
          <w:lang w:eastAsia="zh-CN"/>
        </w:rPr>
        <w:t>、</w:t>
      </w:r>
      <w:r>
        <w:rPr>
          <w:rFonts w:hint="eastAsia" w:ascii="微软雅黑" w:hAnsi="微软雅黑" w:eastAsia="微软雅黑" w:cs="微软雅黑"/>
          <w:b/>
          <w:sz w:val="32"/>
          <w:szCs w:val="32"/>
        </w:rPr>
        <w:t>北京国富泰信用管理有限公司</w:t>
      </w:r>
      <w:r>
        <w:rPr>
          <w:rFonts w:hint="eastAsia" w:ascii="微软雅黑" w:hAnsi="微软雅黑" w:eastAsia="微软雅黑" w:cs="微软雅黑"/>
          <w:b/>
          <w:sz w:val="32"/>
          <w:szCs w:val="32"/>
          <w:lang w:val="en-US" w:eastAsia="zh-CN"/>
        </w:rPr>
        <w:t>与其他评级机构区别</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一、发证机构简介：</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北京国富泰信用管理有限公司成立于2001年，注册资金1000万元，是商务部中国国际电子商务中心的全资下属子公司，是商务部商务领域信用体系建设领导小组成员单位，是发改委行业信用体系建设和信用监管合作机构，是发改委“双公示”第三方评估合作机构，是国家信息中心数据共享机构，是中关村信促会、朝阳文创园信用服务合作机构，唯一纯国有部属第三方企业信用服务机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且拥有央行颁发的征信牌照，</w:t>
      </w:r>
      <w:r>
        <w:rPr>
          <w:rFonts w:hint="eastAsia" w:ascii="宋体" w:hAnsi="宋体" w:eastAsia="宋体" w:cs="宋体"/>
          <w:sz w:val="24"/>
          <w:szCs w:val="24"/>
        </w:rPr>
        <w:t>是“信用中国”重点推荐信用服务机构之一。</w:t>
      </w:r>
    </w:p>
    <w:p>
      <w:pPr>
        <w:pStyle w:val="6"/>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商务部直属事业单位（国家唯一部属第三方信用机构）</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pPr>
      <w:r>
        <w:drawing>
          <wp:inline distT="0" distB="0" distL="114300" distR="114300">
            <wp:extent cx="5267960" cy="2597150"/>
            <wp:effectExtent l="0" t="0" r="8890"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7960" cy="2597150"/>
                    </a:xfrm>
                    <a:prstGeom prst="rect">
                      <a:avLst/>
                    </a:prstGeom>
                    <a:noFill/>
                    <a:ln>
                      <a:noFill/>
                    </a:ln>
                  </pic:spPr>
                </pic:pic>
              </a:graphicData>
            </a:graphic>
          </wp:inline>
        </w:drawing>
      </w:r>
      <w:r>
        <w:drawing>
          <wp:inline distT="0" distB="0" distL="114300" distR="114300">
            <wp:extent cx="5262880" cy="2730500"/>
            <wp:effectExtent l="0" t="0" r="1397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2880" cy="273050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商务部指定信用服务机构</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lang w:val="en-US" w:eastAsia="zh-CN"/>
        </w:rPr>
      </w:pPr>
      <w:r>
        <w:drawing>
          <wp:inline distT="0" distB="0" distL="114300" distR="114300">
            <wp:extent cx="5273040" cy="3636645"/>
            <wp:effectExtent l="0" t="0" r="3810" b="190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5273040" cy="3636645"/>
                    </a:xfrm>
                    <a:prstGeom prst="rect">
                      <a:avLst/>
                    </a:prstGeom>
                    <a:noFill/>
                    <a:ln w="9525">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rPr>
      </w:pPr>
      <w:r>
        <w:rPr>
          <w:rFonts w:hint="eastAsia" w:ascii="宋体" w:hAnsi="宋体" w:eastAsia="宋体" w:cs="宋体"/>
          <w:b/>
          <w:sz w:val="24"/>
          <w:szCs w:val="24"/>
        </w:rPr>
        <w:t>“信用中国”信用服务推荐</w:t>
      </w:r>
      <w:r>
        <w:rPr>
          <w:rFonts w:hint="eastAsia" w:ascii="宋体" w:hAnsi="宋体" w:eastAsia="宋体" w:cs="宋体"/>
          <w:b/>
          <w:sz w:val="24"/>
          <w:szCs w:val="24"/>
          <w:lang w:val="en-US" w:eastAsia="zh-CN"/>
        </w:rPr>
        <w:t>唯一一家专注商务信用领域评审</w:t>
      </w:r>
      <w:r>
        <w:rPr>
          <w:rFonts w:hint="eastAsia" w:ascii="宋体" w:hAnsi="宋体" w:eastAsia="宋体" w:cs="宋体"/>
          <w:b/>
          <w:sz w:val="24"/>
          <w:szCs w:val="24"/>
        </w:rPr>
        <w:t>机构</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rPr>
      </w:pPr>
    </w:p>
    <w:p>
      <w:pPr>
        <w:pStyle w:val="7"/>
        <w:ind w:left="420" w:firstLine="0" w:firstLineChars="0"/>
        <w:rPr>
          <w:rFonts w:ascii="仿宋" w:hAnsi="仿宋" w:eastAsia="仿宋"/>
          <w:b/>
          <w:sz w:val="28"/>
          <w:szCs w:val="28"/>
        </w:rPr>
      </w:pPr>
      <w:r>
        <w:drawing>
          <wp:inline distT="0" distB="0" distL="0" distR="0">
            <wp:extent cx="5274310" cy="13843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1384300"/>
                    </a:xfrm>
                    <a:prstGeom prst="rect">
                      <a:avLst/>
                    </a:prstGeom>
                  </pic:spPr>
                </pic:pic>
              </a:graphicData>
            </a:graphic>
          </wp:inline>
        </w:drawing>
      </w:r>
    </w:p>
    <w:p>
      <w:pPr>
        <w:pStyle w:val="7"/>
        <w:ind w:left="420" w:firstLine="0" w:firstLineChars="0"/>
        <w:rPr>
          <w:rFonts w:ascii="仿宋" w:hAnsi="仿宋" w:eastAsia="仿宋"/>
          <w:b/>
          <w:sz w:val="28"/>
          <w:szCs w:val="28"/>
        </w:rPr>
      </w:pPr>
      <w:r>
        <w:rPr>
          <w:rFonts w:ascii="仿宋" w:hAnsi="仿宋" w:eastAsia="仿宋"/>
          <w:b/>
          <w:sz w:val="28"/>
          <w:szCs w:val="28"/>
        </w:rPr>
        <w:fldChar w:fldCharType="begin"/>
      </w:r>
      <w:r>
        <w:rPr>
          <w:rFonts w:ascii="仿宋" w:hAnsi="仿宋" w:eastAsia="仿宋"/>
          <w:b/>
          <w:sz w:val="28"/>
          <w:szCs w:val="28"/>
        </w:rPr>
        <w:instrText xml:space="preserve"> HYPERLINK "http://www.creditchina.gov.cn/home/zhuantizhuanlan/201710/t20171012_57924.html" </w:instrText>
      </w:r>
      <w:r>
        <w:rPr>
          <w:rFonts w:ascii="仿宋" w:hAnsi="仿宋" w:eastAsia="仿宋"/>
          <w:b/>
          <w:sz w:val="28"/>
          <w:szCs w:val="28"/>
        </w:rPr>
        <w:fldChar w:fldCharType="separate"/>
      </w:r>
      <w:r>
        <w:rPr>
          <w:rStyle w:val="5"/>
          <w:rFonts w:ascii="仿宋" w:hAnsi="仿宋" w:eastAsia="仿宋"/>
          <w:b/>
          <w:sz w:val="28"/>
          <w:szCs w:val="28"/>
        </w:rPr>
        <w:t>http://www.creditchina.gov.cn/home/zhuantizhuanlan/201710/t20171012_57924.html</w:t>
      </w:r>
      <w:r>
        <w:rPr>
          <w:rFonts w:ascii="仿宋" w:hAnsi="仿宋" w:eastAsia="仿宋"/>
          <w:b/>
          <w:sz w:val="28"/>
          <w:szCs w:val="28"/>
        </w:rPr>
        <w:fldChar w:fldCharType="end"/>
      </w:r>
    </w:p>
    <w:p>
      <w:pPr>
        <w:pStyle w:val="7"/>
        <w:ind w:left="420" w:firstLine="0" w:firstLineChars="0"/>
      </w:pPr>
      <w:r>
        <w:drawing>
          <wp:inline distT="0" distB="0" distL="114300" distR="114300">
            <wp:extent cx="5273675" cy="2891790"/>
            <wp:effectExtent l="0" t="0" r="317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73675" cy="2891790"/>
                    </a:xfrm>
                    <a:prstGeom prst="rect">
                      <a:avLst/>
                    </a:prstGeom>
                    <a:noFill/>
                    <a:ln w="9525">
                      <a:noFill/>
                    </a:ln>
                  </pic:spPr>
                </pic:pic>
              </a:graphicData>
            </a:graphic>
          </wp:inline>
        </w:drawing>
      </w:r>
    </w:p>
    <w:p>
      <w:pPr>
        <w:pStyle w:val="7"/>
        <w:ind w:left="420" w:firstLine="0" w:firstLineChars="0"/>
        <w:rPr>
          <w:rFonts w:hint="eastAsia"/>
          <w:b/>
          <w:bCs/>
          <w:lang w:val="en-US" w:eastAsia="zh-CN"/>
        </w:rPr>
      </w:pPr>
      <w:r>
        <w:rPr>
          <w:rFonts w:hint="eastAsia"/>
          <w:b/>
          <w:bCs/>
          <w:lang w:val="en-US" w:eastAsia="zh-CN"/>
        </w:rPr>
        <w:t>标注：“信用中国”重点推荐十家信用评审机构，其他九家为金融证券评级，只有北京国富泰信用管理有限公司为企业商务领域评级机构。</w:t>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信用中国推荐信用修复评审机构</w:t>
      </w:r>
    </w:p>
    <w:p>
      <w:pPr>
        <w:pStyle w:val="7"/>
        <w:numPr>
          <w:ilvl w:val="0"/>
          <w:numId w:val="0"/>
        </w:numPr>
        <w:ind w:leftChars="0"/>
        <w:rPr>
          <w:rFonts w:hint="default"/>
          <w:b/>
          <w:bCs/>
          <w:lang w:val="en-US" w:eastAsia="zh-CN"/>
        </w:rPr>
      </w:pPr>
      <w:r>
        <w:drawing>
          <wp:inline distT="0" distB="0" distL="114300" distR="114300">
            <wp:extent cx="4152900" cy="24669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152900" cy="2466975"/>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国家发改委“双公示”机构、国家信息中心信用信息共享机构</w:t>
      </w:r>
    </w:p>
    <w:p>
      <w:pPr>
        <w:pStyle w:val="7"/>
        <w:rPr>
          <w:rFonts w:hint="eastAsia"/>
          <w:b/>
          <w:bCs/>
          <w:lang w:val="en-US" w:eastAsia="zh-CN"/>
        </w:rPr>
      </w:pPr>
      <w:r>
        <w:rPr>
          <w:rFonts w:hint="eastAsia"/>
          <w:b/>
          <w:bCs/>
          <w:lang w:val="en-US" w:eastAsia="zh-CN"/>
        </w:rPr>
        <w:t>、</w:t>
      </w:r>
      <w:r>
        <w:drawing>
          <wp:inline distT="0" distB="0" distL="114300" distR="114300">
            <wp:extent cx="3133090" cy="4161790"/>
            <wp:effectExtent l="0" t="0" r="1016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3133090" cy="4161790"/>
                    </a:xfrm>
                    <a:prstGeom prst="rect">
                      <a:avLst/>
                    </a:prstGeom>
                    <a:noFill/>
                    <a:ln w="9525">
                      <a:noFill/>
                    </a:ln>
                  </pic:spPr>
                </pic:pic>
              </a:graphicData>
            </a:graphic>
          </wp:inline>
        </w:drawing>
      </w:r>
      <w:bookmarkStart w:id="0" w:name="_GoBack"/>
      <w:bookmarkEnd w:id="0"/>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央行征信备案证</w:t>
      </w:r>
    </w:p>
    <w:p>
      <w:pPr>
        <w:pStyle w:val="7"/>
        <w:ind w:left="420" w:firstLine="0" w:firstLineChars="0"/>
        <w:rPr>
          <w:rFonts w:hint="eastAsia"/>
          <w:b/>
          <w:bCs/>
          <w:lang w:val="en-US" w:eastAsia="zh-CN"/>
        </w:rPr>
      </w:pPr>
    </w:p>
    <w:p>
      <w:pPr>
        <w:pStyle w:val="7"/>
        <w:ind w:left="420" w:firstLine="0" w:firstLineChars="0"/>
        <w:rPr>
          <w:rFonts w:hint="eastAsia"/>
          <w:b/>
          <w:bCs/>
          <w:lang w:val="en-US" w:eastAsia="zh-CN"/>
        </w:rPr>
      </w:pPr>
      <w:r>
        <w:rPr>
          <w:rFonts w:hint="eastAsia" w:ascii="宋体" w:hAnsi="宋体" w:eastAsia="宋体" w:cs="宋体"/>
          <w:sz w:val="24"/>
          <w:szCs w:val="24"/>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179070</wp:posOffset>
            </wp:positionV>
            <wp:extent cx="5133975" cy="3676650"/>
            <wp:effectExtent l="0" t="0" r="9525" b="0"/>
            <wp:wrapSquare wrapText="bothSides"/>
            <wp:docPr id="4" name="图片 4" descr="C:\Users\lu\AppData\Local\Microsoft\Windows\INetCache\Content.Word\企业征信业务经营备案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u\AppData\Local\Microsoft\Windows\INetCache\Content.Word\企业征信业务经营备案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133975" cy="3676650"/>
                    </a:xfrm>
                    <a:prstGeom prst="rect">
                      <a:avLst/>
                    </a:prstGeom>
                    <a:noFill/>
                    <a:ln>
                      <a:noFill/>
                    </a:ln>
                  </pic:spPr>
                </pic:pic>
              </a:graphicData>
            </a:graphic>
          </wp:anchor>
        </w:drawing>
      </w:r>
      <w:r>
        <w:rPr>
          <w:rFonts w:hint="eastAsia"/>
          <w:b/>
          <w:bCs/>
          <w:lang w:val="en-US" w:eastAsia="zh-CN"/>
        </w:rPr>
        <w:t>备注：各地商协会及部分评级机构没有央行征信牌照（人行备案）</w:t>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权威网站公示：</w:t>
      </w:r>
    </w:p>
    <w:p>
      <w:pPr>
        <w:pStyle w:val="7"/>
        <w:numPr>
          <w:ilvl w:val="0"/>
          <w:numId w:val="0"/>
        </w:numPr>
        <w:ind w:leftChars="0"/>
        <w:rPr>
          <w:rFonts w:hint="default"/>
          <w:b/>
          <w:bCs/>
          <w:lang w:val="en-US" w:eastAsia="zh-CN"/>
        </w:rPr>
      </w:pPr>
      <w:r>
        <w:drawing>
          <wp:inline distT="0" distB="0" distL="114300" distR="114300">
            <wp:extent cx="5267960" cy="3491230"/>
            <wp:effectExtent l="0" t="0" r="8890" b="139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5267960" cy="3491230"/>
                    </a:xfrm>
                    <a:prstGeom prst="rect">
                      <a:avLst/>
                    </a:prstGeom>
                    <a:noFill/>
                    <a:ln>
                      <a:noFill/>
                    </a:ln>
                  </pic:spPr>
                </pic:pic>
              </a:graphicData>
            </a:graphic>
          </wp:inline>
        </w:drawing>
      </w:r>
    </w:p>
    <w:p>
      <w:pPr>
        <w:pStyle w:val="7"/>
        <w:ind w:left="420" w:firstLine="0" w:firstLineChars="0"/>
        <w:rPr>
          <w:rFonts w:hint="default"/>
          <w:b/>
          <w:bCs/>
          <w:lang w:val="en-US" w:eastAsia="zh-CN"/>
        </w:rPr>
      </w:pPr>
      <w:r>
        <w:rPr>
          <w:rFonts w:hint="eastAsia"/>
          <w:b/>
          <w:bCs/>
          <w:lang w:val="en-US" w:eastAsia="zh-CN"/>
        </w:rPr>
        <w:t>备注：商务部信用三大主网站公示。</w:t>
      </w: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适用招标项目：</w:t>
      </w:r>
    </w:p>
    <w:p>
      <w:pPr>
        <w:pStyle w:val="7"/>
        <w:numPr>
          <w:ilvl w:val="0"/>
          <w:numId w:val="0"/>
        </w:numPr>
        <w:ind w:leftChars="200"/>
        <w:rPr>
          <w:rFonts w:hint="eastAsia" w:ascii="宋体" w:hAnsi="宋体" w:eastAsia="宋体" w:cs="宋体"/>
          <w:b/>
          <w:sz w:val="24"/>
          <w:szCs w:val="24"/>
          <w:lang w:val="en-US" w:eastAsia="zh-CN"/>
        </w:rPr>
      </w:pPr>
    </w:p>
    <w:p>
      <w:pPr>
        <w:pStyle w:val="7"/>
        <w:numPr>
          <w:ilvl w:val="0"/>
          <w:numId w:val="0"/>
        </w:numPr>
        <w:ind w:left="420" w:leftChars="0"/>
      </w:pPr>
      <w:r>
        <w:drawing>
          <wp:inline distT="0" distB="0" distL="114300" distR="114300">
            <wp:extent cx="5268595" cy="3608070"/>
            <wp:effectExtent l="0" t="0" r="825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268595" cy="3608070"/>
                    </a:xfrm>
                    <a:prstGeom prst="rect">
                      <a:avLst/>
                    </a:prstGeom>
                    <a:noFill/>
                    <a:ln w="9525">
                      <a:noFill/>
                    </a:ln>
                  </pic:spPr>
                </pic:pic>
              </a:graphicData>
            </a:graphic>
          </wp:inline>
        </w:drawing>
      </w:r>
      <w:r>
        <w:drawing>
          <wp:inline distT="0" distB="0" distL="114300" distR="114300">
            <wp:extent cx="5268595" cy="5036185"/>
            <wp:effectExtent l="0" t="0" r="825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68595" cy="5036185"/>
                    </a:xfrm>
                    <a:prstGeom prst="rect">
                      <a:avLst/>
                    </a:prstGeom>
                    <a:noFill/>
                    <a:ln w="9525">
                      <a:noFill/>
                    </a:ln>
                  </pic:spPr>
                </pic:pic>
              </a:graphicData>
            </a:graphic>
          </wp:inline>
        </w:drawing>
      </w:r>
    </w:p>
    <w:p>
      <w:pPr>
        <w:pStyle w:val="7"/>
        <w:ind w:left="420" w:firstLine="0" w:firstLineChars="0"/>
        <w:rPr>
          <w:rFonts w:hint="eastAsia"/>
          <w:b/>
          <w:bCs/>
          <w:lang w:val="en-US" w:eastAsia="zh-CN"/>
        </w:rPr>
      </w:pPr>
      <w:r>
        <w:rPr>
          <w:rFonts w:hint="eastAsia"/>
          <w:b/>
          <w:bCs/>
          <w:lang w:val="en-US" w:eastAsia="zh-CN"/>
        </w:rPr>
        <w:t>标注：凡招标公告上写到人行备案的第三方信用评级机构出具的AAA证书可以3-6分。</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信用AAA评级案例：</w:t>
      </w:r>
    </w:p>
    <w:p>
      <w:pPr>
        <w:pStyle w:val="7"/>
        <w:numPr>
          <w:ilvl w:val="0"/>
          <w:numId w:val="0"/>
        </w:numPr>
        <w:ind w:left="420" w:leftChars="0"/>
        <w:rPr>
          <w:rFonts w:hint="eastAsia" w:ascii="宋体" w:hAnsi="宋体" w:eastAsia="宋体" w:cs="宋体"/>
          <w:sz w:val="24"/>
          <w:szCs w:val="24"/>
          <w:lang w:val="en-US" w:eastAsia="zh-CN"/>
        </w:rPr>
      </w:pPr>
    </w:p>
    <w:p>
      <w:pPr>
        <w:pStyle w:val="7"/>
        <w:numPr>
          <w:ilvl w:val="0"/>
          <w:numId w:val="0"/>
        </w:numPr>
        <w:ind w:left="420" w:leftChars="0"/>
        <w:rPr>
          <w:rFonts w:hint="eastAsia"/>
          <w:lang w:val="en-US" w:eastAsia="zh-CN"/>
        </w:rPr>
      </w:pPr>
      <w:r>
        <w:rPr>
          <w:rFonts w:hint="eastAsia"/>
          <w:lang w:val="en-US" w:eastAsia="zh-CN"/>
        </w:rPr>
        <w:t>1、中国建筑装饰集团有限公司：</w:t>
      </w:r>
    </w:p>
    <w:p>
      <w:pPr>
        <w:pStyle w:val="7"/>
        <w:numPr>
          <w:ilvl w:val="0"/>
          <w:numId w:val="0"/>
        </w:numPr>
        <w:ind w:left="420" w:leftChars="0"/>
      </w:pPr>
      <w:r>
        <w:drawing>
          <wp:inline distT="0" distB="0" distL="114300" distR="114300">
            <wp:extent cx="4479290" cy="3350895"/>
            <wp:effectExtent l="0" t="0" r="1651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a:stretch>
                      <a:fillRect/>
                    </a:stretch>
                  </pic:blipFill>
                  <pic:spPr>
                    <a:xfrm>
                      <a:off x="0" y="0"/>
                      <a:ext cx="4479290" cy="3350895"/>
                    </a:xfrm>
                    <a:prstGeom prst="rect">
                      <a:avLst/>
                    </a:prstGeom>
                    <a:noFill/>
                    <a:ln w="9525">
                      <a:noFill/>
                    </a:ln>
                  </pic:spPr>
                </pic:pic>
              </a:graphicData>
            </a:graphic>
          </wp:inline>
        </w:drawing>
      </w:r>
    </w:p>
    <w:p>
      <w:pPr>
        <w:pStyle w:val="7"/>
        <w:numPr>
          <w:ilvl w:val="0"/>
          <w:numId w:val="2"/>
        </w:numPr>
        <w:ind w:left="420" w:leftChars="0" w:firstLine="0" w:firstLineChars="0"/>
        <w:jc w:val="left"/>
        <w:rPr>
          <w:rFonts w:hint="eastAsia"/>
          <w:lang w:val="en-US" w:eastAsia="zh-CN"/>
        </w:rPr>
      </w:pPr>
      <w:r>
        <w:rPr>
          <w:rFonts w:hint="eastAsia"/>
          <w:lang w:val="en-US" w:eastAsia="zh-CN"/>
        </w:rPr>
        <w:t>中交一公局第六工程有限公司</w:t>
      </w:r>
    </w:p>
    <w:p>
      <w:pPr>
        <w:pStyle w:val="7"/>
        <w:numPr>
          <w:ilvl w:val="0"/>
          <w:numId w:val="0"/>
        </w:numPr>
        <w:ind w:left="420" w:leftChars="0"/>
        <w:jc w:val="left"/>
        <w:rPr>
          <w:rFonts w:hint="eastAsia"/>
          <w:lang w:val="en-US" w:eastAsia="zh-CN"/>
        </w:rPr>
      </w:pPr>
      <w:r>
        <w:drawing>
          <wp:inline distT="0" distB="0" distL="114300" distR="114300">
            <wp:extent cx="5003800" cy="3175000"/>
            <wp:effectExtent l="0" t="0" r="6350"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6"/>
                    <a:stretch>
                      <a:fillRect/>
                    </a:stretch>
                  </pic:blipFill>
                  <pic:spPr>
                    <a:xfrm>
                      <a:off x="0" y="0"/>
                      <a:ext cx="5003800" cy="3175000"/>
                    </a:xfrm>
                    <a:prstGeom prst="rect">
                      <a:avLst/>
                    </a:prstGeom>
                    <a:noFill/>
                    <a:ln w="9525">
                      <a:noFill/>
                    </a:ln>
                  </pic:spPr>
                </pic:pic>
              </a:graphicData>
            </a:graphic>
          </wp:inline>
        </w:drawing>
      </w:r>
    </w:p>
    <w:p>
      <w:pPr>
        <w:pStyle w:val="7"/>
        <w:numPr>
          <w:ilvl w:val="0"/>
          <w:numId w:val="0"/>
        </w:numPr>
        <w:ind w:leftChars="200"/>
        <w:jc w:val="left"/>
        <w:rPr>
          <w:rFonts w:hint="eastAsia"/>
          <w:lang w:val="en-US" w:eastAsia="zh-CN"/>
        </w:rPr>
      </w:pPr>
    </w:p>
    <w:p>
      <w:pPr>
        <w:pStyle w:val="6"/>
        <w:ind w:firstLine="480" w:firstLineChars="200"/>
        <w:jc w:val="center"/>
        <w:rPr>
          <w:rFonts w:hint="eastAsia" w:ascii="宋体" w:hAnsi="宋体" w:eastAsia="宋体"/>
          <w:sz w:val="24"/>
          <w:szCs w:val="24"/>
        </w:rPr>
      </w:pPr>
    </w:p>
    <w:p>
      <w:pPr>
        <w:pStyle w:val="6"/>
        <w:numPr>
          <w:ilvl w:val="0"/>
          <w:numId w:val="3"/>
        </w:numPr>
        <w:ind w:firstLine="420" w:firstLineChars="200"/>
        <w:jc w:val="left"/>
      </w:pPr>
      <w:r>
        <w:rPr>
          <w:rFonts w:hint="eastAsia" w:asciiTheme="minorEastAsia" w:hAnsiTheme="minorEastAsia" w:eastAsiaTheme="minorEastAsia" w:cstheme="minorEastAsia"/>
          <w:sz w:val="21"/>
          <w:szCs w:val="21"/>
          <w:lang w:val="en-US" w:eastAsia="zh-CN"/>
        </w:rPr>
        <w:t>广西建工集团智慧制造有限公司</w:t>
      </w:r>
      <w:r>
        <w:drawing>
          <wp:inline distT="0" distB="0" distL="114300" distR="114300">
            <wp:extent cx="4805045" cy="3422650"/>
            <wp:effectExtent l="0" t="0" r="14605" b="635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a:stretch>
                      <a:fillRect/>
                    </a:stretch>
                  </pic:blipFill>
                  <pic:spPr>
                    <a:xfrm>
                      <a:off x="0" y="0"/>
                      <a:ext cx="4805045" cy="3422650"/>
                    </a:xfrm>
                    <a:prstGeom prst="rect">
                      <a:avLst/>
                    </a:prstGeom>
                    <a:noFill/>
                    <a:ln w="9525">
                      <a:noFill/>
                    </a:ln>
                  </pic:spPr>
                </pic:pic>
              </a:graphicData>
            </a:graphic>
          </wp:inline>
        </w:drawing>
      </w:r>
    </w:p>
    <w:p>
      <w:pPr>
        <w:pStyle w:val="6"/>
        <w:numPr>
          <w:ilvl w:val="0"/>
          <w:numId w:val="3"/>
        </w:numPr>
        <w:ind w:firstLine="420" w:firstLineChars="2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近期评级企业名单：</w:t>
      </w:r>
    </w:p>
    <w:p>
      <w:pPr>
        <w:pStyle w:val="6"/>
        <w:widowControl w:val="0"/>
        <w:numPr>
          <w:ilvl w:val="0"/>
          <w:numId w:val="0"/>
        </w:numPr>
        <w:jc w:val="left"/>
        <w:rPr>
          <w:rFonts w:hint="eastAsia"/>
          <w:lang w:val="en-US" w:eastAsia="zh-CN"/>
        </w:rPr>
      </w:pPr>
      <w:r>
        <w:drawing>
          <wp:inline distT="0" distB="0" distL="114300" distR="114300">
            <wp:extent cx="5274310" cy="3411855"/>
            <wp:effectExtent l="0" t="0" r="2540" b="171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8"/>
                    <a:stretch>
                      <a:fillRect/>
                    </a:stretch>
                  </pic:blipFill>
                  <pic:spPr>
                    <a:xfrm>
                      <a:off x="0" y="0"/>
                      <a:ext cx="5274310" cy="3411855"/>
                    </a:xfrm>
                    <a:prstGeom prst="rect">
                      <a:avLst/>
                    </a:prstGeom>
                    <a:noFill/>
                    <a:ln w="9525">
                      <a:noFill/>
                    </a:ln>
                  </pic:spPr>
                </pic:pic>
              </a:graphicData>
            </a:graphic>
          </wp:inline>
        </w:drawing>
      </w:r>
    </w:p>
    <w:p>
      <w:pPr>
        <w:pStyle w:val="6"/>
        <w:widowControl w:val="0"/>
        <w:numPr>
          <w:ilvl w:val="0"/>
          <w:numId w:val="0"/>
        </w:numPr>
        <w:jc w:val="left"/>
        <w:rPr>
          <w:rFonts w:hint="eastAsia"/>
          <w:lang w:val="en-US" w:eastAsia="zh-CN"/>
        </w:rPr>
      </w:pPr>
    </w:p>
    <w:p>
      <w:pPr>
        <w:pStyle w:val="6"/>
        <w:widowControl w:val="0"/>
        <w:numPr>
          <w:ilvl w:val="0"/>
          <w:numId w:val="0"/>
        </w:numPr>
        <w:jc w:val="left"/>
        <w:rPr>
          <w:rFonts w:hint="eastAsia"/>
          <w:lang w:val="en-US" w:eastAsia="zh-CN"/>
        </w:rPr>
      </w:pPr>
    </w:p>
    <w:p>
      <w:pPr>
        <w:jc w:val="center"/>
        <w:rPr>
          <w:rFonts w:hint="eastAsia" w:ascii="微软雅黑" w:hAnsi="微软雅黑" w:eastAsia="微软雅黑" w:cs="微软雅黑"/>
          <w:i w:val="0"/>
          <w:caps w:val="0"/>
          <w:color w:val="000000"/>
          <w:spacing w:val="0"/>
          <w:sz w:val="36"/>
          <w:szCs w:val="36"/>
          <w:shd w:val="clear" w:fill="FFFFFF"/>
          <w:lang w:val="en-US" w:eastAsia="zh-CN"/>
        </w:rPr>
      </w:pPr>
    </w:p>
    <w:p>
      <w:pPr>
        <w:jc w:val="center"/>
        <w:rPr>
          <w:rFonts w:hint="eastAsia" w:ascii="微软雅黑" w:hAnsi="微软雅黑" w:eastAsia="微软雅黑" w:cs="微软雅黑"/>
          <w:i w:val="0"/>
          <w:caps w:val="0"/>
          <w:color w:val="000000"/>
          <w:spacing w:val="0"/>
          <w:sz w:val="36"/>
          <w:szCs w:val="36"/>
          <w:shd w:val="clear" w:fill="FFFFFF"/>
          <w:lang w:val="en-US" w:eastAsia="zh-CN"/>
        </w:rPr>
      </w:pP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sz w:val="24"/>
          <w:szCs w:val="24"/>
          <w:lang w:val="en-US" w:eastAsia="zh-CN"/>
        </w:rPr>
      </w:pPr>
    </w:p>
    <w:sectPr>
      <w:pgSz w:w="11906" w:h="16838"/>
      <w:pgMar w:top="1460" w:right="1800" w:bottom="13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F9641C"/>
    <w:multiLevelType w:val="singleLevel"/>
    <w:tmpl w:val="A6F9641C"/>
    <w:lvl w:ilvl="0" w:tentative="0">
      <w:start w:val="3"/>
      <w:numFmt w:val="decimal"/>
      <w:suff w:val="nothing"/>
      <w:lvlText w:val="%1、"/>
      <w:lvlJc w:val="left"/>
    </w:lvl>
  </w:abstractNum>
  <w:abstractNum w:abstractNumId="1">
    <w:nsid w:val="1E829819"/>
    <w:multiLevelType w:val="singleLevel"/>
    <w:tmpl w:val="1E829819"/>
    <w:lvl w:ilvl="0" w:tentative="0">
      <w:start w:val="2"/>
      <w:numFmt w:val="chineseCounting"/>
      <w:suff w:val="nothing"/>
      <w:lvlText w:val="%1、"/>
      <w:lvlJc w:val="left"/>
      <w:rPr>
        <w:rFonts w:hint="eastAsia"/>
      </w:rPr>
    </w:lvl>
  </w:abstractNum>
  <w:abstractNum w:abstractNumId="2">
    <w:nsid w:val="761BC874"/>
    <w:multiLevelType w:val="singleLevel"/>
    <w:tmpl w:val="761BC874"/>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F24"/>
    <w:rsid w:val="00123F7D"/>
    <w:rsid w:val="00722086"/>
    <w:rsid w:val="00767F56"/>
    <w:rsid w:val="00877081"/>
    <w:rsid w:val="00A9737C"/>
    <w:rsid w:val="00D03F24"/>
    <w:rsid w:val="00F12C62"/>
    <w:rsid w:val="00F547A8"/>
    <w:rsid w:val="03164FD4"/>
    <w:rsid w:val="156903B6"/>
    <w:rsid w:val="16C942AE"/>
    <w:rsid w:val="17890139"/>
    <w:rsid w:val="17AD2B15"/>
    <w:rsid w:val="1F8209CB"/>
    <w:rsid w:val="1FA848E4"/>
    <w:rsid w:val="20115C73"/>
    <w:rsid w:val="20D60271"/>
    <w:rsid w:val="22634B83"/>
    <w:rsid w:val="229A66D9"/>
    <w:rsid w:val="231A26A6"/>
    <w:rsid w:val="23F45733"/>
    <w:rsid w:val="286875D8"/>
    <w:rsid w:val="2DFF4670"/>
    <w:rsid w:val="2F53021D"/>
    <w:rsid w:val="3A890CE3"/>
    <w:rsid w:val="3C903846"/>
    <w:rsid w:val="3F062A78"/>
    <w:rsid w:val="3FA00E6E"/>
    <w:rsid w:val="408F7AEB"/>
    <w:rsid w:val="42896A33"/>
    <w:rsid w:val="43712E1B"/>
    <w:rsid w:val="44656D35"/>
    <w:rsid w:val="44822C5D"/>
    <w:rsid w:val="453306DB"/>
    <w:rsid w:val="45E85C24"/>
    <w:rsid w:val="46C12E14"/>
    <w:rsid w:val="46F21ECC"/>
    <w:rsid w:val="4C47493C"/>
    <w:rsid w:val="4DD2331B"/>
    <w:rsid w:val="4E596760"/>
    <w:rsid w:val="53593A6F"/>
    <w:rsid w:val="53C664EB"/>
    <w:rsid w:val="575C2AA3"/>
    <w:rsid w:val="58DE080F"/>
    <w:rsid w:val="5C3C7B96"/>
    <w:rsid w:val="60CD6C9C"/>
    <w:rsid w:val="63CD4E0A"/>
    <w:rsid w:val="663F7D01"/>
    <w:rsid w:val="6952170F"/>
    <w:rsid w:val="6DBD55EA"/>
    <w:rsid w:val="6DC34D3D"/>
    <w:rsid w:val="70AD5A24"/>
    <w:rsid w:val="71FA0F95"/>
    <w:rsid w:val="73856660"/>
    <w:rsid w:val="76272645"/>
    <w:rsid w:val="765E1683"/>
    <w:rsid w:val="79D60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Layout w:type="fixed"/>
      <w:tblCellMar>
        <w:top w:w="0" w:type="dxa"/>
        <w:left w:w="108" w:type="dxa"/>
        <w:bottom w:w="0" w:type="dxa"/>
        <w:right w:w="108" w:type="dxa"/>
      </w:tblCellMar>
    </w:tblPr>
  </w:style>
  <w:style w:type="character" w:styleId="4">
    <w:name w:val="Strong"/>
    <w:basedOn w:val="3"/>
    <w:qFormat/>
    <w:uiPriority w:val="22"/>
    <w:rPr>
      <w:b/>
      <w:bCs/>
    </w:rPr>
  </w:style>
  <w:style w:type="character" w:styleId="5">
    <w:name w:val="Hyperlink"/>
    <w:basedOn w:val="3"/>
    <w:semiHidden/>
    <w:unhideWhenUsed/>
    <w:qFormat/>
    <w:uiPriority w:val="99"/>
    <w:rPr>
      <w:color w:val="0000FF"/>
      <w:u w:val="single"/>
    </w:rPr>
  </w:style>
  <w:style w:type="paragraph" w:styleId="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149</Words>
  <Characters>853</Characters>
  <Lines>7</Lines>
  <Paragraphs>1</Paragraphs>
  <TotalTime>45</TotalTime>
  <ScaleCrop>false</ScaleCrop>
  <LinksUpToDate>false</LinksUpToDate>
  <CharactersWithSpaces>1001</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2018-05-17T02:36:00Z</dcterms:created>
  <dc:creator>张 晓伟</dc:creator>
  <cp:lastModifiedBy>刘文莉</cp:lastModifiedBy>
  <dcterms:modified xsi:type="dcterms:W3CDTF">2019-07-09T08:33:25Z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