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p>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商咨协字[2020]042号</w:t>
      </w:r>
    </w:p>
    <w:p>
      <w:pPr>
        <w:spacing w:line="400" w:lineRule="exact"/>
        <w:jc w:val="center"/>
        <w:rPr>
          <w:rFonts w:ascii="黑体" w:hAnsi="黑体" w:eastAsia="黑体" w:cs="黑体"/>
          <w:sz w:val="32"/>
          <w:szCs w:val="32"/>
        </w:rPr>
      </w:pPr>
      <w:r>
        <w:rPr>
          <w:rFonts w:eastAsia="楷体"/>
          <w:color w:val="000000"/>
          <w:sz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175260</wp:posOffset>
                </wp:positionV>
                <wp:extent cx="6080760" cy="254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8076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9pt;margin-top:13.8pt;height:0.2pt;width:478.8pt;z-index:251659264;mso-width-relative:page;mso-height-relative:page;" filled="f" stroked="t" coordsize="21600,21600" o:gfxdata="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OLabUAAAABwEAAA8AAAAAAAAA&#10;AQAgAAAAIgAAAGRycy9kb3ducmV2LnhtbFBLAQIUABQAAAAIAIdO4kBYjXS43AEAAHkDAAAOAAAA&#10;AAAAAAEAIAAAACMBAABkcnMvZTJvRG9jLnhtbFBLBQYAAAAABgAGAFkBAABxBQAAAAA=&#10;">
                <v:fill on="f" focussize="0,0"/>
                <v:stroke weight="2.25pt" color="#FF0000" joinstyle="round"/>
                <v:imagedata o:title=""/>
                <o:lock v:ext="edit" aspectratio="f"/>
              </v:line>
            </w:pict>
          </mc:Fallback>
        </mc:AlternateContent>
      </w:r>
    </w:p>
    <w:p>
      <w:pPr>
        <w:spacing w:line="400" w:lineRule="exact"/>
        <w:jc w:val="center"/>
        <w:rPr>
          <w:rFonts w:cs="黑体" w:asciiTheme="minorEastAsia" w:hAnsiTheme="minorEastAsia" w:eastAsiaTheme="minorEastAsia"/>
          <w:b/>
          <w:sz w:val="30"/>
          <w:szCs w:val="30"/>
        </w:rPr>
      </w:pPr>
      <w:r>
        <w:rPr>
          <w:rFonts w:hint="eastAsia" w:cs="黑体" w:asciiTheme="minorEastAsia" w:hAnsiTheme="minorEastAsia" w:eastAsiaTheme="minorEastAsia"/>
          <w:b/>
          <w:sz w:val="30"/>
          <w:szCs w:val="30"/>
        </w:rPr>
        <w:t>关于举办新环境下工程施工合同风险管控、工程总承包全过程管理重点、难点与新版清单下建设项目全过程精细化造价管控及工程结算关键环节与关键岗位人才培养培训班的通知</w:t>
      </w:r>
    </w:p>
    <w:p>
      <w:pPr>
        <w:adjustRightInd w:val="0"/>
        <w:spacing w:line="320" w:lineRule="exact"/>
        <w:textAlignment w:val="baseline"/>
        <w:rPr>
          <w:rFonts w:asciiTheme="minorEastAsia" w:hAnsiTheme="minorEastAsia" w:eastAsiaTheme="minorEastAsia"/>
          <w:b/>
          <w:bCs/>
          <w:color w:val="000000"/>
          <w:kern w:val="0"/>
          <w:sz w:val="28"/>
          <w:szCs w:val="28"/>
        </w:rPr>
      </w:pPr>
      <w:r>
        <w:rPr>
          <w:rFonts w:hint="eastAsia" w:asciiTheme="minorEastAsia" w:hAnsiTheme="minorEastAsia" w:eastAsiaTheme="minorEastAsia"/>
          <w:b/>
          <w:bCs/>
          <w:color w:val="000000"/>
          <w:kern w:val="0"/>
          <w:sz w:val="28"/>
          <w:szCs w:val="28"/>
        </w:rPr>
        <w:t>各有关单位</w:t>
      </w:r>
      <w:r>
        <w:rPr>
          <w:rFonts w:asciiTheme="minorEastAsia" w:hAnsiTheme="minorEastAsia" w:eastAsiaTheme="minorEastAsia"/>
          <w:b/>
          <w:bCs/>
          <w:color w:val="000000"/>
          <w:kern w:val="0"/>
          <w:sz w:val="28"/>
          <w:szCs w:val="28"/>
        </w:rPr>
        <w:t>:</w:t>
      </w:r>
    </w:p>
    <w:p>
      <w:pPr>
        <w:spacing w:line="320" w:lineRule="exact"/>
        <w:ind w:firstLine="560" w:firstLineChars="200"/>
        <w:jc w:val="left"/>
        <w:rPr>
          <w:rFonts w:cs="仿宋_GB2312" w:asciiTheme="minorEastAsia" w:hAnsiTheme="minorEastAsia" w:eastAsiaTheme="minorEastAsia"/>
          <w:b/>
          <w:color w:val="000000"/>
          <w:sz w:val="28"/>
          <w:szCs w:val="28"/>
        </w:rPr>
      </w:pPr>
      <w:r>
        <w:rPr>
          <w:rFonts w:hint="eastAsia" w:cs="仿宋_GB2312" w:asciiTheme="minorEastAsia" w:hAnsiTheme="minorEastAsia" w:eastAsiaTheme="minorEastAsia"/>
          <w:bCs/>
          <w:color w:val="000000"/>
          <w:sz w:val="28"/>
          <w:szCs w:val="28"/>
        </w:rPr>
        <w:t>为贯彻落实国务院办公厅《关于促进建筑业持续健康发展的意见》（国办发</w:t>
      </w:r>
      <w:bookmarkStart w:id="0" w:name="OLE_LINK1"/>
      <w:r>
        <w:rPr>
          <w:rFonts w:hint="eastAsia" w:cs="仿宋_GB2312" w:asciiTheme="minorEastAsia" w:hAnsiTheme="minorEastAsia" w:eastAsiaTheme="minorEastAsia"/>
          <w:bCs/>
          <w:color w:val="000000"/>
          <w:sz w:val="28"/>
          <w:szCs w:val="28"/>
        </w:rPr>
        <w:t>〔2017〕</w:t>
      </w:r>
      <w:bookmarkEnd w:id="0"/>
      <w:r>
        <w:rPr>
          <w:rFonts w:hint="eastAsia" w:cs="仿宋_GB2312" w:asciiTheme="minorEastAsia" w:hAnsiTheme="minorEastAsia" w:eastAsiaTheme="minorEastAsia"/>
          <w:bCs/>
          <w:color w:val="000000"/>
          <w:sz w:val="28"/>
          <w:szCs w:val="28"/>
        </w:rPr>
        <w:t>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国家发改委正式发布的《房屋建筑和市政基础设施项目工程总承包管理办法》（建市规〔2019〕12号以及最高人民法院《关于审理建设工程施工合同纠纷案件适用法律问题的解释（二）》（法释〔2018〕20号）等相关文件精神，针对当下建设工程项目的梳理、工程项目的管理控制、工程过程的索赔与反索赔、工程结算的路径选择、工程价款的有效回笼等一系列相关问题，提高项目管理水平。我会决定举办“新环境下工程施工合同风险管控、工程总承包全过程管理重点、难点与新版清单下建设项目全过程精细化造价管控及工程结算关键环节与关键岗位人才培养培训班”</w:t>
      </w:r>
      <w:r>
        <w:rPr>
          <w:rFonts w:hint="eastAsia" w:cs="仿宋_GB2312" w:asciiTheme="minorEastAsia" w:hAnsiTheme="minorEastAsia" w:eastAsiaTheme="minorEastAsia"/>
          <w:b/>
          <w:color w:val="000000"/>
          <w:sz w:val="28"/>
          <w:szCs w:val="28"/>
        </w:rPr>
        <w:t>。</w:t>
      </w:r>
    </w:p>
    <w:p>
      <w:pPr>
        <w:spacing w:line="320" w:lineRule="exact"/>
        <w:ind w:firstLine="560" w:firstLineChars="20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本次培训旨在帮助各地方政府建设规划、工程建设、监督管理等部门以及项目建设、勘察、设计、施工、监理单位等相关人员及时学习和掌握工程建设计价、施工合同管理和工程总承包以及全过程咨询等最新政策；厘清项目实施中的重点、难点、焦点，解决实际工作中的困难和疑点，拓宽解决问题的思路和方法；管好用好投资、控制工程造价，提高项目综合管理水平；加强工程总承包项目实施能力，有效防范风险，完善工程项目建设管理制度，从而进一步提升工程建设质量和效益。本次培训班由中国国际工程咨询协会主办，北京博纳金成信息咨询有限公司具体承办，请各单位积极组织本单位及相关人员参加。</w:t>
      </w:r>
      <w:r>
        <w:rPr>
          <w:rFonts w:cs="仿宋_GB2312" w:asciiTheme="minorEastAsia" w:hAnsiTheme="minorEastAsia" w:eastAsiaTheme="minorEastAsia"/>
          <w:bCs/>
          <w:color w:val="000000"/>
          <w:sz w:val="28"/>
          <w:szCs w:val="28"/>
        </w:rPr>
        <w:t xml:space="preserve"> </w:t>
      </w:r>
      <w:r>
        <w:rPr>
          <w:rFonts w:hint="eastAsia" w:cs="仿宋_GB2312" w:asciiTheme="minorEastAsia" w:hAnsiTheme="minorEastAsia" w:eastAsiaTheme="minorEastAsia"/>
          <w:bCs/>
          <w:color w:val="000000"/>
          <w:sz w:val="28"/>
          <w:szCs w:val="28"/>
        </w:rPr>
        <w:t>现将有关事宜通知如下：</w:t>
      </w:r>
    </w:p>
    <w:p>
      <w:pPr>
        <w:tabs>
          <w:tab w:val="left" w:pos="567"/>
          <w:tab w:val="left" w:pos="709"/>
        </w:tabs>
        <w:spacing w:line="320" w:lineRule="exact"/>
        <w:textAlignment w:val="baseline"/>
        <w:outlineLvl w:val="0"/>
        <w:rPr>
          <w:rFonts w:cs="黑体" w:asciiTheme="minorEastAsia" w:hAnsiTheme="minorEastAsia" w:eastAsiaTheme="minorEastAsia"/>
          <w:b/>
          <w:bCs/>
          <w:color w:val="000000"/>
          <w:sz w:val="28"/>
          <w:szCs w:val="28"/>
        </w:rPr>
      </w:pPr>
      <w:r>
        <w:rPr>
          <w:rFonts w:hint="eastAsia" w:cs="黑体" w:asciiTheme="minorEastAsia" w:hAnsiTheme="minorEastAsia" w:eastAsiaTheme="minorEastAsia"/>
          <w:b/>
          <w:bCs/>
          <w:color w:val="000000"/>
          <w:sz w:val="28"/>
          <w:szCs w:val="28"/>
        </w:rPr>
        <w:t>一、培训内容</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楷体" w:asciiTheme="minorEastAsia" w:hAnsiTheme="minorEastAsia" w:eastAsiaTheme="minorEastAsia"/>
          <w:b/>
          <w:bCs/>
          <w:color w:val="000000"/>
          <w:sz w:val="28"/>
          <w:szCs w:val="28"/>
        </w:rPr>
        <w:t>(一）</w:t>
      </w:r>
      <w:r>
        <w:rPr>
          <w:rFonts w:hint="eastAsia" w:cs="仿宋_GB2312" w:asciiTheme="minorEastAsia" w:hAnsiTheme="minorEastAsia" w:eastAsiaTheme="minorEastAsia"/>
          <w:b/>
          <w:bCs/>
          <w:color w:val="000000"/>
          <w:sz w:val="28"/>
          <w:szCs w:val="28"/>
        </w:rPr>
        <w:t>工程总承包及全过程咨询相关政策解读与风险防范</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1、 新政策下EPC工程总承包实战管理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（1）《房屋建筑和市政基础设施项目工程总承包管理办法》解读；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（2）《建设项目工程总承包管理规范》（GB/T50358-2017）解读；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（3）住建部新版《建设项目工程总承包合同示范文本》解读；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（4）EPC工程总承包项目招投标常见问题及解析；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（5）EPC工程总承包项目全过程造价管理与控制；</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（6）EPC工程总承包项目合同核心风险识别与防范；</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（7）PPP+EPC模式下的合同管理；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（8）BIM及数字化交付介绍；</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（9）EPC工程总承包项目实施过程案例分享。</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2、EPC工程结算计价实务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（1）工程计价法律性文件概述；</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（2）清单计价规范（GB50500-2013）法律地位认定；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（3）官方对建设工程计价基本立场认定；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（4）固定总价合同终止计价原则；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（5）市场价格波动下工程价款调整要素；</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（6）工程量清单计价下，打开固定单价的路径与方法；</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（7）固定总价下工程量变更计价原则；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（8）中标合同与招投标文件不一致计价规则；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（9）多份合同均无效的工程结算计价方式；</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（10）有效的建设工程合同结算计价方；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（11）计价方式冲突解决原则与机制。</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color w:val="000000"/>
          <w:sz w:val="28"/>
          <w:szCs w:val="28"/>
        </w:rPr>
        <w:t>3、</w:t>
      </w:r>
      <w:r>
        <w:rPr>
          <w:rFonts w:hint="eastAsia" w:cs="仿宋_GB2312" w:asciiTheme="minorEastAsia" w:hAnsiTheme="minorEastAsia" w:eastAsiaTheme="minorEastAsia"/>
          <w:b/>
          <w:bCs/>
          <w:color w:val="000000"/>
          <w:sz w:val="28"/>
          <w:szCs w:val="28"/>
        </w:rPr>
        <w:t>建设项目全过程工程咨询新政策解读、控制要点及操作实务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（1）全过程工程咨询服务政策解析；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（2）全过程工程咨询工程项目前期策划的流程及要点；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（3）全过程工程咨询投资决策及可行性阶段主要工作；</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（4）全过程工程咨询造价合约协同管控；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（5）全过程工程咨询服务合同示范文本解读；</w:t>
      </w:r>
      <w:r>
        <w:rPr>
          <w:rFonts w:hint="eastAsia" w:cs="仿宋_GB2312" w:asciiTheme="minorEastAsia" w:hAnsiTheme="minorEastAsia" w:eastAsiaTheme="minorEastAsia"/>
          <w:bCs/>
          <w:color w:val="000000"/>
          <w:sz w:val="28"/>
          <w:szCs w:val="28"/>
        </w:rPr>
        <w:tab/>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（6）新时代我国全过程工程咨询未来发展趋势；</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（7）工程总承包项目实施过程案例分享。</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4、新政策下工程项目风险防范</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（1）工程项目风险管理政策；</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（2）工程项目风险防范与管控要点。</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(二）《司法解释（二）》精析及风险防控实务</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1、合同效力相关问题识别</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（1）收到中标通知书后未签订书面合同的责任；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（2）中标合同实质性内容的认定；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（3）背离中标合同实质性内容的认定；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（4）中标合同实质性内容变更的例外情形应对；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（5）违法建筑施工合同的处理；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（6）合同无效的赔偿责任认定。</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2、合同履行关键性问题解读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（1）实际开工日期的认定；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（2）工期顺延的认定；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（3）质量保证金相关问题；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（4）备案合同与招投标文件不一致时工程价款的结算；</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（5）自主招标相关问题；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（6）合作开发房地产各方对于工程价款债务责任承担；</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（7）多份无效合同的结算。</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3、建设工程造价鉴定原则与事项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（1）诉讼前就工程价款结算达成合意的效力；</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（2）诉讼前共同委托造价咨询的效力；</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（3）二审程序中的鉴定；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（4）法院委托鉴定中司法权的行使；</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（5）鉴定意见的审核认定原则。</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4、实际施工人相关问题处理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（1）实际施工人的权利认定与处理；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（2）借用情形下实际施工人的权利认定与处理。</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5、建设工程价款优先受偿权利主体界定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（1）合同承包人优先受偿权的行使；</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（2）债权范围；</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（3）行使条件；</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（4）保护期间；</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（5）预先放弃效力；</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（6）优先受偿权与其他权利的顺位。</w:t>
      </w:r>
    </w:p>
    <w:p>
      <w:pPr>
        <w:tabs>
          <w:tab w:val="left" w:pos="567"/>
          <w:tab w:val="left" w:pos="709"/>
        </w:tabs>
        <w:spacing w:line="320" w:lineRule="exact"/>
        <w:textAlignment w:val="baseline"/>
        <w:outlineLvl w:val="0"/>
        <w:rPr>
          <w:rFonts w:cs="楷体" w:asciiTheme="minorEastAsia" w:hAnsiTheme="minorEastAsia" w:eastAsiaTheme="minorEastAsia"/>
          <w:b/>
          <w:bCs/>
          <w:color w:val="000000"/>
          <w:sz w:val="28"/>
          <w:szCs w:val="28"/>
        </w:rPr>
      </w:pPr>
      <w:r>
        <w:rPr>
          <w:rFonts w:hint="eastAsia" w:cs="楷体" w:asciiTheme="minorEastAsia" w:hAnsiTheme="minorEastAsia" w:eastAsiaTheme="minorEastAsia"/>
          <w:b/>
          <w:bCs/>
          <w:color w:val="000000"/>
          <w:sz w:val="28"/>
          <w:szCs w:val="28"/>
        </w:rPr>
        <w:t>（三）《房屋建筑和市政基础设施项目工程总承包计价计量规范(征求意见稿)》解读与建设工程造价管控、结算疑难问题解析</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1、《房屋建筑和市政基础设施项目工程总承包计价计量规范(征求意见稿)》解读与应用</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（1）《规范》编制的背景及基本情况说明、主要内容；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（2）《规范》对施工工程量清单招标的启示；</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（3）《规范》实施后对业主、承包商、工程咨询等单位的挑战和影响；</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（4）工程总承包合同计价面临的制度性困境与挑战。</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2、基于新版清单模式下的建设项目全过程精细化造价管理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（1）招投标环节工程造价精细化管理的关键点管控；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（2）合同签约环节工程造价精细化管理的关键点管控；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（3）价款调整环节工程造价精细化管理的关键点管控；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（4）价款支付环节工程造价精细化管理的关键点管控；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（5）竣工结算环节工程造价精细化管理的关键点管控；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（6）建设项目全过程的集成管理。</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3、工程造价计量与计价争议问题分析和解决</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（1）工程造价管控的基础条件分析；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（2）招标清单缺漏的价款补偿分析；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（3）招标清单特征描述不准确的结算影响；</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（4）合同价格形式的选择与设计；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（5）工程量核定与进度款结算；</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（6）市场价格波动引起的调价；</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（7）工程量变更结算中“不平衡单价”处理；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（8）工程实体内容变更计价争议解决；</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（9）工程措施方案变更的责任分析与计价处理；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（10）工程签证与索赔管理典型案例分析；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（11）工程造价管控中疑难争议问题解析；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（12）工程造价审计的重点内容与方法。</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4、索赔引领下的工程结算要点及实践</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（1）建设工程结算新规则；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（2）工程结算、期中结算、终止结算、竣工结算的区别；</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（3）期中结算法律性质分析；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（4）竣工结算所涉内容界定；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（5）工程结算所依据的法律性文件甄别与把控；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（6）尚未进行工程结算，业主已经使用建筑物应对策略；</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（7）挂靠人与被挂靠人之间工程款结算责任承担；</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（8）多份施工合同均无效工程结算依据确定原则；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（9） “权利可以放弃、义务必须履行”司法原则在工程竣工结算中的运用。</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二、参会对象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1、各地方政府有关建设规划、工程建设、市场监督管理等部门，工程勘察、设计、施工、监理单位以及建设工程交易、投资项目评审相关人员；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2、各业主单位项目管理、合同管理、造价管理、建设开发、财务审计等相关部门人员；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3、各类建筑施工企业、分包单位、设备材料供应、咨询代理机构等机构负责人。</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三、授课专家</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本期培训班拟邀请国家发改委、住建部相关部门及行业协会参与政策法规文件起草、行业规范编写，具有丰富实践经验的专家授课。培训将结合经典案例分析，进行现场答疑和互动交流。</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四、时间地点</w:t>
      </w:r>
    </w:p>
    <w:p>
      <w:pPr>
        <w:spacing w:line="320" w:lineRule="exact"/>
        <w:ind w:firstLine="560" w:firstLineChars="200"/>
        <w:rPr>
          <w:rFonts w:asciiTheme="minorEastAsia" w:hAnsiTheme="minorEastAsia" w:eastAsiaTheme="minorEastAsia"/>
          <w:snapToGrid w:val="0"/>
          <w:color w:val="000000"/>
          <w:kern w:val="20"/>
          <w:position w:val="-4"/>
          <w:sz w:val="28"/>
          <w:szCs w:val="28"/>
        </w:rPr>
      </w:pPr>
      <w:r>
        <w:rPr>
          <w:rFonts w:hint="eastAsia" w:asciiTheme="minorEastAsia" w:hAnsiTheme="minorEastAsia" w:eastAsiaTheme="minorEastAsia"/>
          <w:snapToGrid w:val="0"/>
          <w:color w:val="000000"/>
          <w:kern w:val="20"/>
          <w:position w:val="-4"/>
          <w:sz w:val="28"/>
          <w:szCs w:val="28"/>
        </w:rPr>
        <w:t xml:space="preserve">2020年06月26日—6月30日  成都市（26日全天报到） </w:t>
      </w:r>
    </w:p>
    <w:p>
      <w:pPr>
        <w:spacing w:line="320" w:lineRule="exact"/>
        <w:ind w:firstLine="560" w:firstLineChars="200"/>
        <w:rPr>
          <w:rFonts w:asciiTheme="minorEastAsia" w:hAnsiTheme="minorEastAsia" w:eastAsiaTheme="minorEastAsia"/>
          <w:snapToGrid w:val="0"/>
          <w:color w:val="000000"/>
          <w:kern w:val="20"/>
          <w:position w:val="-4"/>
          <w:sz w:val="28"/>
          <w:szCs w:val="28"/>
        </w:rPr>
      </w:pPr>
      <w:r>
        <w:rPr>
          <w:rFonts w:hint="eastAsia" w:asciiTheme="minorEastAsia" w:hAnsiTheme="minorEastAsia" w:eastAsiaTheme="minorEastAsia"/>
          <w:snapToGrid w:val="0"/>
          <w:color w:val="000000"/>
          <w:kern w:val="20"/>
          <w:position w:val="-4"/>
          <w:sz w:val="28"/>
          <w:szCs w:val="28"/>
        </w:rPr>
        <w:t xml:space="preserve">2020年07月23日—7月27日  贵阳市（23日全天报到） </w:t>
      </w:r>
    </w:p>
    <w:p>
      <w:pPr>
        <w:spacing w:line="320" w:lineRule="exact"/>
        <w:ind w:firstLine="560" w:firstLineChars="200"/>
        <w:rPr>
          <w:rFonts w:asciiTheme="minorEastAsia" w:hAnsiTheme="minorEastAsia" w:eastAsiaTheme="minorEastAsia"/>
          <w:snapToGrid w:val="0"/>
          <w:color w:val="000000"/>
          <w:kern w:val="20"/>
          <w:position w:val="-4"/>
          <w:sz w:val="28"/>
          <w:szCs w:val="28"/>
        </w:rPr>
      </w:pPr>
      <w:r>
        <w:rPr>
          <w:rFonts w:hint="eastAsia" w:asciiTheme="minorEastAsia" w:hAnsiTheme="minorEastAsia" w:eastAsiaTheme="minorEastAsia"/>
          <w:snapToGrid w:val="0"/>
          <w:color w:val="000000"/>
          <w:kern w:val="20"/>
          <w:position w:val="-4"/>
          <w:sz w:val="28"/>
          <w:szCs w:val="28"/>
        </w:rPr>
        <w:t xml:space="preserve">2020年08月14日—8月18日  昆明市（14日全天报到） </w:t>
      </w:r>
    </w:p>
    <w:p>
      <w:pPr>
        <w:spacing w:line="320" w:lineRule="exact"/>
        <w:ind w:firstLine="560" w:firstLineChars="200"/>
        <w:rPr>
          <w:rFonts w:asciiTheme="minorEastAsia" w:hAnsiTheme="minorEastAsia" w:eastAsiaTheme="minorEastAsia"/>
          <w:snapToGrid w:val="0"/>
          <w:color w:val="000000"/>
          <w:kern w:val="20"/>
          <w:position w:val="-4"/>
          <w:sz w:val="28"/>
          <w:szCs w:val="28"/>
        </w:rPr>
      </w:pPr>
      <w:r>
        <w:rPr>
          <w:rFonts w:hint="eastAsia" w:asciiTheme="minorEastAsia" w:hAnsiTheme="minorEastAsia" w:eastAsiaTheme="minorEastAsia"/>
          <w:snapToGrid w:val="0"/>
          <w:color w:val="000000"/>
          <w:kern w:val="20"/>
          <w:position w:val="-4"/>
          <w:sz w:val="28"/>
          <w:szCs w:val="28"/>
        </w:rPr>
        <w:t>2020年08月27日—8月31日  西安市（27日全天报到）</w:t>
      </w:r>
    </w:p>
    <w:p>
      <w:pPr>
        <w:spacing w:line="320" w:lineRule="exact"/>
        <w:ind w:firstLine="560" w:firstLineChars="200"/>
        <w:rPr>
          <w:rFonts w:asciiTheme="minorEastAsia" w:hAnsiTheme="minorEastAsia" w:eastAsiaTheme="minorEastAsia"/>
          <w:snapToGrid w:val="0"/>
          <w:color w:val="000000"/>
          <w:kern w:val="20"/>
          <w:position w:val="-4"/>
          <w:sz w:val="28"/>
          <w:szCs w:val="28"/>
        </w:rPr>
      </w:pPr>
      <w:r>
        <w:rPr>
          <w:rFonts w:hint="eastAsia" w:asciiTheme="minorEastAsia" w:hAnsiTheme="minorEastAsia" w:eastAsiaTheme="minorEastAsia"/>
          <w:snapToGrid w:val="0"/>
          <w:color w:val="000000"/>
          <w:kern w:val="20"/>
          <w:position w:val="-4"/>
          <w:sz w:val="28"/>
          <w:szCs w:val="28"/>
        </w:rPr>
        <w:t>2020年09月17日—9月21日  厦门市（17日全天报到）</w:t>
      </w:r>
    </w:p>
    <w:p>
      <w:pPr>
        <w:spacing w:line="320" w:lineRule="exact"/>
        <w:ind w:firstLine="560" w:firstLineChars="200"/>
        <w:rPr>
          <w:rFonts w:asciiTheme="minorEastAsia" w:hAnsiTheme="minorEastAsia" w:eastAsiaTheme="minorEastAsia"/>
          <w:snapToGrid w:val="0"/>
          <w:color w:val="000000"/>
          <w:kern w:val="20"/>
          <w:position w:val="-4"/>
          <w:sz w:val="28"/>
          <w:szCs w:val="28"/>
        </w:rPr>
      </w:pPr>
      <w:r>
        <w:rPr>
          <w:rFonts w:hint="eastAsia" w:asciiTheme="minorEastAsia" w:hAnsiTheme="minorEastAsia" w:eastAsiaTheme="minorEastAsia"/>
          <w:snapToGrid w:val="0"/>
          <w:color w:val="000000"/>
          <w:kern w:val="20"/>
          <w:position w:val="-4"/>
          <w:sz w:val="28"/>
          <w:szCs w:val="28"/>
        </w:rPr>
        <w:t>2020年10月23日—10月27日 成都市（23日全天报到）</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五、收费标准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A.2980元/人（含培训费、资料费、电子课件、场地、会议期间午餐），住宿统一安排，费用自理。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B.3980元/人（含证书、培训费、资料费、电子课件、场地、会议期间午餐），住宿统一安排，费用自理。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C.5980元/人（含证书、培训费、资料费、电子课件、场地、会议期间食宿、交流等）。</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asciiTheme="minorEastAsia" w:hAnsiTheme="minorEastAsia" w:eastAsiaTheme="minorEastAsia"/>
          <w:snapToGrid w:val="0"/>
          <w:color w:val="000000"/>
          <w:kern w:val="20"/>
          <w:position w:val="-4"/>
          <w:sz w:val="28"/>
          <w:szCs w:val="28"/>
        </w:rPr>
        <w:t>（不参加线下培训，单独申报证书2800元/人（可以听线上课程）</w:t>
      </w:r>
      <w:r>
        <w:rPr>
          <w:rFonts w:hint="eastAsia" w:cs="仿宋_GB2312" w:asciiTheme="minorEastAsia" w:hAnsiTheme="minorEastAsia" w:eastAsiaTheme="minorEastAsia"/>
          <w:bCs/>
          <w:color w:val="000000"/>
          <w:sz w:val="28"/>
          <w:szCs w:val="28"/>
        </w:rPr>
        <w:t>（证书由我会颁发“《项目经理》、《合同经理》、《设计经理》”。备注：证书报名材料：报名表一份、2寸照电子照片（白底免冠彩照）、身份证复印件一份、学历证书复印件一份。</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六、报名办法</w:t>
      </w:r>
    </w:p>
    <w:p>
      <w:pPr>
        <w:tabs>
          <w:tab w:val="left" w:pos="567"/>
          <w:tab w:val="left" w:pos="709"/>
        </w:tabs>
        <w:spacing w:line="320" w:lineRule="exact"/>
        <w:ind w:firstLine="420" w:firstLineChars="150"/>
        <w:textAlignment w:val="baseline"/>
        <w:outlineLvl w:val="0"/>
        <w:rPr>
          <w:rFonts w:hint="eastAsia"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报名负责人：聂红军 主任 18211071700（微信）   邮  箱：zqgphwz@126.com</w:t>
      </w:r>
    </w:p>
    <w:p>
      <w:pPr>
        <w:tabs>
          <w:tab w:val="left" w:pos="567"/>
          <w:tab w:val="left" w:pos="709"/>
        </w:tabs>
        <w:spacing w:line="320" w:lineRule="exact"/>
        <w:ind w:firstLine="420" w:firstLineChars="150"/>
        <w:textAlignment w:val="baseline"/>
        <w:outlineLvl w:val="0"/>
        <w:rPr>
          <w:rFonts w:hint="eastAsia"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 xml:space="preserve">电话（传真）：010-87697580                 qq咨询：3177524020   </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 xml:space="preserve">网址查询：http://www.zqgpchina.cn/  </w:t>
      </w:r>
      <w:r>
        <w:rPr>
          <w:rFonts w:asciiTheme="minorEastAsia" w:hAnsiTheme="minorEastAsia" w:eastAsiaTheme="minorEastAsia"/>
          <w:sz w:val="28"/>
          <w:szCs w:val="28"/>
        </w:rPr>
        <w:drawing>
          <wp:anchor distT="0" distB="0" distL="114300" distR="114300" simplePos="0" relativeHeight="251661312" behindDoc="1" locked="0" layoutInCell="1" allowOverlap="1">
            <wp:simplePos x="0" y="0"/>
            <wp:positionH relativeFrom="column">
              <wp:posOffset>3958590</wp:posOffset>
            </wp:positionH>
            <wp:positionV relativeFrom="paragraph">
              <wp:posOffset>133350</wp:posOffset>
            </wp:positionV>
            <wp:extent cx="1577340" cy="1567815"/>
            <wp:effectExtent l="0" t="0" r="0" b="0"/>
            <wp:wrapNone/>
            <wp:docPr id="1" name="图片 1" descr="C:\Users\Administrator\Desktop\图片\凡科快图导出2020221-155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凡科快图导出2020221-155639.pn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10000" contrast="12000"/>
                              </a14:imgEffect>
                            </a14:imgLayer>
                          </a14:imgProps>
                        </a:ext>
                        <a:ext uri="{28A0092B-C50C-407E-A947-70E740481C1C}">
                          <a14:useLocalDpi xmlns:a14="http://schemas.microsoft.com/office/drawing/2010/main" val="0"/>
                        </a:ext>
                      </a:extLst>
                    </a:blip>
                    <a:srcRect/>
                    <a:stretch>
                      <a:fillRect/>
                    </a:stretch>
                  </pic:blipFill>
                  <pic:spPr>
                    <a:xfrm>
                      <a:off x="0" y="0"/>
                      <a:ext cx="1577340" cy="1567815"/>
                    </a:xfrm>
                    <a:prstGeom prst="rect">
                      <a:avLst/>
                    </a:prstGeom>
                    <a:noFill/>
                    <a:ln>
                      <a:noFill/>
                    </a:ln>
                  </pic:spPr>
                </pic:pic>
              </a:graphicData>
            </a:graphic>
          </wp:anchor>
        </w:drawing>
      </w:r>
    </w:p>
    <w:p>
      <w:pPr>
        <w:spacing w:line="480" w:lineRule="exact"/>
        <w:jc w:val="center"/>
        <w:rPr>
          <w:rFonts w:ascii="仿宋" w:hAnsi="仿宋" w:eastAsia="仿宋"/>
          <w:b/>
          <w:sz w:val="30"/>
          <w:szCs w:val="30"/>
        </w:rPr>
      </w:pPr>
      <w:r>
        <w:rPr>
          <w:rFonts w:hint="eastAsia" w:ascii="宋体" w:hAnsi="宋体" w:cs="仿宋"/>
          <w:b/>
          <w:bCs/>
          <w:sz w:val="28"/>
          <w:szCs w:val="28"/>
        </w:rPr>
        <w:t>温馨提示：根据国家疫情防控的要求，如遇特殊情况课程会有适当调整。</w:t>
      </w:r>
    </w:p>
    <w:p>
      <w:pPr>
        <w:tabs>
          <w:tab w:val="left" w:pos="567"/>
          <w:tab w:val="left" w:pos="709"/>
        </w:tabs>
        <w:spacing w:line="320" w:lineRule="exact"/>
        <w:ind w:firstLine="420" w:firstLineChars="150"/>
        <w:textAlignment w:val="baseline"/>
        <w:outlineLvl w:val="0"/>
        <w:rPr>
          <w:rFonts w:ascii="仿宋" w:hAnsi="仿宋" w:eastAsia="仿宋" w:cs="仿宋_GB2312"/>
          <w:bCs/>
          <w:color w:val="000000"/>
          <w:sz w:val="28"/>
          <w:szCs w:val="28"/>
        </w:rPr>
      </w:pPr>
    </w:p>
    <w:p>
      <w:pPr>
        <w:tabs>
          <w:tab w:val="left" w:pos="567"/>
          <w:tab w:val="left" w:pos="709"/>
        </w:tabs>
        <w:spacing w:line="32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附件：报名回执表</w:t>
      </w:r>
    </w:p>
    <w:p>
      <w:pPr>
        <w:tabs>
          <w:tab w:val="left" w:pos="567"/>
          <w:tab w:val="left" w:pos="709"/>
        </w:tabs>
        <w:spacing w:line="310" w:lineRule="exact"/>
        <w:ind w:firstLine="6160" w:firstLineChars="2200"/>
        <w:textAlignment w:val="baseline"/>
        <w:outlineLvl w:val="0"/>
        <w:rPr>
          <w:rFonts w:ascii="仿宋" w:hAnsi="仿宋" w:eastAsia="仿宋" w:cs="仿宋_GB2312"/>
          <w:bCs/>
          <w:color w:val="000000"/>
          <w:sz w:val="28"/>
          <w:szCs w:val="28"/>
        </w:rPr>
      </w:pPr>
    </w:p>
    <w:p>
      <w:pPr>
        <w:tabs>
          <w:tab w:val="left" w:pos="567"/>
          <w:tab w:val="left" w:pos="709"/>
        </w:tabs>
        <w:spacing w:line="310" w:lineRule="exact"/>
        <w:ind w:firstLine="6020" w:firstLineChars="2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                                        二〇二〇年五月二十日</w:t>
      </w:r>
    </w:p>
    <w:p>
      <w:pPr>
        <w:spacing w:line="300" w:lineRule="exact"/>
        <w:jc w:val="center"/>
        <w:textAlignment w:val="baseline"/>
        <w:rPr>
          <w:rFonts w:ascii="仿宋" w:hAnsi="仿宋" w:eastAsia="仿宋" w:cs="黑体"/>
          <w:b/>
          <w:sz w:val="28"/>
          <w:szCs w:val="28"/>
        </w:rPr>
      </w:pPr>
    </w:p>
    <w:p>
      <w:pPr>
        <w:spacing w:line="300" w:lineRule="exact"/>
        <w:jc w:val="center"/>
        <w:textAlignment w:val="baseline"/>
        <w:rPr>
          <w:rFonts w:ascii="仿宋" w:hAnsi="仿宋" w:eastAsia="仿宋" w:cs="黑体"/>
          <w:b/>
          <w:sz w:val="28"/>
          <w:szCs w:val="28"/>
        </w:rPr>
      </w:pPr>
    </w:p>
    <w:p>
      <w:pPr>
        <w:spacing w:line="300" w:lineRule="exact"/>
        <w:jc w:val="center"/>
        <w:textAlignment w:val="baseline"/>
        <w:rPr>
          <w:rFonts w:ascii="仿宋" w:hAnsi="仿宋" w:eastAsia="仿宋" w:cs="黑体"/>
          <w:b/>
          <w:sz w:val="28"/>
          <w:szCs w:val="28"/>
        </w:rPr>
      </w:pPr>
      <w:bookmarkStart w:id="1" w:name="_GoBack"/>
      <w:bookmarkEnd w:id="1"/>
    </w:p>
    <w:p>
      <w:pPr>
        <w:spacing w:line="300" w:lineRule="exact"/>
        <w:textAlignment w:val="baseline"/>
        <w:rPr>
          <w:rFonts w:ascii="仿宋" w:hAnsi="仿宋" w:eastAsia="仿宋" w:cs="黑体"/>
          <w:b/>
          <w:sz w:val="28"/>
          <w:szCs w:val="28"/>
        </w:rPr>
      </w:pPr>
    </w:p>
    <w:p>
      <w:pPr>
        <w:spacing w:line="300" w:lineRule="exact"/>
        <w:ind w:firstLine="840" w:firstLineChars="300"/>
        <w:textAlignment w:val="baseline"/>
        <w:rPr>
          <w:rStyle w:val="11"/>
          <w:rFonts w:ascii="仿宋" w:hAnsi="仿宋" w:eastAsia="仿宋" w:cs="宋体"/>
          <w:color w:val="000000"/>
          <w:sz w:val="28"/>
          <w:szCs w:val="28"/>
          <w:lang w:val="zh-CN"/>
        </w:rPr>
      </w:pPr>
      <w:r>
        <w:rPr>
          <w:rFonts w:hint="eastAsia" w:ascii="仿宋" w:hAnsi="仿宋" w:eastAsia="仿宋" w:cs="黑体"/>
          <w:b/>
          <w:sz w:val="28"/>
          <w:szCs w:val="28"/>
        </w:rPr>
        <w:t>附件：全过程精细化造价管控人才培养培训班</w:t>
      </w:r>
      <w:r>
        <w:rPr>
          <w:rStyle w:val="11"/>
          <w:rFonts w:hint="eastAsia" w:ascii="仿宋" w:hAnsi="仿宋" w:eastAsia="仿宋" w:cs="宋体"/>
          <w:color w:val="000000"/>
          <w:sz w:val="28"/>
          <w:szCs w:val="28"/>
          <w:lang w:val="zh-CN"/>
        </w:rPr>
        <w:t>报名回执表</w:t>
      </w:r>
    </w:p>
    <w:p>
      <w:pPr>
        <w:spacing w:line="300" w:lineRule="exact"/>
        <w:textAlignment w:val="baseline"/>
        <w:rPr>
          <w:rStyle w:val="11"/>
          <w:rFonts w:ascii="仿宋" w:hAnsi="仿宋" w:eastAsia="仿宋" w:cs="黑体"/>
          <w:bCs w:val="0"/>
          <w:sz w:val="28"/>
          <w:szCs w:val="28"/>
        </w:rPr>
      </w:pPr>
    </w:p>
    <w:tbl>
      <w:tblPr>
        <w:tblStyle w:val="9"/>
        <w:tblpPr w:leftFromText="180" w:rightFromText="180" w:vertAnchor="page" w:horzAnchor="margin" w:tblpY="206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849"/>
        <w:gridCol w:w="712"/>
        <w:gridCol w:w="569"/>
        <w:gridCol w:w="1557"/>
        <w:gridCol w:w="583"/>
        <w:gridCol w:w="269"/>
        <w:gridCol w:w="418"/>
        <w:gridCol w:w="6"/>
        <w:gridCol w:w="303"/>
        <w:gridCol w:w="541"/>
        <w:gridCol w:w="291"/>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6"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单位名称</w:t>
            </w:r>
          </w:p>
        </w:tc>
        <w:tc>
          <w:tcPr>
            <w:tcW w:w="4957" w:type="dxa"/>
            <w:gridSpan w:val="7"/>
            <w:vAlign w:val="center"/>
          </w:tcPr>
          <w:p>
            <w:pPr>
              <w:spacing w:line="300" w:lineRule="exact"/>
              <w:ind w:right="-147" w:rightChars="-70"/>
              <w:jc w:val="center"/>
              <w:rPr>
                <w:rFonts w:ascii="仿宋_GB2312" w:eastAsia="仿宋_GB2312"/>
                <w:sz w:val="24"/>
              </w:rPr>
            </w:pPr>
          </w:p>
        </w:tc>
        <w:tc>
          <w:tcPr>
            <w:tcW w:w="850" w:type="dxa"/>
            <w:gridSpan w:val="3"/>
            <w:vAlign w:val="center"/>
          </w:tcPr>
          <w:p>
            <w:pPr>
              <w:spacing w:line="300" w:lineRule="exact"/>
              <w:ind w:right="-147" w:rightChars="-70"/>
              <w:rPr>
                <w:rFonts w:ascii="仿宋_GB2312" w:eastAsia="仿宋_GB2312"/>
                <w:sz w:val="24"/>
              </w:rPr>
            </w:pPr>
            <w:r>
              <w:rPr>
                <w:rFonts w:ascii="仿宋_GB2312" w:eastAsia="仿宋_GB2312"/>
                <w:sz w:val="24"/>
              </w:rPr>
              <w:t>邮编</w:t>
            </w:r>
          </w:p>
        </w:tc>
        <w:tc>
          <w:tcPr>
            <w:tcW w:w="2279" w:type="dxa"/>
            <w:gridSpan w:val="2"/>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6"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单位地址</w:t>
            </w:r>
          </w:p>
        </w:tc>
        <w:tc>
          <w:tcPr>
            <w:tcW w:w="8086" w:type="dxa"/>
            <w:gridSpan w:val="12"/>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6" w:type="dxa"/>
            <w:vAlign w:val="center"/>
          </w:tcPr>
          <w:p>
            <w:pPr>
              <w:spacing w:line="300" w:lineRule="exact"/>
              <w:ind w:right="-147" w:rightChars="-70"/>
              <w:jc w:val="center"/>
              <w:rPr>
                <w:rFonts w:ascii="仿宋_GB2312" w:eastAsia="仿宋_GB2312"/>
                <w:sz w:val="24"/>
              </w:rPr>
            </w:pPr>
            <w:r>
              <w:rPr>
                <w:rFonts w:ascii="仿宋_GB2312" w:eastAsia="仿宋_GB2312"/>
                <w:sz w:val="24"/>
              </w:rPr>
              <w:t>联系人</w:t>
            </w:r>
          </w:p>
        </w:tc>
        <w:tc>
          <w:tcPr>
            <w:tcW w:w="2130" w:type="dxa"/>
            <w:gridSpan w:val="3"/>
            <w:vAlign w:val="center"/>
          </w:tcPr>
          <w:p>
            <w:pPr>
              <w:spacing w:line="300" w:lineRule="exact"/>
              <w:ind w:right="-147" w:rightChars="-70" w:firstLine="960"/>
              <w:rPr>
                <w:rFonts w:ascii="仿宋_GB2312" w:eastAsia="仿宋_GB2312"/>
                <w:sz w:val="24"/>
              </w:rPr>
            </w:pPr>
          </w:p>
        </w:tc>
        <w:tc>
          <w:tcPr>
            <w:tcW w:w="2409"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职位/岗位</w:t>
            </w:r>
          </w:p>
        </w:tc>
        <w:tc>
          <w:tcPr>
            <w:tcW w:w="3547"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6" w:type="dxa"/>
            <w:vAlign w:val="center"/>
          </w:tcPr>
          <w:p>
            <w:pPr>
              <w:spacing w:line="300" w:lineRule="exact"/>
              <w:ind w:right="-147" w:rightChars="-70"/>
              <w:jc w:val="center"/>
              <w:rPr>
                <w:rFonts w:ascii="仿宋_GB2312" w:eastAsia="仿宋_GB2312"/>
                <w:sz w:val="24"/>
              </w:rPr>
            </w:pPr>
            <w:r>
              <w:rPr>
                <w:rFonts w:ascii="仿宋_GB2312" w:eastAsia="仿宋_GB2312"/>
                <w:sz w:val="24"/>
              </w:rPr>
              <w:t>办公电话</w:t>
            </w:r>
          </w:p>
        </w:tc>
        <w:tc>
          <w:tcPr>
            <w:tcW w:w="2130" w:type="dxa"/>
            <w:gridSpan w:val="3"/>
            <w:vAlign w:val="center"/>
          </w:tcPr>
          <w:p>
            <w:pPr>
              <w:spacing w:line="300" w:lineRule="exact"/>
              <w:ind w:right="-147" w:rightChars="-70"/>
              <w:rPr>
                <w:rFonts w:ascii="仿宋_GB2312" w:eastAsia="仿宋_GB2312"/>
                <w:sz w:val="24"/>
              </w:rPr>
            </w:pPr>
          </w:p>
        </w:tc>
        <w:tc>
          <w:tcPr>
            <w:tcW w:w="2409"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手    机</w:t>
            </w:r>
          </w:p>
        </w:tc>
        <w:tc>
          <w:tcPr>
            <w:tcW w:w="3547"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6" w:type="dxa"/>
            <w:vAlign w:val="center"/>
          </w:tcPr>
          <w:p>
            <w:pPr>
              <w:spacing w:line="300" w:lineRule="exact"/>
              <w:ind w:right="-147" w:rightChars="-70"/>
              <w:jc w:val="center"/>
              <w:rPr>
                <w:rFonts w:ascii="仿宋_GB2312" w:eastAsia="仿宋_GB2312"/>
                <w:sz w:val="24"/>
              </w:rPr>
            </w:pPr>
            <w:r>
              <w:rPr>
                <w:rFonts w:ascii="仿宋_GB2312" w:eastAsia="仿宋_GB2312"/>
                <w:sz w:val="24"/>
              </w:rPr>
              <w:t>传   真</w:t>
            </w:r>
          </w:p>
        </w:tc>
        <w:tc>
          <w:tcPr>
            <w:tcW w:w="2130" w:type="dxa"/>
            <w:gridSpan w:val="3"/>
            <w:vAlign w:val="center"/>
          </w:tcPr>
          <w:p>
            <w:pPr>
              <w:spacing w:line="300" w:lineRule="exact"/>
              <w:ind w:right="-147" w:rightChars="-70"/>
              <w:rPr>
                <w:rFonts w:ascii="仿宋_GB2312" w:eastAsia="仿宋_GB2312"/>
                <w:sz w:val="24"/>
              </w:rPr>
            </w:pPr>
          </w:p>
        </w:tc>
        <w:tc>
          <w:tcPr>
            <w:tcW w:w="2409"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电子信箱</w:t>
            </w:r>
          </w:p>
        </w:tc>
        <w:tc>
          <w:tcPr>
            <w:tcW w:w="3547"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6" w:type="dxa"/>
            <w:vAlign w:val="center"/>
          </w:tcPr>
          <w:p>
            <w:pPr>
              <w:spacing w:line="300" w:lineRule="exact"/>
              <w:ind w:right="-147" w:rightChars="-70"/>
              <w:jc w:val="center"/>
              <w:rPr>
                <w:rFonts w:ascii="仿宋_GB2312" w:eastAsia="仿宋_GB2312"/>
                <w:sz w:val="24"/>
              </w:rPr>
            </w:pPr>
            <w:r>
              <w:rPr>
                <w:rFonts w:ascii="仿宋_GB2312" w:eastAsia="仿宋_GB2312"/>
                <w:sz w:val="24"/>
              </w:rPr>
              <w:t>参加培训人员</w:t>
            </w:r>
          </w:p>
        </w:tc>
        <w:tc>
          <w:tcPr>
            <w:tcW w:w="849" w:type="dxa"/>
            <w:vAlign w:val="center"/>
          </w:tcPr>
          <w:p>
            <w:pPr>
              <w:spacing w:line="300" w:lineRule="exact"/>
              <w:ind w:right="-147" w:rightChars="-70"/>
              <w:jc w:val="center"/>
              <w:rPr>
                <w:rFonts w:ascii="仿宋_GB2312" w:eastAsia="仿宋_GB2312"/>
                <w:sz w:val="24"/>
              </w:rPr>
            </w:pPr>
            <w:r>
              <w:rPr>
                <w:rFonts w:ascii="仿宋_GB2312" w:eastAsia="仿宋_GB2312"/>
                <w:sz w:val="24"/>
              </w:rPr>
              <w:t>性别</w:t>
            </w:r>
          </w:p>
        </w:tc>
        <w:tc>
          <w:tcPr>
            <w:tcW w:w="1281" w:type="dxa"/>
            <w:gridSpan w:val="2"/>
            <w:vAlign w:val="center"/>
          </w:tcPr>
          <w:p>
            <w:pPr>
              <w:spacing w:line="300" w:lineRule="exact"/>
              <w:ind w:right="-147" w:rightChars="-70"/>
              <w:jc w:val="center"/>
              <w:rPr>
                <w:rFonts w:ascii="仿宋_GB2312" w:eastAsia="仿宋_GB2312"/>
                <w:sz w:val="24"/>
              </w:rPr>
            </w:pPr>
            <w:r>
              <w:rPr>
                <w:rFonts w:ascii="仿宋_GB2312" w:eastAsia="仿宋_GB2312"/>
                <w:sz w:val="24"/>
              </w:rPr>
              <w:t>职务</w:t>
            </w:r>
          </w:p>
        </w:tc>
        <w:tc>
          <w:tcPr>
            <w:tcW w:w="1557" w:type="dxa"/>
            <w:vAlign w:val="center"/>
          </w:tcPr>
          <w:p>
            <w:pPr>
              <w:spacing w:line="300" w:lineRule="exact"/>
              <w:ind w:right="-147" w:rightChars="-70"/>
              <w:jc w:val="center"/>
              <w:rPr>
                <w:rFonts w:ascii="仿宋_GB2312" w:eastAsia="仿宋_GB2312"/>
                <w:sz w:val="24"/>
              </w:rPr>
            </w:pPr>
            <w:r>
              <w:rPr>
                <w:rFonts w:ascii="仿宋_GB2312" w:eastAsia="仿宋_GB2312"/>
                <w:sz w:val="24"/>
              </w:rPr>
              <w:t>电话</w:t>
            </w:r>
          </w:p>
        </w:tc>
        <w:tc>
          <w:tcPr>
            <w:tcW w:w="2411" w:type="dxa"/>
            <w:gridSpan w:val="7"/>
            <w:vAlign w:val="center"/>
          </w:tcPr>
          <w:p>
            <w:pPr>
              <w:spacing w:line="300" w:lineRule="exact"/>
              <w:ind w:right="-147" w:rightChars="-70"/>
              <w:jc w:val="center"/>
              <w:rPr>
                <w:rFonts w:ascii="仿宋_GB2312" w:eastAsia="仿宋_GB2312"/>
                <w:sz w:val="24"/>
              </w:rPr>
            </w:pPr>
            <w:r>
              <w:rPr>
                <w:rFonts w:ascii="仿宋_GB2312" w:eastAsia="仿宋_GB2312"/>
                <w:sz w:val="24"/>
              </w:rPr>
              <w:t>手机</w:t>
            </w:r>
          </w:p>
        </w:tc>
        <w:tc>
          <w:tcPr>
            <w:tcW w:w="1988" w:type="dxa"/>
            <w:vAlign w:val="center"/>
          </w:tcPr>
          <w:p>
            <w:pPr>
              <w:spacing w:line="30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1" w:type="dxa"/>
            <w:gridSpan w:val="2"/>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1" w:type="dxa"/>
            <w:gridSpan w:val="2"/>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1" w:type="dxa"/>
            <w:gridSpan w:val="2"/>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1" w:type="dxa"/>
            <w:gridSpan w:val="2"/>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1" w:type="dxa"/>
            <w:gridSpan w:val="2"/>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1" w:type="dxa"/>
            <w:gridSpan w:val="2"/>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6" w:type="dxa"/>
            <w:vAlign w:val="center"/>
          </w:tcPr>
          <w:p>
            <w:pPr>
              <w:spacing w:line="300" w:lineRule="exact"/>
              <w:ind w:right="-147" w:rightChars="-70" w:firstLine="360" w:firstLineChars="1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参会地点    </w:t>
            </w:r>
          </w:p>
        </w:tc>
        <w:tc>
          <w:tcPr>
            <w:tcW w:w="1561" w:type="dxa"/>
            <w:gridSpan w:val="2"/>
            <w:vAlign w:val="center"/>
          </w:tcPr>
          <w:p>
            <w:pPr>
              <w:spacing w:line="300" w:lineRule="exact"/>
              <w:ind w:right="-147" w:rightChars="-70" w:firstLine="240" w:firstLineChars="100"/>
              <w:jc w:val="left"/>
              <w:rPr>
                <w:rFonts w:asciiTheme="minorEastAsia" w:hAnsiTheme="minorEastAsia" w:eastAsiaTheme="minorEastAsia"/>
                <w:color w:val="000000"/>
                <w:sz w:val="24"/>
              </w:rPr>
            </w:pPr>
          </w:p>
        </w:tc>
        <w:tc>
          <w:tcPr>
            <w:tcW w:w="2126" w:type="dxa"/>
            <w:gridSpan w:val="2"/>
            <w:vAlign w:val="center"/>
          </w:tcPr>
          <w:p>
            <w:pPr>
              <w:spacing w:line="300" w:lineRule="exact"/>
              <w:ind w:right="-147" w:rightChars="-70" w:firstLine="240" w:firstLineChars="1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证书申报</w:t>
            </w:r>
          </w:p>
        </w:tc>
        <w:tc>
          <w:tcPr>
            <w:tcW w:w="4399" w:type="dxa"/>
            <w:gridSpan w:val="8"/>
            <w:vAlign w:val="center"/>
          </w:tcPr>
          <w:p>
            <w:pPr>
              <w:spacing w:line="300" w:lineRule="exact"/>
              <w:ind w:right="-147" w:rightChars="-7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项目经理□  合同经理□  设计经理□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6" w:type="dxa"/>
          </w:tcPr>
          <w:p>
            <w:pPr>
              <w:spacing w:line="300" w:lineRule="exact"/>
              <w:ind w:right="-147" w:rightChars="-70"/>
              <w:jc w:val="center"/>
              <w:rPr>
                <w:rFonts w:asciiTheme="minorEastAsia" w:hAnsiTheme="minorEastAsia" w:eastAsiaTheme="minorEastAsia"/>
                <w:bCs/>
                <w:sz w:val="24"/>
              </w:rPr>
            </w:pPr>
            <w:r>
              <w:rPr>
                <w:rFonts w:asciiTheme="minorEastAsia" w:hAnsiTheme="minorEastAsia" w:eastAsiaTheme="minorEastAsia"/>
                <w:bCs/>
                <w:sz w:val="24"/>
              </w:rPr>
              <w:t>付款方式</w:t>
            </w:r>
          </w:p>
        </w:tc>
        <w:tc>
          <w:tcPr>
            <w:tcW w:w="4270" w:type="dxa"/>
            <w:gridSpan w:val="5"/>
          </w:tcPr>
          <w:p>
            <w:pPr>
              <w:widowControl/>
              <w:spacing w:line="300" w:lineRule="exact"/>
              <w:ind w:right="-147" w:rightChars="-70"/>
              <w:jc w:val="center"/>
              <w:rPr>
                <w:rFonts w:asciiTheme="minorEastAsia" w:hAnsiTheme="minorEastAsia" w:eastAsiaTheme="minorEastAsia"/>
                <w:sz w:val="24"/>
              </w:rPr>
            </w:pPr>
            <w:r>
              <w:rPr>
                <w:rFonts w:asciiTheme="minorEastAsia" w:hAnsiTheme="minorEastAsia" w:eastAsiaTheme="minorEastAsia"/>
                <w:sz w:val="24"/>
              </w:rPr>
              <w:t xml:space="preserve">□通过银行     □通过网银 </w:t>
            </w:r>
          </w:p>
        </w:tc>
        <w:tc>
          <w:tcPr>
            <w:tcW w:w="996" w:type="dxa"/>
            <w:gridSpan w:val="4"/>
          </w:tcPr>
          <w:p>
            <w:pPr>
              <w:widowControl/>
              <w:spacing w:line="300" w:lineRule="exact"/>
              <w:ind w:right="-147" w:rightChars="-70"/>
              <w:jc w:val="center"/>
              <w:rPr>
                <w:rFonts w:asciiTheme="minorEastAsia" w:hAnsiTheme="minorEastAsia" w:eastAsiaTheme="minorEastAsia"/>
                <w:sz w:val="24"/>
              </w:rPr>
            </w:pPr>
            <w:r>
              <w:rPr>
                <w:rFonts w:asciiTheme="minorEastAsia" w:hAnsiTheme="minorEastAsia" w:eastAsiaTheme="minorEastAsia"/>
                <w:sz w:val="24"/>
              </w:rPr>
              <w:t>金额</w:t>
            </w:r>
          </w:p>
        </w:tc>
        <w:tc>
          <w:tcPr>
            <w:tcW w:w="2820" w:type="dxa"/>
            <w:gridSpan w:val="3"/>
          </w:tcPr>
          <w:p>
            <w:pPr>
              <w:widowControl/>
              <w:spacing w:line="300" w:lineRule="exact"/>
              <w:ind w:right="-147" w:rightChars="-7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6" w:type="dxa"/>
          </w:tcPr>
          <w:p>
            <w:pPr>
              <w:spacing w:line="300" w:lineRule="exact"/>
              <w:ind w:right="-147" w:rightChars="-70"/>
              <w:rPr>
                <w:rFonts w:asciiTheme="minorEastAsia" w:hAnsiTheme="minorEastAsia" w:eastAsiaTheme="minorEastAsia"/>
                <w:bCs/>
                <w:sz w:val="24"/>
              </w:rPr>
            </w:pPr>
          </w:p>
          <w:p>
            <w:pPr>
              <w:spacing w:line="300" w:lineRule="exact"/>
              <w:ind w:right="-147" w:rightChars="-70"/>
              <w:rPr>
                <w:rFonts w:asciiTheme="minorEastAsia" w:hAnsiTheme="minorEastAsia" w:eastAsiaTheme="minorEastAsia"/>
                <w:bCs/>
                <w:sz w:val="24"/>
              </w:rPr>
            </w:pPr>
            <w:r>
              <w:rPr>
                <w:rFonts w:hint="eastAsia" w:asciiTheme="minorEastAsia" w:hAnsiTheme="minorEastAsia" w:eastAsiaTheme="minorEastAsia"/>
                <w:bCs/>
                <w:sz w:val="24"/>
              </w:rPr>
              <w:t>汇款方式</w:t>
            </w:r>
          </w:p>
        </w:tc>
        <w:tc>
          <w:tcPr>
            <w:tcW w:w="8086" w:type="dxa"/>
            <w:gridSpan w:val="12"/>
          </w:tcPr>
          <w:p>
            <w:pPr>
              <w:spacing w:line="360" w:lineRule="exact"/>
              <w:ind w:right="-147" w:rightChars="-70"/>
              <w:rPr>
                <w:rFonts w:asciiTheme="minorEastAsia" w:hAnsiTheme="minorEastAsia" w:eastAsiaTheme="minorEastAsia"/>
                <w:bCs/>
                <w:sz w:val="24"/>
              </w:rPr>
            </w:pPr>
            <w:r>
              <w:rPr>
                <w:rFonts w:hint="eastAsia" w:asciiTheme="minorEastAsia" w:hAnsiTheme="minorEastAsia" w:eastAsiaTheme="minorEastAsia"/>
                <w:bCs/>
                <w:sz w:val="24"/>
              </w:rPr>
              <w:t>开户名称：北京博纳金成信息咨询有限公司</w:t>
            </w:r>
          </w:p>
          <w:p>
            <w:pPr>
              <w:spacing w:line="360" w:lineRule="exact"/>
              <w:ind w:right="-147" w:rightChars="-70"/>
              <w:rPr>
                <w:rFonts w:asciiTheme="minorEastAsia" w:hAnsiTheme="minorEastAsia" w:eastAsiaTheme="minorEastAsia"/>
                <w:bCs/>
                <w:sz w:val="24"/>
              </w:rPr>
            </w:pPr>
            <w:r>
              <w:rPr>
                <w:rFonts w:hint="eastAsia" w:asciiTheme="minorEastAsia" w:hAnsiTheme="minorEastAsia" w:eastAsiaTheme="minorEastAsia"/>
                <w:bCs/>
                <w:sz w:val="24"/>
              </w:rPr>
              <w:t xml:space="preserve">开 户 行：北京农村商业银行股份有限公司宣武支行 </w:t>
            </w:r>
          </w:p>
          <w:p>
            <w:pPr>
              <w:spacing w:line="480" w:lineRule="exact"/>
              <w:rPr>
                <w:rFonts w:cs="仿宋" w:asciiTheme="minorEastAsia" w:hAnsiTheme="minorEastAsia" w:eastAsiaTheme="minorEastAsia"/>
                <w:sz w:val="24"/>
              </w:rPr>
            </w:pPr>
            <w:r>
              <w:rPr>
                <w:rFonts w:hint="eastAsia" w:asciiTheme="minorEastAsia" w:hAnsiTheme="minorEastAsia" w:eastAsiaTheme="minorEastAsia"/>
                <w:bCs/>
                <w:sz w:val="24"/>
              </w:rPr>
              <w:t>账    号：1901000103000012346</w:t>
            </w:r>
            <w:r>
              <w:rPr>
                <w:rFonts w:hint="eastAsia" w:asciiTheme="minorEastAsia" w:hAnsiTheme="minorEastAsia" w:eastAsiaTheme="minorEastAsia"/>
                <w:bCs/>
                <w:sz w:val="24"/>
              </w:rPr>
              <w:tab/>
            </w:r>
            <w:r>
              <w:rPr>
                <w:rFonts w:hint="eastAsia" w:asciiTheme="minorEastAsia" w:hAnsiTheme="minorEastAsia" w:eastAsiaTheme="minorEastAsia"/>
                <w:bCs/>
                <w:sz w:val="24"/>
              </w:rPr>
              <w:t>（行号402100007307）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6"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bCs/>
                <w:sz w:val="24"/>
              </w:rPr>
              <w:t>发票类别</w:t>
            </w:r>
          </w:p>
        </w:tc>
        <w:tc>
          <w:tcPr>
            <w:tcW w:w="8086" w:type="dxa"/>
            <w:gridSpan w:val="12"/>
          </w:tcPr>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增值税（□普通□专用）发票,开票信息如下：</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单 位 名 称：</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税       号：</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地址、 电话：</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6" w:type="dxa"/>
            <w:vAlign w:val="center"/>
          </w:tcPr>
          <w:p>
            <w:pPr>
              <w:spacing w:line="300" w:lineRule="exact"/>
              <w:ind w:right="-147" w:rightChars="-70"/>
              <w:jc w:val="center"/>
              <w:rPr>
                <w:rFonts w:asciiTheme="minorEastAsia" w:hAnsiTheme="minorEastAsia" w:eastAsiaTheme="minorEastAsia"/>
                <w:bCs/>
                <w:sz w:val="24"/>
              </w:rPr>
            </w:pPr>
            <w:r>
              <w:rPr>
                <w:rFonts w:asciiTheme="minorEastAsia" w:hAnsiTheme="minorEastAsia" w:eastAsiaTheme="minorEastAsia"/>
                <w:sz w:val="24"/>
              </w:rPr>
              <w:t>备注</w:t>
            </w:r>
          </w:p>
        </w:tc>
        <w:tc>
          <w:tcPr>
            <w:tcW w:w="4963" w:type="dxa"/>
            <w:gridSpan w:val="8"/>
            <w:vAlign w:val="center"/>
          </w:tcPr>
          <w:p>
            <w:pPr>
              <w:spacing w:line="300" w:lineRule="exact"/>
              <w:ind w:right="-147" w:rightChars="-70"/>
              <w:rPr>
                <w:rFonts w:asciiTheme="minorEastAsia" w:hAnsiTheme="minorEastAsia" w:eastAsiaTheme="minorEastAsia"/>
                <w:sz w:val="24"/>
              </w:rPr>
            </w:pPr>
            <w:r>
              <w:rPr>
                <w:rFonts w:asciiTheme="minorEastAsia" w:hAnsiTheme="minorEastAsia" w:eastAsiaTheme="minorEastAsia"/>
                <w:sz w:val="24"/>
              </w:rPr>
              <w:tab/>
            </w:r>
            <w:r>
              <w:rPr>
                <w:rFonts w:asciiTheme="minorEastAsia" w:hAnsiTheme="minorEastAsia" w:eastAsiaTheme="minorEastAsia"/>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123" w:type="dxa"/>
            <w:gridSpan w:val="4"/>
            <w:vAlign w:val="center"/>
          </w:tcPr>
          <w:p>
            <w:pPr>
              <w:spacing w:line="300" w:lineRule="exact"/>
              <w:ind w:right="-147" w:rightChars="-70" w:firstLine="1080" w:firstLineChars="450"/>
              <w:rPr>
                <w:rFonts w:asciiTheme="minorEastAsia" w:hAnsiTheme="minorEastAsia" w:eastAsiaTheme="minorEastAsia"/>
                <w:sz w:val="24"/>
              </w:rPr>
            </w:pPr>
            <w:r>
              <w:rPr>
                <w:rFonts w:asciiTheme="minorEastAsia" w:hAnsiTheme="minorEastAsia" w:eastAsiaTheme="minorEastAsia"/>
                <w:sz w:val="24"/>
              </w:rPr>
              <w:t>单位印章</w:t>
            </w:r>
          </w:p>
          <w:p>
            <w:pPr>
              <w:spacing w:line="300" w:lineRule="exact"/>
              <w:ind w:right="-147" w:rightChars="-70" w:firstLine="240" w:firstLineChars="100"/>
              <w:rPr>
                <w:rFonts w:asciiTheme="minorEastAsia" w:hAnsiTheme="minorEastAsia" w:eastAsiaTheme="minorEastAsia"/>
                <w:sz w:val="24"/>
              </w:rPr>
            </w:pPr>
            <w:r>
              <w:rPr>
                <w:rFonts w:hint="eastAsia" w:asciiTheme="minorEastAsia" w:hAnsiTheme="minorEastAsia" w:eastAsiaTheme="minorEastAsia"/>
                <w:sz w:val="24"/>
              </w:rPr>
              <w:t>二〇二〇</w:t>
            </w:r>
            <w:r>
              <w:rPr>
                <w:rFonts w:asciiTheme="minorEastAsia" w:hAnsiTheme="minorEastAsia" w:eastAsiaTheme="minorEastAsia"/>
                <w:sz w:val="24"/>
              </w:rPr>
              <w:t>年  月  日</w:t>
            </w:r>
          </w:p>
        </w:tc>
      </w:tr>
    </w:tbl>
    <w:p>
      <w:pPr>
        <w:widowControl/>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备注：培训班名额有限,请尽早报名，额满为止。报名表加盖印章有效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报名负责人：聂红军 主任 18211071700（微信）     邮  箱：zqgphwz@126.com</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电话（传真）：010-87697580                      qq咨询：3177524020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s="仿宋" w:asciiTheme="minorEastAsia" w:hAnsiTheme="minorEastAsia" w:eastAsiaTheme="minorEastAsia"/>
          <w:kern w:val="0"/>
          <w:sz w:val="28"/>
          <w:szCs w:val="28"/>
        </w:rPr>
      </w:pPr>
      <w:r>
        <w:rPr>
          <w:rFonts w:hint="eastAsia" w:asciiTheme="minorEastAsia" w:hAnsiTheme="minorEastAsia" w:eastAsiaTheme="minorEastAsia"/>
          <w:sz w:val="28"/>
          <w:szCs w:val="28"/>
        </w:rPr>
        <w:t xml:space="preserve">网址查询：http://www.zqgpchina.cn/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bGRr0QAAAAIBAAAPAAAAAAAA&#10;AAEAIAAAACIAAABkcnMvZG93bnJldi54bWxQSwECFAAUAAAACACHTuJA7v01HRkCAAASBAAADgAA&#10;AAAAAAABACAAAAAgAQAAZHJzL2Uyb0RvYy54bWxQSwUGAAAAAAYABgBZAQAAq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232DE"/>
    <w:rsid w:val="000308AF"/>
    <w:rsid w:val="000342DF"/>
    <w:rsid w:val="00046647"/>
    <w:rsid w:val="0005255C"/>
    <w:rsid w:val="00056A27"/>
    <w:rsid w:val="000617F4"/>
    <w:rsid w:val="0006446E"/>
    <w:rsid w:val="00074E1A"/>
    <w:rsid w:val="00092650"/>
    <w:rsid w:val="000A1706"/>
    <w:rsid w:val="000C066B"/>
    <w:rsid w:val="000C7A80"/>
    <w:rsid w:val="000C7BB8"/>
    <w:rsid w:val="000E10CF"/>
    <w:rsid w:val="000E52B3"/>
    <w:rsid w:val="00103FE5"/>
    <w:rsid w:val="00110043"/>
    <w:rsid w:val="00110F54"/>
    <w:rsid w:val="00114ABE"/>
    <w:rsid w:val="00115BBD"/>
    <w:rsid w:val="00117A73"/>
    <w:rsid w:val="00130DE1"/>
    <w:rsid w:val="0013280D"/>
    <w:rsid w:val="00147186"/>
    <w:rsid w:val="00150106"/>
    <w:rsid w:val="001511A0"/>
    <w:rsid w:val="001513F6"/>
    <w:rsid w:val="001542EE"/>
    <w:rsid w:val="00154D41"/>
    <w:rsid w:val="00176CF4"/>
    <w:rsid w:val="00177322"/>
    <w:rsid w:val="0019052F"/>
    <w:rsid w:val="001B6B47"/>
    <w:rsid w:val="001C0221"/>
    <w:rsid w:val="001C57FA"/>
    <w:rsid w:val="001D12CD"/>
    <w:rsid w:val="001E0334"/>
    <w:rsid w:val="001F19FD"/>
    <w:rsid w:val="00202996"/>
    <w:rsid w:val="002135E2"/>
    <w:rsid w:val="002138B6"/>
    <w:rsid w:val="00213EBF"/>
    <w:rsid w:val="0022107C"/>
    <w:rsid w:val="00223B63"/>
    <w:rsid w:val="00224B28"/>
    <w:rsid w:val="002315D5"/>
    <w:rsid w:val="002368DA"/>
    <w:rsid w:val="002406D9"/>
    <w:rsid w:val="00263D06"/>
    <w:rsid w:val="00265856"/>
    <w:rsid w:val="00280CFA"/>
    <w:rsid w:val="002811AE"/>
    <w:rsid w:val="002815F5"/>
    <w:rsid w:val="0028238A"/>
    <w:rsid w:val="00290A6E"/>
    <w:rsid w:val="00295FD2"/>
    <w:rsid w:val="002A360A"/>
    <w:rsid w:val="002A6938"/>
    <w:rsid w:val="002B26B3"/>
    <w:rsid w:val="002B4033"/>
    <w:rsid w:val="002C2F3F"/>
    <w:rsid w:val="002C4C8C"/>
    <w:rsid w:val="002D7578"/>
    <w:rsid w:val="002F5CBB"/>
    <w:rsid w:val="00301501"/>
    <w:rsid w:val="0030751E"/>
    <w:rsid w:val="0032074D"/>
    <w:rsid w:val="003262A3"/>
    <w:rsid w:val="0032769F"/>
    <w:rsid w:val="003317EA"/>
    <w:rsid w:val="00331E3C"/>
    <w:rsid w:val="00340CE5"/>
    <w:rsid w:val="00362368"/>
    <w:rsid w:val="003659D3"/>
    <w:rsid w:val="003757C7"/>
    <w:rsid w:val="003803B9"/>
    <w:rsid w:val="003860F6"/>
    <w:rsid w:val="003C0CD0"/>
    <w:rsid w:val="003C33F0"/>
    <w:rsid w:val="003D112D"/>
    <w:rsid w:val="003D4A9A"/>
    <w:rsid w:val="003F2132"/>
    <w:rsid w:val="003F5394"/>
    <w:rsid w:val="004008E1"/>
    <w:rsid w:val="00407028"/>
    <w:rsid w:val="00422C30"/>
    <w:rsid w:val="0043096F"/>
    <w:rsid w:val="00441C2A"/>
    <w:rsid w:val="00442EE8"/>
    <w:rsid w:val="004569EF"/>
    <w:rsid w:val="00457F0B"/>
    <w:rsid w:val="00460A34"/>
    <w:rsid w:val="00464254"/>
    <w:rsid w:val="00465F9B"/>
    <w:rsid w:val="00470934"/>
    <w:rsid w:val="00471165"/>
    <w:rsid w:val="004738EA"/>
    <w:rsid w:val="004A4BEF"/>
    <w:rsid w:val="004A4FF4"/>
    <w:rsid w:val="004B0CD7"/>
    <w:rsid w:val="004B0ECD"/>
    <w:rsid w:val="004B15E2"/>
    <w:rsid w:val="004B20C0"/>
    <w:rsid w:val="004C6075"/>
    <w:rsid w:val="004D607B"/>
    <w:rsid w:val="004E143A"/>
    <w:rsid w:val="004E237C"/>
    <w:rsid w:val="004F265B"/>
    <w:rsid w:val="004F6A68"/>
    <w:rsid w:val="00507303"/>
    <w:rsid w:val="005206E5"/>
    <w:rsid w:val="00531972"/>
    <w:rsid w:val="0053533B"/>
    <w:rsid w:val="005414A6"/>
    <w:rsid w:val="00543236"/>
    <w:rsid w:val="00546AF6"/>
    <w:rsid w:val="00550319"/>
    <w:rsid w:val="00564F7B"/>
    <w:rsid w:val="005662BA"/>
    <w:rsid w:val="00587B0D"/>
    <w:rsid w:val="0059259C"/>
    <w:rsid w:val="005960A9"/>
    <w:rsid w:val="0059749D"/>
    <w:rsid w:val="005A4849"/>
    <w:rsid w:val="005B728E"/>
    <w:rsid w:val="005E1F51"/>
    <w:rsid w:val="005E4EFD"/>
    <w:rsid w:val="005F17EB"/>
    <w:rsid w:val="006043A3"/>
    <w:rsid w:val="0061057E"/>
    <w:rsid w:val="0061060F"/>
    <w:rsid w:val="0063196E"/>
    <w:rsid w:val="00660ECA"/>
    <w:rsid w:val="006637EB"/>
    <w:rsid w:val="00673B2F"/>
    <w:rsid w:val="0067507E"/>
    <w:rsid w:val="006932E8"/>
    <w:rsid w:val="006938A1"/>
    <w:rsid w:val="006A33E5"/>
    <w:rsid w:val="006B025E"/>
    <w:rsid w:val="006C2CED"/>
    <w:rsid w:val="006D1043"/>
    <w:rsid w:val="006D4FCF"/>
    <w:rsid w:val="006E28D9"/>
    <w:rsid w:val="006E4A26"/>
    <w:rsid w:val="006E5EC1"/>
    <w:rsid w:val="00720BC2"/>
    <w:rsid w:val="007211E2"/>
    <w:rsid w:val="00721AEB"/>
    <w:rsid w:val="00725DD5"/>
    <w:rsid w:val="00732767"/>
    <w:rsid w:val="00733AA0"/>
    <w:rsid w:val="007740D3"/>
    <w:rsid w:val="00777879"/>
    <w:rsid w:val="00797AA1"/>
    <w:rsid w:val="007A27FA"/>
    <w:rsid w:val="007A45EF"/>
    <w:rsid w:val="007A5669"/>
    <w:rsid w:val="007B49DF"/>
    <w:rsid w:val="007C2681"/>
    <w:rsid w:val="007D595B"/>
    <w:rsid w:val="007F2DDA"/>
    <w:rsid w:val="007F4DE4"/>
    <w:rsid w:val="007F5AA6"/>
    <w:rsid w:val="00802300"/>
    <w:rsid w:val="008036E9"/>
    <w:rsid w:val="00807356"/>
    <w:rsid w:val="00814AD1"/>
    <w:rsid w:val="00833D7A"/>
    <w:rsid w:val="00834BD9"/>
    <w:rsid w:val="00836499"/>
    <w:rsid w:val="00857FD9"/>
    <w:rsid w:val="00872F56"/>
    <w:rsid w:val="0088357D"/>
    <w:rsid w:val="00890163"/>
    <w:rsid w:val="008C4880"/>
    <w:rsid w:val="008D037D"/>
    <w:rsid w:val="008D3603"/>
    <w:rsid w:val="008F4FEA"/>
    <w:rsid w:val="00901B54"/>
    <w:rsid w:val="00906D0E"/>
    <w:rsid w:val="009075F7"/>
    <w:rsid w:val="00910F6D"/>
    <w:rsid w:val="00920F0E"/>
    <w:rsid w:val="00934272"/>
    <w:rsid w:val="009365FA"/>
    <w:rsid w:val="009369A3"/>
    <w:rsid w:val="009377C7"/>
    <w:rsid w:val="0094650A"/>
    <w:rsid w:val="009539F8"/>
    <w:rsid w:val="0096214F"/>
    <w:rsid w:val="00966DAC"/>
    <w:rsid w:val="00974BD0"/>
    <w:rsid w:val="00977B5C"/>
    <w:rsid w:val="00991068"/>
    <w:rsid w:val="009938B4"/>
    <w:rsid w:val="009A2D1D"/>
    <w:rsid w:val="009A59DC"/>
    <w:rsid w:val="009B77CF"/>
    <w:rsid w:val="009B798B"/>
    <w:rsid w:val="009C46E9"/>
    <w:rsid w:val="009E2B88"/>
    <w:rsid w:val="009E4166"/>
    <w:rsid w:val="009E4BCB"/>
    <w:rsid w:val="009E7C8B"/>
    <w:rsid w:val="009F1B4F"/>
    <w:rsid w:val="009F2B4A"/>
    <w:rsid w:val="009F70B7"/>
    <w:rsid w:val="00A0140F"/>
    <w:rsid w:val="00A138FB"/>
    <w:rsid w:val="00A34B75"/>
    <w:rsid w:val="00A37F32"/>
    <w:rsid w:val="00A435CF"/>
    <w:rsid w:val="00A54FE8"/>
    <w:rsid w:val="00A64DAD"/>
    <w:rsid w:val="00A815A4"/>
    <w:rsid w:val="00A8540E"/>
    <w:rsid w:val="00A85F8A"/>
    <w:rsid w:val="00A92A3D"/>
    <w:rsid w:val="00A9550D"/>
    <w:rsid w:val="00AA0AAD"/>
    <w:rsid w:val="00AA16D6"/>
    <w:rsid w:val="00AB5AD3"/>
    <w:rsid w:val="00AB6628"/>
    <w:rsid w:val="00AD2089"/>
    <w:rsid w:val="00AD535B"/>
    <w:rsid w:val="00AD58CE"/>
    <w:rsid w:val="00AE1B23"/>
    <w:rsid w:val="00AE764D"/>
    <w:rsid w:val="00AF4BBA"/>
    <w:rsid w:val="00B07DE6"/>
    <w:rsid w:val="00B1643A"/>
    <w:rsid w:val="00B165B4"/>
    <w:rsid w:val="00B350D1"/>
    <w:rsid w:val="00B41CBB"/>
    <w:rsid w:val="00B46AA3"/>
    <w:rsid w:val="00B47E67"/>
    <w:rsid w:val="00B5301E"/>
    <w:rsid w:val="00B54CE0"/>
    <w:rsid w:val="00B72811"/>
    <w:rsid w:val="00B7364D"/>
    <w:rsid w:val="00B81A75"/>
    <w:rsid w:val="00B84258"/>
    <w:rsid w:val="00B869E9"/>
    <w:rsid w:val="00B86BB9"/>
    <w:rsid w:val="00B92FA8"/>
    <w:rsid w:val="00B93188"/>
    <w:rsid w:val="00BB3624"/>
    <w:rsid w:val="00BC180F"/>
    <w:rsid w:val="00BC4B51"/>
    <w:rsid w:val="00BC5F5C"/>
    <w:rsid w:val="00BC7BDD"/>
    <w:rsid w:val="00BD335A"/>
    <w:rsid w:val="00BD5EF0"/>
    <w:rsid w:val="00BD6444"/>
    <w:rsid w:val="00BF185A"/>
    <w:rsid w:val="00BF48B2"/>
    <w:rsid w:val="00BF627C"/>
    <w:rsid w:val="00C03ECC"/>
    <w:rsid w:val="00C1084B"/>
    <w:rsid w:val="00C11786"/>
    <w:rsid w:val="00C204E4"/>
    <w:rsid w:val="00C26402"/>
    <w:rsid w:val="00C30A83"/>
    <w:rsid w:val="00C42E7E"/>
    <w:rsid w:val="00C57D45"/>
    <w:rsid w:val="00C743BC"/>
    <w:rsid w:val="00C77044"/>
    <w:rsid w:val="00C8130A"/>
    <w:rsid w:val="00C82AA5"/>
    <w:rsid w:val="00C83028"/>
    <w:rsid w:val="00C83BCE"/>
    <w:rsid w:val="00C9437E"/>
    <w:rsid w:val="00C95385"/>
    <w:rsid w:val="00CA0162"/>
    <w:rsid w:val="00CA0D6D"/>
    <w:rsid w:val="00CA2796"/>
    <w:rsid w:val="00CB06DF"/>
    <w:rsid w:val="00CB746D"/>
    <w:rsid w:val="00CC4E7C"/>
    <w:rsid w:val="00CD073C"/>
    <w:rsid w:val="00CD1C04"/>
    <w:rsid w:val="00CE5058"/>
    <w:rsid w:val="00D07ADD"/>
    <w:rsid w:val="00D104CF"/>
    <w:rsid w:val="00D13B44"/>
    <w:rsid w:val="00D2111E"/>
    <w:rsid w:val="00D36FDC"/>
    <w:rsid w:val="00D47FE5"/>
    <w:rsid w:val="00D53D56"/>
    <w:rsid w:val="00D5439B"/>
    <w:rsid w:val="00D628B4"/>
    <w:rsid w:val="00D62DA1"/>
    <w:rsid w:val="00D83A0B"/>
    <w:rsid w:val="00D90FE1"/>
    <w:rsid w:val="00D937B8"/>
    <w:rsid w:val="00D93CC0"/>
    <w:rsid w:val="00DA2B5E"/>
    <w:rsid w:val="00DA40E8"/>
    <w:rsid w:val="00DB3F1A"/>
    <w:rsid w:val="00DB68D0"/>
    <w:rsid w:val="00DC3389"/>
    <w:rsid w:val="00DC5D26"/>
    <w:rsid w:val="00DE4CF1"/>
    <w:rsid w:val="00DE51AD"/>
    <w:rsid w:val="00DE75D5"/>
    <w:rsid w:val="00DF3E0F"/>
    <w:rsid w:val="00DF7B46"/>
    <w:rsid w:val="00E05D46"/>
    <w:rsid w:val="00E067D1"/>
    <w:rsid w:val="00E11B43"/>
    <w:rsid w:val="00E15AAA"/>
    <w:rsid w:val="00E327BC"/>
    <w:rsid w:val="00E3445A"/>
    <w:rsid w:val="00E34CD4"/>
    <w:rsid w:val="00E36847"/>
    <w:rsid w:val="00E44770"/>
    <w:rsid w:val="00E562D3"/>
    <w:rsid w:val="00E6094A"/>
    <w:rsid w:val="00E6168E"/>
    <w:rsid w:val="00E72088"/>
    <w:rsid w:val="00E739C0"/>
    <w:rsid w:val="00E86258"/>
    <w:rsid w:val="00E905F5"/>
    <w:rsid w:val="00EA0C2C"/>
    <w:rsid w:val="00EA30EE"/>
    <w:rsid w:val="00EA3969"/>
    <w:rsid w:val="00EA4432"/>
    <w:rsid w:val="00EB2E46"/>
    <w:rsid w:val="00EB3517"/>
    <w:rsid w:val="00EB3CAE"/>
    <w:rsid w:val="00EB482C"/>
    <w:rsid w:val="00EC1011"/>
    <w:rsid w:val="00EC2F79"/>
    <w:rsid w:val="00EE6FEB"/>
    <w:rsid w:val="00EF2191"/>
    <w:rsid w:val="00EF72ED"/>
    <w:rsid w:val="00F00F6C"/>
    <w:rsid w:val="00F111BD"/>
    <w:rsid w:val="00F11F60"/>
    <w:rsid w:val="00F2132C"/>
    <w:rsid w:val="00F238CC"/>
    <w:rsid w:val="00F35CBE"/>
    <w:rsid w:val="00F36867"/>
    <w:rsid w:val="00F37322"/>
    <w:rsid w:val="00F4480A"/>
    <w:rsid w:val="00F45A97"/>
    <w:rsid w:val="00F55056"/>
    <w:rsid w:val="00F62FF6"/>
    <w:rsid w:val="00F670BD"/>
    <w:rsid w:val="00F74807"/>
    <w:rsid w:val="00F74E65"/>
    <w:rsid w:val="00F81D6E"/>
    <w:rsid w:val="00F87A32"/>
    <w:rsid w:val="00FA61AD"/>
    <w:rsid w:val="00FC62BC"/>
    <w:rsid w:val="00FC6989"/>
    <w:rsid w:val="00FE379E"/>
    <w:rsid w:val="00FF27EE"/>
    <w:rsid w:val="011869AB"/>
    <w:rsid w:val="017D07DB"/>
    <w:rsid w:val="018525FE"/>
    <w:rsid w:val="025D576C"/>
    <w:rsid w:val="02865BA2"/>
    <w:rsid w:val="02B37FBA"/>
    <w:rsid w:val="02C81F6B"/>
    <w:rsid w:val="03535851"/>
    <w:rsid w:val="036971A1"/>
    <w:rsid w:val="03974C8A"/>
    <w:rsid w:val="04E75722"/>
    <w:rsid w:val="051F6F37"/>
    <w:rsid w:val="05994947"/>
    <w:rsid w:val="07174066"/>
    <w:rsid w:val="077D4188"/>
    <w:rsid w:val="083D3D8F"/>
    <w:rsid w:val="08742D37"/>
    <w:rsid w:val="092D3638"/>
    <w:rsid w:val="094C2BE9"/>
    <w:rsid w:val="0969152B"/>
    <w:rsid w:val="097E6109"/>
    <w:rsid w:val="0B1373FF"/>
    <w:rsid w:val="0CC17F35"/>
    <w:rsid w:val="0CD80741"/>
    <w:rsid w:val="0D187FC1"/>
    <w:rsid w:val="0D607878"/>
    <w:rsid w:val="0DDB64A7"/>
    <w:rsid w:val="0E5C102E"/>
    <w:rsid w:val="0F056C30"/>
    <w:rsid w:val="10644AAF"/>
    <w:rsid w:val="10A372C7"/>
    <w:rsid w:val="114D4F7C"/>
    <w:rsid w:val="12027751"/>
    <w:rsid w:val="12D560A8"/>
    <w:rsid w:val="13736A80"/>
    <w:rsid w:val="13CF4039"/>
    <w:rsid w:val="13E20B00"/>
    <w:rsid w:val="142253C7"/>
    <w:rsid w:val="14A817C7"/>
    <w:rsid w:val="14A9364E"/>
    <w:rsid w:val="14BF0714"/>
    <w:rsid w:val="15166C9D"/>
    <w:rsid w:val="15864B23"/>
    <w:rsid w:val="15D31A24"/>
    <w:rsid w:val="160A3EB0"/>
    <w:rsid w:val="163E125F"/>
    <w:rsid w:val="17282EEC"/>
    <w:rsid w:val="172C21CC"/>
    <w:rsid w:val="17432ED1"/>
    <w:rsid w:val="1743790C"/>
    <w:rsid w:val="1758171F"/>
    <w:rsid w:val="18225480"/>
    <w:rsid w:val="189F579A"/>
    <w:rsid w:val="18C716DD"/>
    <w:rsid w:val="19787872"/>
    <w:rsid w:val="1A341559"/>
    <w:rsid w:val="1ACA602F"/>
    <w:rsid w:val="1C1A735D"/>
    <w:rsid w:val="1C6A3055"/>
    <w:rsid w:val="1C9B6920"/>
    <w:rsid w:val="1D316D1D"/>
    <w:rsid w:val="1DBF0CBB"/>
    <w:rsid w:val="1DC240E8"/>
    <w:rsid w:val="1DD0407D"/>
    <w:rsid w:val="1E3F75CB"/>
    <w:rsid w:val="1F2E3600"/>
    <w:rsid w:val="1F4C3447"/>
    <w:rsid w:val="1F805E87"/>
    <w:rsid w:val="202237EC"/>
    <w:rsid w:val="21E265C3"/>
    <w:rsid w:val="21EF13BE"/>
    <w:rsid w:val="22124569"/>
    <w:rsid w:val="22AA301A"/>
    <w:rsid w:val="231A79FB"/>
    <w:rsid w:val="23A74F81"/>
    <w:rsid w:val="23B87482"/>
    <w:rsid w:val="2534515B"/>
    <w:rsid w:val="25514918"/>
    <w:rsid w:val="25CC746F"/>
    <w:rsid w:val="25CD7195"/>
    <w:rsid w:val="26D97FC8"/>
    <w:rsid w:val="271746DF"/>
    <w:rsid w:val="275C2E99"/>
    <w:rsid w:val="27630FE2"/>
    <w:rsid w:val="27654257"/>
    <w:rsid w:val="276867BB"/>
    <w:rsid w:val="27E14DA2"/>
    <w:rsid w:val="2825101B"/>
    <w:rsid w:val="28F14FED"/>
    <w:rsid w:val="28FA7512"/>
    <w:rsid w:val="29A0598C"/>
    <w:rsid w:val="2A8759F2"/>
    <w:rsid w:val="2BC86235"/>
    <w:rsid w:val="2BF61856"/>
    <w:rsid w:val="2BFA6DD9"/>
    <w:rsid w:val="2C451C26"/>
    <w:rsid w:val="2C917B80"/>
    <w:rsid w:val="2E0B1A91"/>
    <w:rsid w:val="2E467FBA"/>
    <w:rsid w:val="2E651036"/>
    <w:rsid w:val="2EBB1E5C"/>
    <w:rsid w:val="2ED86F29"/>
    <w:rsid w:val="2F2B60A8"/>
    <w:rsid w:val="2F9068E6"/>
    <w:rsid w:val="30E45296"/>
    <w:rsid w:val="3187040E"/>
    <w:rsid w:val="319E4FAA"/>
    <w:rsid w:val="31CA4677"/>
    <w:rsid w:val="33B72C9D"/>
    <w:rsid w:val="34A64039"/>
    <w:rsid w:val="34AF0B35"/>
    <w:rsid w:val="34E55454"/>
    <w:rsid w:val="35083BB2"/>
    <w:rsid w:val="3519586F"/>
    <w:rsid w:val="35C03643"/>
    <w:rsid w:val="35F60F20"/>
    <w:rsid w:val="363E3C50"/>
    <w:rsid w:val="36C30E80"/>
    <w:rsid w:val="37837751"/>
    <w:rsid w:val="37E34461"/>
    <w:rsid w:val="3864090B"/>
    <w:rsid w:val="38895F5A"/>
    <w:rsid w:val="393A0128"/>
    <w:rsid w:val="399F020A"/>
    <w:rsid w:val="39C2689A"/>
    <w:rsid w:val="39F25D24"/>
    <w:rsid w:val="3A72059F"/>
    <w:rsid w:val="3AC9262E"/>
    <w:rsid w:val="3B3A4564"/>
    <w:rsid w:val="3B9503EA"/>
    <w:rsid w:val="3BD43020"/>
    <w:rsid w:val="3C0E2504"/>
    <w:rsid w:val="3C8049D1"/>
    <w:rsid w:val="3CB34BDA"/>
    <w:rsid w:val="3D3C2B7A"/>
    <w:rsid w:val="3D854F8E"/>
    <w:rsid w:val="3E514ED8"/>
    <w:rsid w:val="3F276853"/>
    <w:rsid w:val="3FEF0D6E"/>
    <w:rsid w:val="405E0718"/>
    <w:rsid w:val="4079252D"/>
    <w:rsid w:val="41D66FCC"/>
    <w:rsid w:val="423F4B39"/>
    <w:rsid w:val="425F6512"/>
    <w:rsid w:val="42606FC8"/>
    <w:rsid w:val="427A6C29"/>
    <w:rsid w:val="43A9737B"/>
    <w:rsid w:val="44471EF0"/>
    <w:rsid w:val="45D51F5C"/>
    <w:rsid w:val="465D0061"/>
    <w:rsid w:val="4671741C"/>
    <w:rsid w:val="46F61667"/>
    <w:rsid w:val="46F96486"/>
    <w:rsid w:val="47CE26FD"/>
    <w:rsid w:val="47D63F93"/>
    <w:rsid w:val="4801544B"/>
    <w:rsid w:val="480477FC"/>
    <w:rsid w:val="485B3261"/>
    <w:rsid w:val="48770DE2"/>
    <w:rsid w:val="49737182"/>
    <w:rsid w:val="4AAF6946"/>
    <w:rsid w:val="4AF93BC8"/>
    <w:rsid w:val="4B2A78AD"/>
    <w:rsid w:val="4E4C35E9"/>
    <w:rsid w:val="4E5C6A4B"/>
    <w:rsid w:val="4EDD069A"/>
    <w:rsid w:val="4F1A6A36"/>
    <w:rsid w:val="4F255DB4"/>
    <w:rsid w:val="4F502534"/>
    <w:rsid w:val="5086425C"/>
    <w:rsid w:val="50EB4984"/>
    <w:rsid w:val="511F4A02"/>
    <w:rsid w:val="511F77FB"/>
    <w:rsid w:val="51577817"/>
    <w:rsid w:val="51894D24"/>
    <w:rsid w:val="521336C8"/>
    <w:rsid w:val="526E7C4E"/>
    <w:rsid w:val="52B873DF"/>
    <w:rsid w:val="52EB1D81"/>
    <w:rsid w:val="53433460"/>
    <w:rsid w:val="53A0535F"/>
    <w:rsid w:val="53CA0CA6"/>
    <w:rsid w:val="545F3AEE"/>
    <w:rsid w:val="54811502"/>
    <w:rsid w:val="54A045B2"/>
    <w:rsid w:val="553C14D6"/>
    <w:rsid w:val="55CF2235"/>
    <w:rsid w:val="563029D7"/>
    <w:rsid w:val="56567BA9"/>
    <w:rsid w:val="568E62EB"/>
    <w:rsid w:val="575E3358"/>
    <w:rsid w:val="57BD2129"/>
    <w:rsid w:val="57C14A09"/>
    <w:rsid w:val="5870386E"/>
    <w:rsid w:val="58CD7A24"/>
    <w:rsid w:val="5950539C"/>
    <w:rsid w:val="5A616693"/>
    <w:rsid w:val="5AF014CD"/>
    <w:rsid w:val="5B1950BD"/>
    <w:rsid w:val="5B4643C3"/>
    <w:rsid w:val="5B57314F"/>
    <w:rsid w:val="5C4F65BE"/>
    <w:rsid w:val="5C7A40A7"/>
    <w:rsid w:val="5E255F75"/>
    <w:rsid w:val="5E9C61EE"/>
    <w:rsid w:val="5EAD2585"/>
    <w:rsid w:val="5F502257"/>
    <w:rsid w:val="5F647DF3"/>
    <w:rsid w:val="5F705A0C"/>
    <w:rsid w:val="60D1271D"/>
    <w:rsid w:val="61310BC7"/>
    <w:rsid w:val="61CE73B0"/>
    <w:rsid w:val="6224530F"/>
    <w:rsid w:val="622B2355"/>
    <w:rsid w:val="63442F70"/>
    <w:rsid w:val="63535B88"/>
    <w:rsid w:val="637067C7"/>
    <w:rsid w:val="63962E8A"/>
    <w:rsid w:val="63B90B4D"/>
    <w:rsid w:val="64A65681"/>
    <w:rsid w:val="650A73B1"/>
    <w:rsid w:val="65BA1C78"/>
    <w:rsid w:val="65BA2AD4"/>
    <w:rsid w:val="65D86D7D"/>
    <w:rsid w:val="66B53431"/>
    <w:rsid w:val="67165475"/>
    <w:rsid w:val="672659C0"/>
    <w:rsid w:val="6787266D"/>
    <w:rsid w:val="67D77787"/>
    <w:rsid w:val="67EB49D1"/>
    <w:rsid w:val="685C6586"/>
    <w:rsid w:val="687F42C4"/>
    <w:rsid w:val="68FB29DE"/>
    <w:rsid w:val="6960453D"/>
    <w:rsid w:val="697D040D"/>
    <w:rsid w:val="698409ED"/>
    <w:rsid w:val="6A11215D"/>
    <w:rsid w:val="6A492A69"/>
    <w:rsid w:val="6A74173C"/>
    <w:rsid w:val="6B3512F8"/>
    <w:rsid w:val="6B4A4762"/>
    <w:rsid w:val="6B81373D"/>
    <w:rsid w:val="6BF06556"/>
    <w:rsid w:val="6BF46113"/>
    <w:rsid w:val="6C2329A7"/>
    <w:rsid w:val="6C5A5C1A"/>
    <w:rsid w:val="6CA25F3E"/>
    <w:rsid w:val="6DD0135D"/>
    <w:rsid w:val="6DE81B9B"/>
    <w:rsid w:val="6E777FC9"/>
    <w:rsid w:val="6E921E4C"/>
    <w:rsid w:val="6EC04D44"/>
    <w:rsid w:val="6ED33FB9"/>
    <w:rsid w:val="6ED9516E"/>
    <w:rsid w:val="6F2522CE"/>
    <w:rsid w:val="6FA07554"/>
    <w:rsid w:val="6FD35462"/>
    <w:rsid w:val="71527F3D"/>
    <w:rsid w:val="71726E1F"/>
    <w:rsid w:val="718A2199"/>
    <w:rsid w:val="723B294E"/>
    <w:rsid w:val="72A75B9F"/>
    <w:rsid w:val="73E26068"/>
    <w:rsid w:val="7441451E"/>
    <w:rsid w:val="754164CF"/>
    <w:rsid w:val="755556E5"/>
    <w:rsid w:val="7583497A"/>
    <w:rsid w:val="75BB7057"/>
    <w:rsid w:val="75C83C9E"/>
    <w:rsid w:val="76841FCA"/>
    <w:rsid w:val="76FB3F41"/>
    <w:rsid w:val="781E4804"/>
    <w:rsid w:val="785966C9"/>
    <w:rsid w:val="78693F6B"/>
    <w:rsid w:val="78E6558A"/>
    <w:rsid w:val="790348B2"/>
    <w:rsid w:val="79895EB2"/>
    <w:rsid w:val="7B166D76"/>
    <w:rsid w:val="7B347CE7"/>
    <w:rsid w:val="7B927BA1"/>
    <w:rsid w:val="7C544BD7"/>
    <w:rsid w:val="7CCF6E56"/>
    <w:rsid w:val="7DA720F2"/>
    <w:rsid w:val="7E473B6E"/>
    <w:rsid w:val="7E7244F2"/>
    <w:rsid w:val="7EF0300D"/>
    <w:rsid w:val="7F8F0389"/>
    <w:rsid w:val="7FD90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6"/>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7"/>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99"/>
    <w:rPr>
      <w:rFonts w:cs="Times New Roman"/>
      <w:b/>
      <w:bCs/>
    </w:rPr>
  </w:style>
  <w:style w:type="character" w:styleId="12">
    <w:name w:val="page number"/>
    <w:basedOn w:val="10"/>
    <w:qFormat/>
    <w:uiPriority w:val="0"/>
  </w:style>
  <w:style w:type="character" w:styleId="13">
    <w:name w:val="Emphasis"/>
    <w:basedOn w:val="10"/>
    <w:qFormat/>
    <w:uiPriority w:val="99"/>
    <w:rPr>
      <w:rFonts w:cs="Times New Roman"/>
      <w:i/>
      <w:iCs/>
    </w:rPr>
  </w:style>
  <w:style w:type="character" w:styleId="14">
    <w:name w:val="Hyperlink"/>
    <w:basedOn w:val="10"/>
    <w:qFormat/>
    <w:uiPriority w:val="99"/>
    <w:rPr>
      <w:rFonts w:cs="Times New Roman"/>
      <w:color w:val="444444"/>
      <w:u w:val="none"/>
    </w:rPr>
  </w:style>
  <w:style w:type="paragraph" w:customStyle="1" w:styleId="15">
    <w:name w:val="Char Char Char Char Char Char Char"/>
    <w:basedOn w:val="1"/>
    <w:qFormat/>
    <w:uiPriority w:val="0"/>
    <w:pPr>
      <w:widowControl/>
      <w:spacing w:after="160" w:line="240" w:lineRule="exact"/>
      <w:jc w:val="left"/>
    </w:pPr>
  </w:style>
  <w:style w:type="character" w:customStyle="1" w:styleId="16">
    <w:name w:val="标题 1 Char"/>
    <w:basedOn w:val="10"/>
    <w:link w:val="2"/>
    <w:qFormat/>
    <w:locked/>
    <w:uiPriority w:val="99"/>
    <w:rPr>
      <w:rFonts w:ascii="宋体" w:eastAsia="宋体" w:cs="宋体"/>
      <w:b/>
      <w:bCs/>
      <w:kern w:val="36"/>
      <w:sz w:val="48"/>
      <w:szCs w:val="48"/>
    </w:rPr>
  </w:style>
  <w:style w:type="character" w:customStyle="1" w:styleId="17">
    <w:name w:val="文档结构图 Char"/>
    <w:basedOn w:val="10"/>
    <w:link w:val="3"/>
    <w:semiHidden/>
    <w:qFormat/>
    <w:locked/>
    <w:uiPriority w:val="99"/>
    <w:rPr>
      <w:rFonts w:ascii="宋体" w:hAnsi="Calibri" w:cs="宋体"/>
      <w:kern w:val="2"/>
      <w:sz w:val="18"/>
      <w:szCs w:val="18"/>
    </w:rPr>
  </w:style>
  <w:style w:type="character" w:customStyle="1" w:styleId="18">
    <w:name w:val="批注框文本 Char"/>
    <w:basedOn w:val="10"/>
    <w:link w:val="5"/>
    <w:qFormat/>
    <w:locked/>
    <w:uiPriority w:val="99"/>
    <w:rPr>
      <w:rFonts w:ascii="Calibri" w:hAnsi="Calibri" w:eastAsia="宋体" w:cs="宋体"/>
      <w:kern w:val="2"/>
      <w:sz w:val="18"/>
      <w:szCs w:val="18"/>
    </w:rPr>
  </w:style>
  <w:style w:type="character" w:customStyle="1" w:styleId="19">
    <w:name w:val="页脚 Char"/>
    <w:basedOn w:val="10"/>
    <w:link w:val="6"/>
    <w:qFormat/>
    <w:locked/>
    <w:uiPriority w:val="99"/>
    <w:rPr>
      <w:rFonts w:ascii="Calibri" w:hAnsi="Calibri" w:eastAsia="宋体" w:cs="宋体"/>
      <w:kern w:val="2"/>
      <w:sz w:val="18"/>
      <w:szCs w:val="18"/>
    </w:rPr>
  </w:style>
  <w:style w:type="character" w:customStyle="1" w:styleId="20">
    <w:name w:val="页眉 Char"/>
    <w:basedOn w:val="10"/>
    <w:link w:val="7"/>
    <w:qFormat/>
    <w:locked/>
    <w:uiPriority w:val="99"/>
    <w:rPr>
      <w:rFonts w:ascii="Calibri" w:hAnsi="Calibri" w:eastAsia="宋体" w:cs="宋体"/>
      <w:kern w:val="2"/>
      <w:sz w:val="18"/>
      <w:szCs w:val="18"/>
    </w:rPr>
  </w:style>
  <w:style w:type="paragraph" w:styleId="21">
    <w:name w:val="List Paragraph"/>
    <w:basedOn w:val="1"/>
    <w:qFormat/>
    <w:uiPriority w:val="99"/>
    <w:pPr>
      <w:ind w:firstLine="420" w:firstLineChars="200"/>
    </w:pPr>
  </w:style>
  <w:style w:type="paragraph" w:customStyle="1" w:styleId="22">
    <w:name w:val="列出段落1"/>
    <w:basedOn w:val="1"/>
    <w:qFormat/>
    <w:uiPriority w:val="99"/>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89C7D-1A00-4116-90FE-4A2BDE9302E9}">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688</Words>
  <Characters>3926</Characters>
  <Lines>32</Lines>
  <Paragraphs>9</Paragraphs>
  <TotalTime>30</TotalTime>
  <ScaleCrop>false</ScaleCrop>
  <LinksUpToDate>false</LinksUpToDate>
  <CharactersWithSpaces>4605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2019-12-03T03:19:00Z</dcterms:created>
  <dc:creator>lenovo</dc:creator>
  <cp:lastModifiedBy>Administrator</cp:lastModifiedBy>
  <cp:lastPrinted>2019-08-01T07:44:00Z</cp:lastPrinted>
  <dcterms:modified xsi:type="dcterms:W3CDTF">2020-05-22T00:47:59Z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