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both"/>
        <w:rPr>
          <w:rFonts w:hint="default"/>
          <w:b/>
          <w:bCs/>
          <w:color w:val="FF0000"/>
          <w:w w:val="58"/>
          <w:sz w:val="90"/>
          <w:szCs w:val="100"/>
        </w:rPr>
      </w:pPr>
      <w:r>
        <w:rPr>
          <w:rFonts w:hint="default"/>
          <w:w w:val="58"/>
          <w:sz w:val="90"/>
        </w:rPr>
        <mc:AlternateContent>
          <mc:Choice Requires="wps">
            <w:drawing>
              <wp:anchor distT="0" distB="0" distL="114300" distR="114300" simplePos="0" relativeHeight="251657216" behindDoc="1" locked="0" layoutInCell="1" allowOverlap="1">
                <wp:simplePos x="0" y="0"/>
                <wp:positionH relativeFrom="column">
                  <wp:posOffset>5300980</wp:posOffset>
                </wp:positionH>
                <wp:positionV relativeFrom="paragraph">
                  <wp:posOffset>258445</wp:posOffset>
                </wp:positionV>
                <wp:extent cx="1132205" cy="866775"/>
                <wp:effectExtent l="0" t="0" r="10795" b="9525"/>
                <wp:wrapNone/>
                <wp:docPr id="3" name="文本框 3"/>
                <wp:cNvGraphicFramePr/>
                <a:graphic xmlns:a="http://schemas.openxmlformats.org/drawingml/2006/main">
                  <a:graphicData uri="http://schemas.microsoft.com/office/word/2010/wordprocessingShape">
                    <wps:wsp>
                      <wps:cNvSpPr txBox="1"/>
                      <wps:spPr>
                        <a:xfrm>
                          <a:off x="6490335" y="1210945"/>
                          <a:ext cx="1132205" cy="866775"/>
                        </a:xfrm>
                        <a:prstGeom prst="rect">
                          <a:avLst/>
                        </a:prstGeom>
                        <a:solidFill>
                          <a:srgbClr val="FFFFFF"/>
                        </a:solidFill>
                        <a:ln w="6350">
                          <a:noFill/>
                        </a:ln>
                        <a:effectLst/>
                      </wps:spPr>
                      <wps:txbx>
                        <w:txbxContent>
                          <w:p>
                            <w:pPr>
                              <w:rPr>
                                <w:rFonts w:hint="default"/>
                                <w:b/>
                                <w:bCs/>
                                <w:color w:val="FF0000"/>
                                <w:w w:val="60"/>
                                <w:sz w:val="90"/>
                                <w:szCs w:val="90"/>
                              </w:rPr>
                            </w:pPr>
                            <w:r>
                              <w:rPr>
                                <w:b/>
                                <w:bCs/>
                                <w:color w:val="FF0000"/>
                                <w:w w:val="60"/>
                                <w:sz w:val="90"/>
                                <w:szCs w:val="90"/>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7.4pt;margin-top:20.35pt;height:68.25pt;width:89.15pt;z-index:-251659264;mso-width-relative:page;mso-height-relative:page;" fillcolor="#FFFFFF" filled="t" stroked="f" coordsize="21600,21600" o:gfxdata="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UnDL1gAAAAsBAAAPAAAAAAAAAAEAIAAA&#10;ACIAAABkcnMvZG93bnJldi54bWxQSwECFAAUAAAACACHTuJAFEWKhUcCAABbBAAADgAAAAAAAAAB&#10;ACAAAAAlAQAAZHJzL2Uyb0RvYy54bWxQSwUGAAAAAAYABgBZAQAA3gUAAAAA&#10;">
                <v:fill on="t" focussize="0,0"/>
                <v:stroke on="f" weight="0.5pt"/>
                <v:imagedata o:title=""/>
                <o:lock v:ext="edit" aspectratio="f"/>
                <v:textbox>
                  <w:txbxContent>
                    <w:p>
                      <w:pPr>
                        <w:rPr>
                          <w:rFonts w:hint="default"/>
                          <w:b/>
                          <w:bCs/>
                          <w:color w:val="FF0000"/>
                          <w:w w:val="60"/>
                          <w:sz w:val="90"/>
                          <w:szCs w:val="90"/>
                        </w:rPr>
                      </w:pPr>
                      <w:r>
                        <w:rPr>
                          <w:b/>
                          <w:bCs/>
                          <w:color w:val="FF0000"/>
                          <w:w w:val="60"/>
                          <w:sz w:val="90"/>
                          <w:szCs w:val="90"/>
                        </w:rPr>
                        <w:t>文件</w:t>
                      </w:r>
                    </w:p>
                  </w:txbxContent>
                </v:textbox>
              </v:shape>
            </w:pict>
          </mc:Fallback>
        </mc:AlternateContent>
      </w:r>
      <w:r>
        <w:rPr>
          <w:b/>
          <w:bCs/>
          <w:color w:val="FF0000"/>
          <w:w w:val="58"/>
          <w:sz w:val="90"/>
          <w:szCs w:val="100"/>
        </w:rPr>
        <w:t>中国中小商业企业协会人力资本分会</w:t>
      </w:r>
    </w:p>
    <w:p>
      <w:pPr>
        <w:spacing w:line="1100" w:lineRule="exact"/>
        <w:jc w:val="both"/>
        <w:rPr>
          <w:rFonts w:hint="default"/>
          <w:b/>
          <w:bCs/>
          <w:color w:val="FF0000"/>
          <w:w w:val="40"/>
          <w:sz w:val="90"/>
          <w:szCs w:val="100"/>
        </w:rPr>
      </w:pPr>
      <w:r>
        <w:rPr>
          <w:b/>
          <w:bCs/>
          <w:color w:val="FF0000"/>
          <w:w w:val="40"/>
          <w:sz w:val="90"/>
          <w:szCs w:val="100"/>
        </w:rPr>
        <w:t>北京企业管理咨询协会人力资源培训咨询专业委员会</w:t>
      </w:r>
    </w:p>
    <w:p>
      <w:pPr>
        <w:spacing w:line="480" w:lineRule="exact"/>
        <w:jc w:val="center"/>
        <w:rPr>
          <w:rFonts w:hint="default" w:ascii="Cambria" w:hAnsi="Cambria"/>
          <w:kern w:val="2"/>
          <w:sz w:val="30"/>
          <w:szCs w:val="30"/>
        </w:rPr>
      </w:pPr>
      <w:r>
        <w:rPr>
          <w:rFonts w:hint="default" w:ascii="Cambria" w:hAnsi="Cambria"/>
          <w:kern w:val="2"/>
          <w:sz w:val="30"/>
          <w:szCs w:val="30"/>
        </w:rPr>
        <mc:AlternateContent>
          <mc:Choice Requires="wps">
            <w:drawing>
              <wp:anchor distT="0" distB="0" distL="114300" distR="114300" simplePos="0" relativeHeight="251656192" behindDoc="0" locked="0" layoutInCell="1" allowOverlap="1">
                <wp:simplePos x="0" y="0"/>
                <wp:positionH relativeFrom="column">
                  <wp:posOffset>56515</wp:posOffset>
                </wp:positionH>
                <wp:positionV relativeFrom="paragraph">
                  <wp:posOffset>301625</wp:posOffset>
                </wp:positionV>
                <wp:extent cx="6019800" cy="0"/>
                <wp:effectExtent l="0" t="19050" r="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38100" cmpd="sng">
                          <a:solidFill>
                            <a:srgbClr val="FF0000"/>
                          </a:solidFill>
                          <a:round/>
                        </a:ln>
                        <a:effectLst/>
                      </wps:spPr>
                      <wps:bodyPr/>
                    </wps:wsp>
                  </a:graphicData>
                </a:graphic>
              </wp:anchor>
            </w:drawing>
          </mc:Choice>
          <mc:Fallback>
            <w:pict>
              <v:line id="_x0000_s1026" o:spid="_x0000_s1026" o:spt="20" style="position:absolute;left:0pt;margin-left:4.45pt;margin-top:23.75pt;height:0pt;width:474pt;z-index:251656192;mso-width-relative:page;mso-height-relative:page;" filled="f" stroked="t" coordsize="21600,21600" o:gfxdata="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VTLYAAAABwEAAA8AAAAAAAAAAQAg&#10;AAAAIgAAAGRycy9kb3ducmV2LnhtbFBLAQIUABQAAAAIAIdO4kBth94k1QEAAHYDAAAOAAAAAAAA&#10;AAEAIAAAACcBAABkcnMvZTJvRG9jLnhtbFBLBQYAAAAABgAGAFkBAABuBQAAAAA=&#10;">
                <v:fill on="f" focussize="0,0"/>
                <v:stroke weight="3pt" color="#FF0000" joinstyle="round"/>
                <v:imagedata o:title=""/>
                <o:lock v:ext="edit" aspectratio="f"/>
              </v:line>
            </w:pict>
          </mc:Fallback>
        </mc:AlternateContent>
      </w:r>
      <w:r>
        <w:rPr>
          <w:sz w:val="30"/>
          <w:szCs w:val="30"/>
        </w:rPr>
        <w:t>中企培[2020]06号</w:t>
      </w:r>
    </w:p>
    <w:p>
      <w:pPr>
        <w:spacing w:line="480" w:lineRule="exact"/>
        <w:jc w:val="center"/>
        <w:rPr>
          <w:rFonts w:hint="default" w:ascii="黑体" w:hAnsi="黑体" w:eastAsia="黑体" w:cs="黑体"/>
          <w:color w:val="000000"/>
          <w:sz w:val="34"/>
          <w:szCs w:val="34"/>
        </w:rPr>
      </w:pPr>
      <w:r>
        <w:rPr>
          <w:rFonts w:ascii="黑体" w:hAnsi="黑体" w:eastAsia="黑体" w:cs="黑体"/>
          <w:color w:val="000000"/>
          <w:sz w:val="34"/>
          <w:szCs w:val="34"/>
        </w:rPr>
        <w:t>关于举办新形势下国有企业人力资源管理与薪酬绩效改革要点及考核方案设计实务操作专题培训班的通知</w:t>
      </w:r>
    </w:p>
    <w:p>
      <w:pPr>
        <w:spacing w:line="400" w:lineRule="exact"/>
        <w:jc w:val="center"/>
        <w:rPr>
          <w:rFonts w:hint="default" w:ascii="方正小标宋简体" w:eastAsia="方正小标宋简体"/>
          <w:color w:val="000000"/>
          <w:sz w:val="32"/>
          <w:szCs w:val="32"/>
        </w:rPr>
      </w:pPr>
    </w:p>
    <w:p>
      <w:pPr>
        <w:autoSpaceDE/>
        <w:autoSpaceDN/>
        <w:adjustRightInd/>
        <w:spacing w:line="320" w:lineRule="exact"/>
        <w:ind w:firstLine="141" w:firstLineChars="50"/>
        <w:jc w:val="both"/>
        <w:textAlignment w:val="baseline"/>
        <w:rPr>
          <w:rFonts w:hint="default" w:ascii="仿宋_GB2312" w:eastAsia="仿宋_GB2312" w:cs="宋体"/>
          <w:b/>
          <w:color w:val="000000"/>
          <w:sz w:val="28"/>
          <w:szCs w:val="28"/>
        </w:rPr>
      </w:pPr>
      <w:r>
        <w:rPr>
          <w:rFonts w:ascii="仿宋_GB2312" w:eastAsia="仿宋_GB2312" w:cs="宋体"/>
          <w:b/>
          <w:color w:val="000000"/>
          <w:sz w:val="28"/>
          <w:szCs w:val="28"/>
        </w:rPr>
        <w:t>各有关单位:</w:t>
      </w:r>
    </w:p>
    <w:p>
      <w:pPr>
        <w:autoSpaceDE/>
        <w:autoSpaceDN/>
        <w:adjustRightInd/>
        <w:spacing w:line="320" w:lineRule="exact"/>
        <w:ind w:left="120" w:leftChars="50" w:firstLine="560" w:firstLineChars="200"/>
        <w:jc w:val="both"/>
        <w:textAlignment w:val="baseline"/>
        <w:rPr>
          <w:rFonts w:hint="default" w:ascii="仿宋_GB2312" w:eastAsia="仿宋_GB2312" w:cs="宋体"/>
          <w:color w:val="000000"/>
          <w:sz w:val="28"/>
          <w:szCs w:val="28"/>
        </w:rPr>
      </w:pPr>
      <w:r>
        <w:rPr>
          <w:rFonts w:ascii="仿宋_GB2312" w:eastAsia="仿宋_GB2312" w:cs="宋体"/>
          <w:color w:val="000000"/>
          <w:sz w:val="28"/>
          <w:szCs w:val="28"/>
        </w:rPr>
        <w:t>中央全面深化改革委员会第一次会议通过关于《改革国有企业工资决定机制的意见》国发〔</w:t>
      </w:r>
      <w:r>
        <w:rPr>
          <w:rFonts w:hint="default" w:ascii="仿宋_GB2312" w:eastAsia="仿宋_GB2312" w:cs="宋体"/>
          <w:color w:val="000000"/>
          <w:sz w:val="28"/>
          <w:szCs w:val="28"/>
        </w:rPr>
        <w:t>2018〕16号文，（以下简称《意见》），《意见》是国有企业工资决定机制改革完善、国有企业现代企业制度的重要内容，</w:t>
      </w:r>
      <w:r>
        <w:rPr>
          <w:rFonts w:ascii="仿宋_GB2312" w:eastAsia="仿宋_GB2312" w:cs="宋体"/>
          <w:color w:val="000000"/>
          <w:sz w:val="28"/>
          <w:szCs w:val="28"/>
        </w:rPr>
        <w:t>也是建立健全与劳动力市场基本适应、突出工资分配市场化，兼顾效率与公平、体现社会公平正义，坚持分类分级管理。以改革工资总额管理方式，完善企业内部工资分配管理，健全工资分配监管机制。加快建成全方位、全过程、全覆盖的预算绩效管理体系，实现预算和绩效一体化管理。</w:t>
      </w:r>
    </w:p>
    <w:p>
      <w:pPr>
        <w:autoSpaceDE/>
        <w:autoSpaceDN/>
        <w:adjustRightInd/>
        <w:spacing w:line="320" w:lineRule="exact"/>
        <w:ind w:left="120" w:leftChars="50" w:firstLine="560" w:firstLineChars="200"/>
        <w:jc w:val="both"/>
        <w:textAlignment w:val="baseline"/>
        <w:rPr>
          <w:rFonts w:hint="default" w:ascii="仿宋_GB2312" w:eastAsia="仿宋_GB2312" w:cs="宋体"/>
          <w:color w:val="000000"/>
          <w:sz w:val="28"/>
          <w:szCs w:val="28"/>
        </w:rPr>
      </w:pPr>
      <w:r>
        <w:rPr>
          <w:rFonts w:ascii="仿宋_GB2312" w:eastAsia="仿宋_GB2312" w:cs="宋体"/>
          <w:color w:val="000000"/>
          <w:sz w:val="28"/>
          <w:szCs w:val="28"/>
        </w:rPr>
        <w:t>我国经济已由高速增长阶段转向高质量发展阶段，中小企业在我国经济社会发展过程中具有举足轻重的作用，这对于传统的国有企业造成了不小的竞争压力。由于受传统管理观念的影响，部分国有企业还存在着人力资源计划不够完善以及绩效考核制度不够健全、等诸多问题。</w:t>
      </w:r>
    </w:p>
    <w:p>
      <w:pPr>
        <w:autoSpaceDE/>
        <w:autoSpaceDN/>
        <w:adjustRightInd/>
        <w:spacing w:line="320" w:lineRule="exact"/>
        <w:ind w:left="120" w:leftChars="50" w:firstLine="560" w:firstLineChars="200"/>
        <w:jc w:val="both"/>
        <w:textAlignment w:val="baseline"/>
        <w:rPr>
          <w:rFonts w:hint="default" w:ascii="仿宋_GB2312" w:eastAsia="仿宋_GB2312" w:cs="宋体"/>
          <w:color w:val="000000"/>
          <w:sz w:val="28"/>
          <w:szCs w:val="28"/>
        </w:rPr>
      </w:pPr>
      <w:r>
        <w:rPr>
          <w:rFonts w:ascii="仿宋_GB2312" w:eastAsia="仿宋_GB2312" w:cs="宋体"/>
          <w:color w:val="000000"/>
          <w:sz w:val="28"/>
          <w:szCs w:val="28"/>
        </w:rPr>
        <w:t>为了更好的充分调动国有企业职工的积极性、主动性、创造性，进一步激发国有企业创造力和提高市场竞争力，不断推进人事、劳动和薪酬三项制度深化改革与创新，促进收入分配更合理、更有序。中国中小商业企业协会人力资本分会与北京企业管理咨询协会人力资源培训咨询专业委员会联合举办</w:t>
      </w:r>
      <w:r>
        <w:rPr>
          <w:rFonts w:ascii="仿宋_GB2312" w:eastAsia="仿宋_GB2312" w:cs="宋体"/>
          <w:b/>
          <w:bCs/>
          <w:color w:val="000000"/>
          <w:sz w:val="28"/>
          <w:szCs w:val="28"/>
        </w:rPr>
        <w:t xml:space="preserve"> “新形势下国有企业人力资源管理与薪酬绩效改革要点及考核方案设计实务操作专题培训班”</w:t>
      </w:r>
      <w:r>
        <w:rPr>
          <w:rFonts w:ascii="仿宋_GB2312" w:eastAsia="仿宋_GB2312" w:cs="宋体"/>
          <w:color w:val="000000"/>
          <w:sz w:val="28"/>
          <w:szCs w:val="28"/>
        </w:rPr>
        <w:t>。请相关单位积极选派人员参加，现将有关具体事项通知如下；</w:t>
      </w:r>
    </w:p>
    <w:p>
      <w:pPr>
        <w:autoSpaceDE/>
        <w:autoSpaceDN/>
        <w:adjustRightInd/>
        <w:spacing w:line="320" w:lineRule="exact"/>
        <w:ind w:firstLine="560" w:firstLineChars="200"/>
        <w:jc w:val="both"/>
        <w:textAlignment w:val="baseline"/>
        <w:rPr>
          <w:rFonts w:hint="default" w:ascii="仿宋_GB2312" w:eastAsia="仿宋_GB2312" w:cs="宋体"/>
          <w:color w:val="000000"/>
          <w:sz w:val="28"/>
          <w:szCs w:val="28"/>
        </w:rPr>
      </w:pPr>
      <w:r>
        <w:rPr>
          <w:rFonts w:hint="default" w:ascii="仿宋_GB2312" w:eastAsia="仿宋_GB2312" w:cs="宋体"/>
          <w:color w:val="000000"/>
          <w:sz w:val="28"/>
          <w:szCs w:val="28"/>
        </w:rPr>
        <w:drawing>
          <wp:anchor distT="0" distB="0" distL="114300" distR="114300" simplePos="0" relativeHeight="251659264" behindDoc="1" locked="0" layoutInCell="1" allowOverlap="1">
            <wp:simplePos x="0" y="0"/>
            <wp:positionH relativeFrom="column">
              <wp:posOffset>838200</wp:posOffset>
            </wp:positionH>
            <wp:positionV relativeFrom="paragraph">
              <wp:posOffset>76200</wp:posOffset>
            </wp:positionV>
            <wp:extent cx="1904365" cy="19043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904365" cy="1904365"/>
                    </a:xfrm>
                    <a:prstGeom prst="rect">
                      <a:avLst/>
                    </a:prstGeom>
                    <a:noFill/>
                  </pic:spPr>
                </pic:pic>
              </a:graphicData>
            </a:graphic>
          </wp:anchor>
        </w:drawing>
      </w:r>
      <w:r>
        <w:rPr>
          <w:rFonts w:ascii="仿宋_GB2312" w:eastAsia="仿宋_GB2312" w:cs="宋体"/>
          <w:color w:val="000000"/>
          <w:sz w:val="28"/>
          <w:szCs w:val="28"/>
        </w:rPr>
        <w:drawing>
          <wp:anchor distT="0" distB="0" distL="114300" distR="114300" simplePos="0" relativeHeight="251658240" behindDoc="1" locked="0" layoutInCell="1" allowOverlap="1">
            <wp:simplePos x="0" y="0"/>
            <wp:positionH relativeFrom="column">
              <wp:posOffset>3679825</wp:posOffset>
            </wp:positionH>
            <wp:positionV relativeFrom="paragraph">
              <wp:posOffset>4445</wp:posOffset>
            </wp:positionV>
            <wp:extent cx="2085975" cy="2124075"/>
            <wp:effectExtent l="0" t="0" r="9525" b="9525"/>
            <wp:wrapNone/>
            <wp:docPr id="6" name="图片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
                    <pic:cNvPicPr>
                      <a:picLocks noChangeAspect="1"/>
                    </pic:cNvPicPr>
                  </pic:nvPicPr>
                  <pic:blipFill>
                    <a:blip r:embed="rId5" cstate="print"/>
                    <a:stretch>
                      <a:fillRect/>
                    </a:stretch>
                  </pic:blipFill>
                  <pic:spPr>
                    <a:xfrm>
                      <a:off x="0" y="0"/>
                      <a:ext cx="2085975" cy="2124075"/>
                    </a:xfrm>
                    <a:prstGeom prst="rect">
                      <a:avLst/>
                    </a:prstGeom>
                  </pic:spPr>
                </pic:pic>
              </a:graphicData>
            </a:graphic>
          </wp:anchor>
        </w:drawing>
      </w:r>
      <w:r>
        <w:rPr>
          <w:rFonts w:ascii="仿宋_GB2312" w:eastAsia="仿宋_GB2312" w:cs="宋体"/>
          <w:color w:val="000000"/>
          <w:sz w:val="28"/>
          <w:szCs w:val="28"/>
        </w:rPr>
        <w:t>附件1：培训内容</w:t>
      </w:r>
    </w:p>
    <w:p>
      <w:pPr>
        <w:autoSpaceDE/>
        <w:autoSpaceDN/>
        <w:adjustRightInd/>
        <w:spacing w:line="320" w:lineRule="exact"/>
        <w:ind w:firstLine="560" w:firstLineChars="200"/>
        <w:jc w:val="both"/>
        <w:textAlignment w:val="baseline"/>
        <w:rPr>
          <w:rFonts w:hint="default" w:ascii="仿宋_GB2312" w:eastAsia="仿宋_GB2312" w:cs="宋体"/>
          <w:color w:val="000000"/>
          <w:sz w:val="28"/>
          <w:szCs w:val="28"/>
        </w:rPr>
      </w:pPr>
      <w:r>
        <w:rPr>
          <w:rFonts w:ascii="仿宋_GB2312" w:eastAsia="仿宋_GB2312" w:cs="宋体"/>
          <w:color w:val="000000"/>
          <w:sz w:val="28"/>
          <w:szCs w:val="28"/>
        </w:rPr>
        <w:t>附件2：报名回执表</w:t>
      </w:r>
    </w:p>
    <w:p>
      <w:pPr>
        <w:ind w:firstLine="980" w:firstLineChars="350"/>
        <w:textAlignment w:val="baseline"/>
        <w:rPr>
          <w:rFonts w:hint="default" w:ascii="仿宋_GB2312" w:eastAsia="仿宋_GB2312" w:cs="宋体"/>
          <w:color w:val="000000"/>
          <w:sz w:val="28"/>
          <w:szCs w:val="28"/>
        </w:rPr>
      </w:pPr>
    </w:p>
    <w:p>
      <w:pPr>
        <w:spacing w:line="320" w:lineRule="exact"/>
        <w:ind w:firstLine="1260" w:firstLineChars="450"/>
        <w:textAlignment w:val="baseline"/>
        <w:rPr>
          <w:rFonts w:hint="default" w:ascii="仿宋_GB2312" w:eastAsia="仿宋_GB2312" w:cs="宋体"/>
          <w:color w:val="000000"/>
          <w:sz w:val="28"/>
          <w:szCs w:val="28"/>
        </w:rPr>
      </w:pPr>
      <w:r>
        <w:rPr>
          <w:rFonts w:ascii="仿宋_GB2312" w:eastAsia="仿宋_GB2312" w:cs="宋体"/>
          <w:color w:val="000000"/>
          <w:sz w:val="28"/>
          <w:szCs w:val="28"/>
        </w:rPr>
        <w:t xml:space="preserve"> 北京企业管理咨询协会             中国中小商业企业协会</w:t>
      </w:r>
    </w:p>
    <w:p>
      <w:pPr>
        <w:autoSpaceDE/>
        <w:autoSpaceDN/>
        <w:adjustRightInd/>
        <w:spacing w:line="320" w:lineRule="exact"/>
        <w:ind w:firstLine="1120" w:firstLineChars="400"/>
        <w:jc w:val="both"/>
        <w:textAlignment w:val="baseline"/>
        <w:rPr>
          <w:rFonts w:hint="default" w:ascii="仿宋_GB2312" w:eastAsia="仿宋_GB2312" w:cs="宋体"/>
          <w:color w:val="000000"/>
          <w:sz w:val="28"/>
          <w:szCs w:val="28"/>
        </w:rPr>
      </w:pPr>
      <w:r>
        <w:rPr>
          <w:rFonts w:ascii="仿宋_GB2312" w:eastAsia="仿宋_GB2312" w:cs="宋体"/>
          <w:color w:val="000000"/>
          <w:sz w:val="28"/>
          <w:szCs w:val="28"/>
        </w:rPr>
        <w:t>人力资源培训咨询专业委员会             人力资本分会</w:t>
      </w:r>
    </w:p>
    <w:p>
      <w:pPr>
        <w:autoSpaceDE/>
        <w:autoSpaceDN/>
        <w:adjustRightInd/>
        <w:spacing w:line="320" w:lineRule="exact"/>
        <w:ind w:firstLine="560" w:firstLineChars="200"/>
        <w:jc w:val="both"/>
        <w:textAlignment w:val="baseline"/>
        <w:rPr>
          <w:rFonts w:hint="default" w:ascii="仿宋_GB2312" w:eastAsia="仿宋_GB2312" w:cs="宋体"/>
          <w:color w:val="000000"/>
          <w:sz w:val="28"/>
          <w:szCs w:val="28"/>
        </w:rPr>
      </w:pPr>
      <w:r>
        <w:rPr>
          <w:rFonts w:ascii="仿宋_GB2312" w:eastAsia="仿宋_GB2312" w:cs="宋体"/>
          <w:color w:val="000000"/>
          <w:sz w:val="28"/>
          <w:szCs w:val="28"/>
        </w:rPr>
        <w:t xml:space="preserve">         2020年5月6日                 2020年5月6日</w:t>
      </w:r>
    </w:p>
    <w:p>
      <w:pPr>
        <w:autoSpaceDE/>
        <w:autoSpaceDN/>
        <w:adjustRightInd/>
        <w:spacing w:line="400" w:lineRule="exact"/>
        <w:jc w:val="both"/>
        <w:textAlignment w:val="baseline"/>
        <w:rPr>
          <w:rFonts w:hint="default" w:ascii="华文中宋" w:hAnsi="华文中宋" w:eastAsia="华文中宋" w:cs="仿宋"/>
          <w:b/>
          <w:bCs/>
          <w:kern w:val="2"/>
          <w:sz w:val="32"/>
          <w:szCs w:val="32"/>
        </w:rPr>
      </w:pPr>
    </w:p>
    <w:p>
      <w:pPr>
        <w:autoSpaceDE/>
        <w:autoSpaceDN/>
        <w:adjustRightInd/>
        <w:spacing w:line="430" w:lineRule="exact"/>
        <w:jc w:val="both"/>
        <w:rPr>
          <w:rFonts w:hint="default" w:ascii="华文中宋" w:hAnsi="华文中宋" w:eastAsia="华文中宋" w:cs="仿宋"/>
          <w:b/>
          <w:bCs/>
          <w:kern w:val="2"/>
          <w:sz w:val="28"/>
          <w:szCs w:val="28"/>
        </w:rPr>
      </w:pPr>
    </w:p>
    <w:p>
      <w:pPr>
        <w:autoSpaceDE/>
        <w:autoSpaceDN/>
        <w:adjustRightInd/>
        <w:spacing w:line="430" w:lineRule="exact"/>
        <w:jc w:val="both"/>
        <w:rPr>
          <w:rFonts w:ascii="华文中宋" w:hAnsi="华文中宋" w:eastAsia="华文中宋" w:cs="仿宋"/>
          <w:b/>
          <w:bCs/>
          <w:kern w:val="2"/>
          <w:sz w:val="28"/>
          <w:szCs w:val="28"/>
        </w:rPr>
      </w:pPr>
    </w:p>
    <w:p>
      <w:pPr>
        <w:autoSpaceDE/>
        <w:autoSpaceDN/>
        <w:adjustRightInd/>
        <w:spacing w:line="430" w:lineRule="exact"/>
        <w:jc w:val="both"/>
        <w:rPr>
          <w:rFonts w:hint="default" w:ascii="华文中宋" w:hAnsi="华文中宋" w:eastAsia="华文中宋" w:cs="仿宋"/>
          <w:b/>
          <w:bCs/>
          <w:kern w:val="2"/>
          <w:sz w:val="28"/>
          <w:szCs w:val="28"/>
        </w:rPr>
      </w:pPr>
    </w:p>
    <w:p>
      <w:pPr>
        <w:autoSpaceDE/>
        <w:autoSpaceDN/>
        <w:adjustRightInd/>
        <w:spacing w:line="400" w:lineRule="exact"/>
        <w:jc w:val="both"/>
        <w:rPr>
          <w:rFonts w:hint="default" w:ascii="仿宋" w:hAnsi="仿宋" w:eastAsia="仿宋" w:cs="仿宋"/>
          <w:bCs/>
          <w:kern w:val="2"/>
          <w:sz w:val="28"/>
          <w:szCs w:val="28"/>
        </w:rPr>
      </w:pPr>
      <w:r>
        <w:rPr>
          <w:rFonts w:ascii="华文中宋" w:hAnsi="华文中宋" w:eastAsia="华文中宋" w:cs="仿宋"/>
          <w:b/>
          <w:bCs/>
          <w:kern w:val="2"/>
          <w:sz w:val="28"/>
          <w:szCs w:val="28"/>
        </w:rPr>
        <w:t xml:space="preserve">一、培训内容 </w:t>
      </w:r>
    </w:p>
    <w:p>
      <w:pPr>
        <w:autoSpaceDE/>
        <w:autoSpaceDN/>
        <w:adjustRightInd/>
        <w:spacing w:line="400" w:lineRule="exact"/>
        <w:jc w:val="both"/>
        <w:rPr>
          <w:rFonts w:hint="default" w:ascii="仿宋" w:hAnsi="仿宋" w:eastAsia="仿宋" w:cs="仿宋"/>
          <w:b/>
          <w:bCs/>
          <w:kern w:val="2"/>
          <w:sz w:val="28"/>
          <w:szCs w:val="28"/>
        </w:rPr>
      </w:pPr>
      <w:r>
        <w:rPr>
          <w:rFonts w:hint="default" w:ascii="仿宋" w:hAnsi="仿宋" w:eastAsia="仿宋" w:cs="仿宋"/>
          <w:b/>
          <w:bCs/>
          <w:kern w:val="2"/>
          <w:sz w:val="28"/>
          <w:szCs w:val="28"/>
        </w:rPr>
        <w:t>(</w:t>
      </w:r>
      <w:r>
        <w:rPr>
          <w:rFonts w:ascii="仿宋" w:hAnsi="仿宋" w:eastAsia="仿宋" w:cs="仿宋"/>
          <w:b/>
          <w:bCs/>
          <w:kern w:val="2"/>
          <w:sz w:val="28"/>
          <w:szCs w:val="28"/>
        </w:rPr>
        <w:t>一</w:t>
      </w:r>
      <w:r>
        <w:rPr>
          <w:rFonts w:hint="default" w:ascii="仿宋" w:hAnsi="仿宋" w:eastAsia="仿宋" w:cs="仿宋"/>
          <w:b/>
          <w:bCs/>
          <w:kern w:val="2"/>
          <w:sz w:val="28"/>
          <w:szCs w:val="28"/>
        </w:rPr>
        <w:t>)《关于改革国有企业工资决定机制的意见》（国发〔2018〕16号）解读</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国有企业工资决定机制主要概念界定</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国资系统如何整体规划打造国企与干部员工的命运共同体</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国资委如何推动区域国企工资总额调整机制的建立</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企业分类确定工资效益联动指标</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国企如何利用一企一策改革个性化确定工资总额形成公式</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基于工资总额机制的内部差异化薪酬</w:t>
      </w:r>
      <w:r>
        <w:rPr>
          <w:rFonts w:ascii="仿宋" w:hAnsi="仿宋" w:eastAsia="仿宋" w:cs="仿宋"/>
          <w:bCs/>
          <w:kern w:val="2"/>
          <w:sz w:val="28"/>
          <w:szCs w:val="28"/>
        </w:rPr>
        <w:t>；</w:t>
      </w:r>
      <w:r>
        <w:rPr>
          <w:rFonts w:hint="default" w:ascii="仿宋" w:hAnsi="仿宋" w:eastAsia="仿宋" w:cs="仿宋"/>
          <w:bCs/>
          <w:kern w:val="2"/>
          <w:sz w:val="28"/>
          <w:szCs w:val="28"/>
        </w:rPr>
        <w:t xml:space="preserve">      </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国有企业工资分配监管体制</w:t>
      </w:r>
      <w:r>
        <w:rPr>
          <w:rFonts w:ascii="仿宋" w:hAnsi="仿宋" w:eastAsia="仿宋" w:cs="仿宋"/>
          <w:bCs/>
          <w:kern w:val="2"/>
          <w:sz w:val="28"/>
          <w:szCs w:val="28"/>
        </w:rPr>
        <w:t>。</w:t>
      </w:r>
    </w:p>
    <w:p>
      <w:pPr>
        <w:autoSpaceDE/>
        <w:autoSpaceDN/>
        <w:adjustRightInd/>
        <w:spacing w:line="400" w:lineRule="exact"/>
        <w:jc w:val="both"/>
        <w:rPr>
          <w:rFonts w:hint="default" w:ascii="仿宋" w:hAnsi="仿宋" w:eastAsia="仿宋" w:cs="仿宋"/>
          <w:b/>
          <w:bCs/>
          <w:kern w:val="2"/>
          <w:sz w:val="28"/>
          <w:szCs w:val="28"/>
        </w:rPr>
      </w:pPr>
      <w:r>
        <w:rPr>
          <w:rFonts w:hint="default" w:ascii="仿宋" w:hAnsi="仿宋" w:eastAsia="仿宋" w:cs="仿宋"/>
          <w:b/>
          <w:bCs/>
          <w:kern w:val="2"/>
          <w:sz w:val="28"/>
          <w:szCs w:val="28"/>
        </w:rPr>
        <w:t>(</w:t>
      </w:r>
      <w:r>
        <w:rPr>
          <w:rFonts w:ascii="仿宋" w:hAnsi="仿宋" w:eastAsia="仿宋" w:cs="仿宋"/>
          <w:b/>
          <w:bCs/>
          <w:kern w:val="2"/>
          <w:sz w:val="28"/>
          <w:szCs w:val="28"/>
        </w:rPr>
        <w:t>二</w:t>
      </w:r>
      <w:r>
        <w:rPr>
          <w:rFonts w:hint="default" w:ascii="仿宋" w:hAnsi="仿宋" w:eastAsia="仿宋" w:cs="仿宋"/>
          <w:b/>
          <w:bCs/>
          <w:kern w:val="2"/>
          <w:sz w:val="28"/>
          <w:szCs w:val="28"/>
        </w:rPr>
        <w:t>) 国有企业人才管理机制及薪酬绩效管理体系改革</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国有企业薪酬体系改革的政策解读</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国有企业人才流动机制的建立与完善</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绩效管理的操作步骤、指标设计及管理模式</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国有企业改革中建立以绩效为导向和市场接轨的薪酬体系</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国有企业绩效考核的难点及解决思路</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国企三项制度改革的重点、难点问题解析</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 xml:space="preserve"> 三项制度改革的推进策略、实施路径及典型成功案例解析</w:t>
      </w:r>
      <w:r>
        <w:rPr>
          <w:rFonts w:ascii="仿宋" w:hAnsi="仿宋" w:eastAsia="仿宋" w:cs="仿宋"/>
          <w:bCs/>
          <w:kern w:val="2"/>
          <w:sz w:val="28"/>
          <w:szCs w:val="28"/>
        </w:rPr>
        <w:t>。</w:t>
      </w:r>
    </w:p>
    <w:p>
      <w:pPr>
        <w:autoSpaceDE/>
        <w:autoSpaceDN/>
        <w:adjustRightInd/>
        <w:spacing w:line="400" w:lineRule="exact"/>
        <w:jc w:val="both"/>
        <w:rPr>
          <w:rFonts w:hint="default" w:ascii="仿宋" w:hAnsi="仿宋" w:eastAsia="仿宋" w:cs="仿宋"/>
          <w:b/>
          <w:bCs/>
          <w:kern w:val="2"/>
          <w:sz w:val="28"/>
          <w:szCs w:val="28"/>
        </w:rPr>
      </w:pPr>
      <w:r>
        <w:rPr>
          <w:rFonts w:hint="default" w:ascii="仿宋" w:hAnsi="仿宋" w:eastAsia="仿宋" w:cs="仿宋"/>
          <w:b/>
          <w:bCs/>
          <w:kern w:val="2"/>
          <w:sz w:val="28"/>
          <w:szCs w:val="28"/>
        </w:rPr>
        <w:t>(</w:t>
      </w:r>
      <w:r>
        <w:rPr>
          <w:rFonts w:ascii="仿宋" w:hAnsi="仿宋" w:eastAsia="仿宋" w:cs="仿宋"/>
          <w:b/>
          <w:bCs/>
          <w:kern w:val="2"/>
          <w:sz w:val="28"/>
          <w:szCs w:val="28"/>
        </w:rPr>
        <w:t>三</w:t>
      </w:r>
      <w:r>
        <w:rPr>
          <w:rFonts w:hint="default" w:ascii="仿宋" w:hAnsi="仿宋" w:eastAsia="仿宋" w:cs="仿宋"/>
          <w:b/>
          <w:bCs/>
          <w:kern w:val="2"/>
          <w:sz w:val="28"/>
          <w:szCs w:val="28"/>
        </w:rPr>
        <w:t>) 国企薪酬改革、员工持股与长期激励机制设计</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薪酬体系构成与设计原则</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国企薪酬诊断分析与案例</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薪酬设计“6+1”</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国企不同级别员工的薪酬构成</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股权顶层设计--股权治理机制</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与薪酬体系匹配的激励方式</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股权激励机制的现状与设计模式</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8</w:t>
      </w:r>
      <w:r>
        <w:rPr>
          <w:rFonts w:ascii="仿宋" w:hAnsi="仿宋" w:eastAsia="仿宋" w:cs="仿宋"/>
          <w:bCs/>
          <w:kern w:val="2"/>
          <w:sz w:val="28"/>
          <w:szCs w:val="28"/>
        </w:rPr>
        <w:t>、</w:t>
      </w:r>
      <w:r>
        <w:rPr>
          <w:rFonts w:hint="default" w:ascii="仿宋" w:hAnsi="仿宋" w:eastAsia="仿宋" w:cs="仿宋"/>
          <w:bCs/>
          <w:kern w:val="2"/>
          <w:sz w:val="28"/>
          <w:szCs w:val="28"/>
        </w:rPr>
        <w:t>国企长期激励实施的要点</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股权激励机制主要操作障碍</w:t>
      </w:r>
      <w:r>
        <w:rPr>
          <w:rFonts w:ascii="仿宋" w:hAnsi="仿宋" w:eastAsia="仿宋" w:cs="仿宋"/>
          <w:bCs/>
          <w:kern w:val="2"/>
          <w:sz w:val="28"/>
          <w:szCs w:val="28"/>
        </w:rPr>
        <w:t>。</w:t>
      </w:r>
    </w:p>
    <w:p>
      <w:pPr>
        <w:autoSpaceDE/>
        <w:autoSpaceDN/>
        <w:adjustRightInd/>
        <w:spacing w:line="40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（四）国企混改中职工持股、股权和分红激励的操作要点</w:t>
      </w:r>
      <w:r>
        <w:rPr>
          <w:rFonts w:hint="default" w:ascii="仿宋" w:hAnsi="仿宋" w:eastAsia="仿宋" w:cs="仿宋"/>
          <w:b/>
          <w:bCs/>
          <w:kern w:val="2"/>
          <w:sz w:val="28"/>
          <w:szCs w:val="28"/>
        </w:rPr>
        <w:t xml:space="preserve"> </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w:t>
      </w:r>
      <w:r>
        <w:rPr>
          <w:rFonts w:hint="default" w:ascii="仿宋" w:hAnsi="仿宋" w:eastAsia="仿宋" w:cs="仿宋"/>
          <w:bCs/>
          <w:kern w:val="2"/>
          <w:sz w:val="28"/>
          <w:szCs w:val="28"/>
        </w:rPr>
        <w:t>国企职工持股的经验教训总结</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 xml:space="preserve">不同类型国有企业推行骨干职工持股的操作模式及可借鉴的典型案例 </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w:t>
      </w:r>
      <w:r>
        <w:rPr>
          <w:rFonts w:hint="default" w:ascii="仿宋" w:hAnsi="仿宋" w:eastAsia="仿宋" w:cs="仿宋"/>
          <w:bCs/>
          <w:kern w:val="2"/>
          <w:sz w:val="28"/>
          <w:szCs w:val="28"/>
        </w:rPr>
        <w:t>职工持股的可选载体及其适用性、利弊分析</w:t>
      </w:r>
      <w:r>
        <w:rPr>
          <w:rFonts w:ascii="仿宋" w:hAnsi="仿宋" w:eastAsia="仿宋" w:cs="仿宋"/>
          <w:bCs/>
          <w:kern w:val="2"/>
          <w:sz w:val="28"/>
          <w:szCs w:val="28"/>
        </w:rPr>
        <w:t>；</w:t>
      </w:r>
      <w:r>
        <w:rPr>
          <w:rFonts w:hint="default" w:ascii="仿宋" w:hAnsi="仿宋" w:eastAsia="仿宋" w:cs="仿宋"/>
          <w:bCs/>
          <w:kern w:val="2"/>
          <w:sz w:val="28"/>
          <w:szCs w:val="28"/>
        </w:rPr>
        <w:t xml:space="preserve"> </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w:t>
      </w:r>
      <w:r>
        <w:rPr>
          <w:rFonts w:hint="default" w:ascii="仿宋" w:hAnsi="仿宋" w:eastAsia="仿宋" w:cs="仿宋"/>
          <w:bCs/>
          <w:kern w:val="2"/>
          <w:sz w:val="28"/>
          <w:szCs w:val="28"/>
        </w:rPr>
        <w:t>国企混改中预留股权的操作方法与技巧（注：预留股权常用于吸引和激励优秀人才）</w:t>
      </w:r>
      <w:r>
        <w:rPr>
          <w:rFonts w:ascii="仿宋" w:hAnsi="仿宋" w:eastAsia="仿宋" w:cs="仿宋"/>
          <w:bCs/>
          <w:kern w:val="2"/>
          <w:sz w:val="28"/>
          <w:szCs w:val="28"/>
        </w:rPr>
        <w:t>；</w:t>
      </w:r>
      <w:r>
        <w:rPr>
          <w:rFonts w:hint="default" w:ascii="仿宋" w:hAnsi="仿宋" w:eastAsia="仿宋" w:cs="仿宋"/>
          <w:bCs/>
          <w:kern w:val="2"/>
          <w:sz w:val="28"/>
          <w:szCs w:val="28"/>
        </w:rPr>
        <w:t xml:space="preserve"> </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w:t>
      </w:r>
      <w:r>
        <w:rPr>
          <w:rFonts w:hint="default" w:ascii="仿宋" w:hAnsi="仿宋" w:eastAsia="仿宋" w:cs="仿宋"/>
          <w:bCs/>
          <w:kern w:val="2"/>
          <w:sz w:val="28"/>
          <w:szCs w:val="28"/>
        </w:rPr>
        <w:t>目前尚不符合职工持股试点意见所要求条件的国企，如何创新设计改革方式和操作路径，依法依规分步推进混改和职工持股工作</w:t>
      </w:r>
      <w:r>
        <w:rPr>
          <w:rFonts w:ascii="仿宋" w:hAnsi="仿宋" w:eastAsia="仿宋" w:cs="仿宋"/>
          <w:bCs/>
          <w:kern w:val="2"/>
          <w:sz w:val="28"/>
          <w:szCs w:val="28"/>
        </w:rPr>
        <w:t>；</w:t>
      </w:r>
      <w:r>
        <w:rPr>
          <w:rFonts w:hint="default" w:ascii="仿宋" w:hAnsi="仿宋" w:eastAsia="仿宋" w:cs="仿宋"/>
          <w:bCs/>
          <w:kern w:val="2"/>
          <w:sz w:val="28"/>
          <w:szCs w:val="28"/>
        </w:rPr>
        <w:t xml:space="preserve">  </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w:t>
      </w:r>
      <w:r>
        <w:rPr>
          <w:rFonts w:hint="default" w:ascii="仿宋" w:hAnsi="仿宋" w:eastAsia="仿宋" w:cs="仿宋"/>
          <w:bCs/>
          <w:kern w:val="2"/>
          <w:sz w:val="28"/>
          <w:szCs w:val="28"/>
        </w:rPr>
        <w:t>国有企业股权和分红激励的适用范围、操作模式及可借鉴的典型案例</w:t>
      </w:r>
      <w:r>
        <w:rPr>
          <w:rFonts w:ascii="仿宋" w:hAnsi="仿宋" w:eastAsia="仿宋" w:cs="仿宋"/>
          <w:bCs/>
          <w:kern w:val="2"/>
          <w:sz w:val="28"/>
          <w:szCs w:val="28"/>
        </w:rPr>
        <w:t>；</w:t>
      </w:r>
      <w:r>
        <w:rPr>
          <w:rFonts w:hint="default" w:ascii="仿宋" w:hAnsi="仿宋" w:eastAsia="仿宋" w:cs="仿宋"/>
          <w:bCs/>
          <w:kern w:val="2"/>
          <w:sz w:val="28"/>
          <w:szCs w:val="28"/>
        </w:rPr>
        <w:t xml:space="preserve"> </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w:t>
      </w:r>
      <w:r>
        <w:rPr>
          <w:rFonts w:hint="default" w:ascii="仿宋" w:hAnsi="仿宋" w:eastAsia="仿宋" w:cs="仿宋"/>
          <w:bCs/>
          <w:kern w:val="2"/>
          <w:sz w:val="28"/>
          <w:szCs w:val="28"/>
        </w:rPr>
        <w:t>国企混改中职工持股方案、股权和分红激励方案的设计及实施疑难问题处理</w:t>
      </w:r>
      <w:r>
        <w:rPr>
          <w:rFonts w:ascii="仿宋" w:hAnsi="仿宋" w:eastAsia="仿宋" w:cs="仿宋"/>
          <w:bCs/>
          <w:kern w:val="2"/>
          <w:sz w:val="28"/>
          <w:szCs w:val="28"/>
        </w:rPr>
        <w:t>。</w:t>
      </w:r>
      <w:r>
        <w:rPr>
          <w:rFonts w:hint="default" w:ascii="仿宋" w:hAnsi="仿宋" w:eastAsia="仿宋" w:cs="仿宋"/>
          <w:bCs/>
          <w:kern w:val="2"/>
          <w:sz w:val="28"/>
          <w:szCs w:val="28"/>
        </w:rPr>
        <w:t xml:space="preserve"> </w:t>
      </w:r>
    </w:p>
    <w:p>
      <w:pPr>
        <w:autoSpaceDE/>
        <w:autoSpaceDN/>
        <w:adjustRightInd/>
        <w:spacing w:line="40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（五）</w:t>
      </w:r>
      <w:r>
        <w:rPr>
          <w:rFonts w:hint="default" w:ascii="仿宋" w:hAnsi="仿宋" w:eastAsia="仿宋" w:cs="仿宋"/>
          <w:b/>
          <w:bCs/>
          <w:kern w:val="2"/>
          <w:sz w:val="28"/>
          <w:szCs w:val="28"/>
        </w:rPr>
        <w:t>市场化选聘经营管理者与职业经理人</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w:t>
      </w:r>
      <w:r>
        <w:rPr>
          <w:rFonts w:hint="default" w:ascii="仿宋" w:hAnsi="仿宋" w:eastAsia="仿宋" w:cs="仿宋"/>
          <w:bCs/>
          <w:kern w:val="2"/>
          <w:sz w:val="28"/>
          <w:szCs w:val="28"/>
        </w:rPr>
        <w:t>《关于开展市场化选聘和管理国有企业经营管理者试点工作的意见》解读</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中国特色现代企业治理机制</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w:t>
      </w:r>
      <w:r>
        <w:rPr>
          <w:rFonts w:hint="default" w:ascii="仿宋" w:hAnsi="仿宋" w:eastAsia="仿宋" w:cs="仿宋"/>
          <w:bCs/>
          <w:kern w:val="2"/>
          <w:sz w:val="28"/>
          <w:szCs w:val="28"/>
        </w:rPr>
        <w:t>董事会职权落实</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w:t>
      </w:r>
      <w:r>
        <w:rPr>
          <w:rFonts w:hint="default" w:ascii="仿宋" w:hAnsi="仿宋" w:eastAsia="仿宋" w:cs="仿宋"/>
          <w:bCs/>
          <w:kern w:val="2"/>
          <w:sz w:val="28"/>
          <w:szCs w:val="28"/>
        </w:rPr>
        <w:t>市场化选聘经营管理者</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w:t>
      </w:r>
      <w:r>
        <w:rPr>
          <w:rFonts w:hint="default" w:ascii="仿宋" w:hAnsi="仿宋" w:eastAsia="仿宋" w:cs="仿宋"/>
          <w:bCs/>
          <w:kern w:val="2"/>
          <w:sz w:val="28"/>
          <w:szCs w:val="28"/>
        </w:rPr>
        <w:t>分类改革与分类治理</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w:t>
      </w:r>
      <w:r>
        <w:rPr>
          <w:rFonts w:hint="default" w:ascii="仿宋" w:hAnsi="仿宋" w:eastAsia="仿宋" w:cs="仿宋"/>
          <w:bCs/>
          <w:kern w:val="2"/>
          <w:sz w:val="28"/>
          <w:szCs w:val="28"/>
        </w:rPr>
        <w:t>“管资本”模式下国有出资人的职责履行</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w:t>
      </w:r>
      <w:r>
        <w:rPr>
          <w:rFonts w:hint="default" w:ascii="仿宋" w:hAnsi="仿宋" w:eastAsia="仿宋" w:cs="仿宋"/>
          <w:bCs/>
          <w:kern w:val="2"/>
          <w:sz w:val="28"/>
          <w:szCs w:val="28"/>
        </w:rPr>
        <w:t>市场化选聘模式分析</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w:t>
      </w:r>
      <w:r>
        <w:rPr>
          <w:rFonts w:hint="default" w:ascii="仿宋" w:hAnsi="仿宋" w:eastAsia="仿宋" w:cs="仿宋"/>
          <w:bCs/>
          <w:kern w:val="2"/>
          <w:sz w:val="28"/>
          <w:szCs w:val="28"/>
        </w:rPr>
        <w:t>契约制和聘用制</w:t>
      </w:r>
      <w:r>
        <w:rPr>
          <w:rFonts w:ascii="仿宋" w:hAnsi="仿宋" w:eastAsia="仿宋" w:cs="仿宋"/>
          <w:bCs/>
          <w:kern w:val="2"/>
          <w:sz w:val="28"/>
          <w:szCs w:val="28"/>
        </w:rPr>
        <w:t>；</w:t>
      </w:r>
      <w:r>
        <w:rPr>
          <w:rFonts w:hint="default" w:ascii="仿宋" w:hAnsi="仿宋" w:eastAsia="仿宋" w:cs="仿宋"/>
          <w:bCs/>
          <w:kern w:val="2"/>
          <w:sz w:val="28"/>
          <w:szCs w:val="28"/>
        </w:rPr>
        <w:t xml:space="preserve">                                          </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推行职业经理人制度的总体要求</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10</w:t>
      </w:r>
      <w:r>
        <w:rPr>
          <w:rFonts w:ascii="仿宋" w:hAnsi="仿宋" w:eastAsia="仿宋" w:cs="仿宋"/>
          <w:bCs/>
          <w:kern w:val="2"/>
          <w:sz w:val="28"/>
          <w:szCs w:val="28"/>
        </w:rPr>
        <w:t>、</w:t>
      </w:r>
      <w:r>
        <w:rPr>
          <w:rFonts w:hint="default" w:ascii="仿宋" w:hAnsi="仿宋" w:eastAsia="仿宋" w:cs="仿宋"/>
          <w:bCs/>
          <w:kern w:val="2"/>
          <w:sz w:val="28"/>
          <w:szCs w:val="28"/>
        </w:rPr>
        <w:t>职业经理人制度建设相关政策分析</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11</w:t>
      </w:r>
      <w:r>
        <w:rPr>
          <w:rFonts w:ascii="仿宋" w:hAnsi="仿宋" w:eastAsia="仿宋" w:cs="仿宋"/>
          <w:bCs/>
          <w:kern w:val="2"/>
          <w:sz w:val="28"/>
          <w:szCs w:val="28"/>
        </w:rPr>
        <w:t>、</w:t>
      </w:r>
      <w:r>
        <w:rPr>
          <w:rFonts w:hint="default" w:ascii="仿宋" w:hAnsi="仿宋" w:eastAsia="仿宋" w:cs="仿宋"/>
          <w:bCs/>
          <w:kern w:val="2"/>
          <w:sz w:val="28"/>
          <w:szCs w:val="28"/>
        </w:rPr>
        <w:t>职业经理人制度体系建设与实施的经验借鉴</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12</w:t>
      </w:r>
      <w:r>
        <w:rPr>
          <w:rFonts w:ascii="仿宋" w:hAnsi="仿宋" w:eastAsia="仿宋" w:cs="仿宋"/>
          <w:bCs/>
          <w:kern w:val="2"/>
          <w:sz w:val="28"/>
          <w:szCs w:val="28"/>
        </w:rPr>
        <w:t>、</w:t>
      </w:r>
      <w:r>
        <w:rPr>
          <w:rFonts w:hint="default" w:ascii="仿宋" w:hAnsi="仿宋" w:eastAsia="仿宋" w:cs="仿宋"/>
          <w:bCs/>
          <w:kern w:val="2"/>
          <w:sz w:val="28"/>
          <w:szCs w:val="28"/>
        </w:rPr>
        <w:t>职业经理人制度与国企党建的重要工作</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13</w:t>
      </w:r>
      <w:r>
        <w:rPr>
          <w:rFonts w:ascii="仿宋" w:hAnsi="仿宋" w:eastAsia="仿宋" w:cs="仿宋"/>
          <w:bCs/>
          <w:kern w:val="2"/>
          <w:sz w:val="28"/>
          <w:szCs w:val="28"/>
        </w:rPr>
        <w:t>、</w:t>
      </w:r>
      <w:r>
        <w:rPr>
          <w:rFonts w:hint="default" w:ascii="仿宋" w:hAnsi="仿宋" w:eastAsia="仿宋" w:cs="仿宋"/>
          <w:bCs/>
          <w:kern w:val="2"/>
          <w:sz w:val="28"/>
          <w:szCs w:val="28"/>
        </w:rPr>
        <w:t>案例分析:职业经理人选聘、薪酬机制模式</w:t>
      </w:r>
      <w:r>
        <w:rPr>
          <w:rFonts w:ascii="仿宋" w:hAnsi="仿宋" w:eastAsia="仿宋" w:cs="仿宋"/>
          <w:bCs/>
          <w:kern w:val="2"/>
          <w:sz w:val="28"/>
          <w:szCs w:val="28"/>
        </w:rPr>
        <w:t>。</w:t>
      </w:r>
    </w:p>
    <w:p>
      <w:pPr>
        <w:autoSpaceDE/>
        <w:autoSpaceDN/>
        <w:adjustRightInd/>
        <w:spacing w:line="40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（六）国有企业绩效考核方案设计与操作及案例分享</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1、国有企业</w:t>
      </w:r>
      <w:r>
        <w:rPr>
          <w:rFonts w:hint="default" w:ascii="仿宋" w:hAnsi="仿宋" w:eastAsia="仿宋" w:cs="仿宋"/>
          <w:bCs/>
          <w:kern w:val="2"/>
          <w:sz w:val="28"/>
          <w:szCs w:val="28"/>
        </w:rPr>
        <w:t>考核类型</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绩效考核的目的</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w:t>
      </w:r>
      <w:r>
        <w:rPr>
          <w:rFonts w:hint="default" w:ascii="仿宋" w:hAnsi="仿宋" w:eastAsia="仿宋" w:cs="仿宋"/>
          <w:bCs/>
          <w:kern w:val="2"/>
          <w:sz w:val="28"/>
          <w:szCs w:val="28"/>
        </w:rPr>
        <w:t>绩效考核的对象</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fldChar w:fldCharType="begin"/>
      </w:r>
      <w:r>
        <w:rPr>
          <w:rFonts w:hint="default" w:ascii="仿宋" w:hAnsi="仿宋" w:eastAsia="仿宋" w:cs="仿宋"/>
          <w:bCs/>
          <w:kern w:val="2"/>
          <w:sz w:val="28"/>
          <w:szCs w:val="28"/>
        </w:rPr>
        <w:instrText xml:space="preserve"> </w:instrText>
      </w:r>
      <w:r>
        <w:rPr>
          <w:rFonts w:ascii="仿宋" w:hAnsi="仿宋" w:eastAsia="仿宋" w:cs="仿宋"/>
          <w:bCs/>
          <w:kern w:val="2"/>
          <w:sz w:val="28"/>
          <w:szCs w:val="28"/>
        </w:rPr>
        <w:instrText xml:space="preserve">eq \o\ac(○,</w:instrText>
      </w:r>
      <w:r>
        <w:rPr>
          <w:rFonts w:ascii="仿宋" w:hAnsi="仿宋" w:eastAsia="仿宋" w:cs="仿宋"/>
          <w:bCs/>
          <w:kern w:val="2"/>
          <w:position w:val="3"/>
          <w:sz w:val="19"/>
          <w:szCs w:val="28"/>
        </w:rPr>
        <w:instrText xml:space="preserve">1</w:instrText>
      </w:r>
      <w:r>
        <w:rPr>
          <w:rFonts w:ascii="仿宋" w:hAnsi="仿宋" w:eastAsia="仿宋" w:cs="仿宋"/>
          <w:bCs/>
          <w:kern w:val="2"/>
          <w:sz w:val="28"/>
          <w:szCs w:val="28"/>
        </w:rPr>
        <w:instrText xml:space="preserve">)</w:instrText>
      </w:r>
      <w:r>
        <w:rPr>
          <w:rFonts w:hint="default" w:ascii="仿宋" w:hAnsi="仿宋" w:eastAsia="仿宋" w:cs="仿宋"/>
          <w:bCs/>
          <w:kern w:val="2"/>
          <w:sz w:val="28"/>
          <w:szCs w:val="28"/>
        </w:rPr>
        <w:fldChar w:fldCharType="end"/>
      </w:r>
      <w:r>
        <w:rPr>
          <w:rFonts w:ascii="仿宋" w:hAnsi="仿宋" w:eastAsia="仿宋" w:cs="仿宋"/>
          <w:bCs/>
          <w:kern w:val="2"/>
          <w:sz w:val="28"/>
          <w:szCs w:val="28"/>
        </w:rPr>
        <w:t>对团体人员；</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fldChar w:fldCharType="begin"/>
      </w:r>
      <w:r>
        <w:rPr>
          <w:rFonts w:hint="default" w:ascii="仿宋" w:hAnsi="仿宋" w:eastAsia="仿宋" w:cs="仿宋"/>
          <w:bCs/>
          <w:kern w:val="2"/>
          <w:sz w:val="28"/>
          <w:szCs w:val="28"/>
        </w:rPr>
        <w:instrText xml:space="preserve"> </w:instrText>
      </w:r>
      <w:r>
        <w:rPr>
          <w:rFonts w:ascii="仿宋" w:hAnsi="仿宋" w:eastAsia="仿宋" w:cs="仿宋"/>
          <w:bCs/>
          <w:kern w:val="2"/>
          <w:sz w:val="28"/>
          <w:szCs w:val="28"/>
        </w:rPr>
        <w:instrText xml:space="preserve">eq \o\ac(○,</w:instrText>
      </w:r>
      <w:r>
        <w:rPr>
          <w:rFonts w:ascii="仿宋" w:hAnsi="仿宋" w:eastAsia="仿宋" w:cs="仿宋"/>
          <w:bCs/>
          <w:kern w:val="2"/>
          <w:position w:val="3"/>
          <w:sz w:val="19"/>
          <w:szCs w:val="28"/>
        </w:rPr>
        <w:instrText xml:space="preserve">2</w:instrText>
      </w:r>
      <w:r>
        <w:rPr>
          <w:rFonts w:ascii="仿宋" w:hAnsi="仿宋" w:eastAsia="仿宋" w:cs="仿宋"/>
          <w:bCs/>
          <w:kern w:val="2"/>
          <w:sz w:val="28"/>
          <w:szCs w:val="28"/>
        </w:rPr>
        <w:instrText xml:space="preserve">)</w:instrText>
      </w:r>
      <w:r>
        <w:rPr>
          <w:rFonts w:hint="default" w:ascii="仿宋" w:hAnsi="仿宋" w:eastAsia="仿宋" w:cs="仿宋"/>
          <w:bCs/>
          <w:kern w:val="2"/>
          <w:sz w:val="28"/>
          <w:szCs w:val="28"/>
        </w:rPr>
        <w:fldChar w:fldCharType="end"/>
      </w:r>
      <w:r>
        <w:rPr>
          <w:rFonts w:ascii="仿宋" w:hAnsi="仿宋" w:eastAsia="仿宋" w:cs="仿宋"/>
          <w:bCs/>
          <w:kern w:val="2"/>
          <w:sz w:val="28"/>
          <w:szCs w:val="28"/>
        </w:rPr>
        <w:t>对在岗人员。</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4、绩效考核的关系；</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5、考核及兑现方式：</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fldChar w:fldCharType="begin"/>
      </w:r>
      <w:r>
        <w:rPr>
          <w:rFonts w:hint="default" w:ascii="仿宋" w:hAnsi="仿宋" w:eastAsia="仿宋" w:cs="仿宋"/>
          <w:bCs/>
          <w:kern w:val="2"/>
          <w:sz w:val="28"/>
          <w:szCs w:val="28"/>
        </w:rPr>
        <w:instrText xml:space="preserve"> </w:instrText>
      </w:r>
      <w:r>
        <w:rPr>
          <w:rFonts w:ascii="仿宋" w:hAnsi="仿宋" w:eastAsia="仿宋" w:cs="仿宋"/>
          <w:bCs/>
          <w:kern w:val="2"/>
          <w:sz w:val="28"/>
          <w:szCs w:val="28"/>
        </w:rPr>
        <w:instrText xml:space="preserve">eq \o\ac(○,</w:instrText>
      </w:r>
      <w:r>
        <w:rPr>
          <w:rFonts w:ascii="仿宋" w:hAnsi="仿宋" w:eastAsia="仿宋" w:cs="仿宋"/>
          <w:bCs/>
          <w:kern w:val="2"/>
          <w:position w:val="3"/>
          <w:sz w:val="19"/>
          <w:szCs w:val="28"/>
        </w:rPr>
        <w:instrText xml:space="preserve">1</w:instrText>
      </w:r>
      <w:r>
        <w:rPr>
          <w:rFonts w:ascii="仿宋" w:hAnsi="仿宋" w:eastAsia="仿宋" w:cs="仿宋"/>
          <w:bCs/>
          <w:kern w:val="2"/>
          <w:sz w:val="28"/>
          <w:szCs w:val="28"/>
        </w:rPr>
        <w:instrText xml:space="preserve">)</w:instrText>
      </w:r>
      <w:r>
        <w:rPr>
          <w:rFonts w:hint="default" w:ascii="仿宋" w:hAnsi="仿宋" w:eastAsia="仿宋" w:cs="仿宋"/>
          <w:bCs/>
          <w:kern w:val="2"/>
          <w:sz w:val="28"/>
          <w:szCs w:val="28"/>
        </w:rPr>
        <w:fldChar w:fldCharType="end"/>
      </w:r>
      <w:r>
        <w:rPr>
          <w:rFonts w:hint="default" w:ascii="仿宋" w:hAnsi="仿宋" w:eastAsia="仿宋" w:cs="仿宋"/>
          <w:bCs/>
          <w:kern w:val="2"/>
          <w:sz w:val="28"/>
          <w:szCs w:val="28"/>
        </w:rPr>
        <w:t>股东会或出资人对董事会（或企业的管理部门）</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fldChar w:fldCharType="begin"/>
      </w:r>
      <w:r>
        <w:rPr>
          <w:rFonts w:hint="default" w:ascii="仿宋" w:hAnsi="仿宋" w:eastAsia="仿宋" w:cs="仿宋"/>
          <w:bCs/>
          <w:kern w:val="2"/>
          <w:sz w:val="28"/>
          <w:szCs w:val="28"/>
        </w:rPr>
        <w:instrText xml:space="preserve"> </w:instrText>
      </w:r>
      <w:r>
        <w:rPr>
          <w:rFonts w:ascii="仿宋" w:hAnsi="仿宋" w:eastAsia="仿宋" w:cs="仿宋"/>
          <w:bCs/>
          <w:kern w:val="2"/>
          <w:sz w:val="28"/>
          <w:szCs w:val="28"/>
        </w:rPr>
        <w:instrText xml:space="preserve">eq \o\ac(○,</w:instrText>
      </w:r>
      <w:r>
        <w:rPr>
          <w:rFonts w:ascii="仿宋" w:hAnsi="仿宋" w:eastAsia="仿宋" w:cs="仿宋"/>
          <w:bCs/>
          <w:kern w:val="2"/>
          <w:position w:val="3"/>
          <w:sz w:val="19"/>
          <w:szCs w:val="28"/>
        </w:rPr>
        <w:instrText xml:space="preserve">2</w:instrText>
      </w:r>
      <w:r>
        <w:rPr>
          <w:rFonts w:ascii="仿宋" w:hAnsi="仿宋" w:eastAsia="仿宋" w:cs="仿宋"/>
          <w:bCs/>
          <w:kern w:val="2"/>
          <w:sz w:val="28"/>
          <w:szCs w:val="28"/>
        </w:rPr>
        <w:instrText xml:space="preserve">)</w:instrText>
      </w:r>
      <w:r>
        <w:rPr>
          <w:rFonts w:hint="default" w:ascii="仿宋" w:hAnsi="仿宋" w:eastAsia="仿宋" w:cs="仿宋"/>
          <w:bCs/>
          <w:kern w:val="2"/>
          <w:sz w:val="28"/>
          <w:szCs w:val="28"/>
        </w:rPr>
        <w:fldChar w:fldCharType="end"/>
      </w:r>
      <w:r>
        <w:rPr>
          <w:rFonts w:hint="default" w:ascii="仿宋" w:hAnsi="仿宋" w:eastAsia="仿宋" w:cs="仿宋"/>
          <w:bCs/>
          <w:kern w:val="2"/>
          <w:sz w:val="28"/>
          <w:szCs w:val="28"/>
        </w:rPr>
        <w:t>董事会对经营层</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fldChar w:fldCharType="begin"/>
      </w:r>
      <w:r>
        <w:rPr>
          <w:rFonts w:hint="default" w:ascii="仿宋" w:hAnsi="仿宋" w:eastAsia="仿宋" w:cs="仿宋"/>
          <w:bCs/>
          <w:kern w:val="2"/>
          <w:sz w:val="28"/>
          <w:szCs w:val="28"/>
        </w:rPr>
        <w:instrText xml:space="preserve"> </w:instrText>
      </w:r>
      <w:r>
        <w:rPr>
          <w:rFonts w:ascii="仿宋" w:hAnsi="仿宋" w:eastAsia="仿宋" w:cs="仿宋"/>
          <w:bCs/>
          <w:kern w:val="2"/>
          <w:sz w:val="28"/>
          <w:szCs w:val="28"/>
        </w:rPr>
        <w:instrText xml:space="preserve">eq \o\ac(○,</w:instrText>
      </w:r>
      <w:r>
        <w:rPr>
          <w:rFonts w:ascii="仿宋" w:hAnsi="仿宋" w:eastAsia="仿宋" w:cs="仿宋"/>
          <w:bCs/>
          <w:kern w:val="2"/>
          <w:position w:val="3"/>
          <w:sz w:val="19"/>
          <w:szCs w:val="28"/>
        </w:rPr>
        <w:instrText xml:space="preserve">3</w:instrText>
      </w:r>
      <w:r>
        <w:rPr>
          <w:rFonts w:ascii="仿宋" w:hAnsi="仿宋" w:eastAsia="仿宋" w:cs="仿宋"/>
          <w:bCs/>
          <w:kern w:val="2"/>
          <w:sz w:val="28"/>
          <w:szCs w:val="28"/>
        </w:rPr>
        <w:instrText xml:space="preserve">)</w:instrText>
      </w:r>
      <w:r>
        <w:rPr>
          <w:rFonts w:hint="default" w:ascii="仿宋" w:hAnsi="仿宋" w:eastAsia="仿宋" w:cs="仿宋"/>
          <w:bCs/>
          <w:kern w:val="2"/>
          <w:sz w:val="28"/>
          <w:szCs w:val="28"/>
        </w:rPr>
        <w:fldChar w:fldCharType="end"/>
      </w:r>
      <w:r>
        <w:rPr>
          <w:rFonts w:hint="default" w:ascii="仿宋" w:hAnsi="仿宋" w:eastAsia="仿宋" w:cs="仿宋"/>
          <w:bCs/>
          <w:kern w:val="2"/>
          <w:sz w:val="28"/>
          <w:szCs w:val="28"/>
        </w:rPr>
        <w:t>经营层（经授权）对中层经营管理、技术开发层</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fldChar w:fldCharType="begin"/>
      </w:r>
      <w:r>
        <w:rPr>
          <w:rFonts w:hint="default" w:ascii="仿宋" w:hAnsi="仿宋" w:eastAsia="仿宋" w:cs="仿宋"/>
          <w:bCs/>
          <w:kern w:val="2"/>
          <w:sz w:val="28"/>
          <w:szCs w:val="28"/>
        </w:rPr>
        <w:instrText xml:space="preserve"> </w:instrText>
      </w:r>
      <w:r>
        <w:rPr>
          <w:rFonts w:ascii="仿宋" w:hAnsi="仿宋" w:eastAsia="仿宋" w:cs="仿宋"/>
          <w:bCs/>
          <w:kern w:val="2"/>
          <w:sz w:val="28"/>
          <w:szCs w:val="28"/>
        </w:rPr>
        <w:instrText xml:space="preserve">eq \o\ac(○,</w:instrText>
      </w:r>
      <w:r>
        <w:rPr>
          <w:rFonts w:ascii="仿宋" w:hAnsi="仿宋" w:eastAsia="仿宋" w:cs="仿宋"/>
          <w:bCs/>
          <w:kern w:val="2"/>
          <w:position w:val="3"/>
          <w:sz w:val="19"/>
          <w:szCs w:val="28"/>
        </w:rPr>
        <w:instrText xml:space="preserve">4</w:instrText>
      </w:r>
      <w:r>
        <w:rPr>
          <w:rFonts w:ascii="仿宋" w:hAnsi="仿宋" w:eastAsia="仿宋" w:cs="仿宋"/>
          <w:bCs/>
          <w:kern w:val="2"/>
          <w:sz w:val="28"/>
          <w:szCs w:val="28"/>
        </w:rPr>
        <w:instrText xml:space="preserve">)</w:instrText>
      </w:r>
      <w:r>
        <w:rPr>
          <w:rFonts w:hint="default" w:ascii="仿宋" w:hAnsi="仿宋" w:eastAsia="仿宋" w:cs="仿宋"/>
          <w:bCs/>
          <w:kern w:val="2"/>
          <w:sz w:val="28"/>
          <w:szCs w:val="28"/>
        </w:rPr>
        <w:fldChar w:fldCharType="end"/>
      </w:r>
      <w:r>
        <w:rPr>
          <w:rFonts w:hint="default" w:ascii="仿宋" w:hAnsi="仿宋" w:eastAsia="仿宋" w:cs="仿宋"/>
          <w:bCs/>
          <w:kern w:val="2"/>
          <w:sz w:val="28"/>
          <w:szCs w:val="28"/>
        </w:rPr>
        <w:t>经营管理（被授权）对操作层</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w:t>
      </w:r>
      <w:r>
        <w:rPr>
          <w:rFonts w:hint="default" w:ascii="仿宋" w:hAnsi="仿宋" w:eastAsia="仿宋" w:cs="仿宋"/>
          <w:bCs/>
          <w:kern w:val="2"/>
          <w:sz w:val="28"/>
          <w:szCs w:val="28"/>
        </w:rPr>
        <w:t>绩效考核指标的选择</w:t>
      </w:r>
      <w:r>
        <w:rPr>
          <w:rFonts w:ascii="仿宋" w:hAnsi="仿宋" w:eastAsia="仿宋" w:cs="仿宋"/>
          <w:bCs/>
          <w:kern w:val="2"/>
          <w:sz w:val="28"/>
          <w:szCs w:val="28"/>
        </w:rPr>
        <w:t>：</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fldChar w:fldCharType="begin"/>
      </w:r>
      <w:r>
        <w:rPr>
          <w:rFonts w:hint="default" w:ascii="仿宋" w:hAnsi="仿宋" w:eastAsia="仿宋" w:cs="仿宋"/>
          <w:bCs/>
          <w:kern w:val="2"/>
          <w:sz w:val="28"/>
          <w:szCs w:val="28"/>
        </w:rPr>
        <w:instrText xml:space="preserve"> </w:instrText>
      </w:r>
      <w:r>
        <w:rPr>
          <w:rFonts w:ascii="仿宋" w:hAnsi="仿宋" w:eastAsia="仿宋" w:cs="仿宋"/>
          <w:bCs/>
          <w:kern w:val="2"/>
          <w:sz w:val="28"/>
          <w:szCs w:val="28"/>
        </w:rPr>
        <w:instrText xml:space="preserve">eq \o\ac(○,</w:instrText>
      </w:r>
      <w:r>
        <w:rPr>
          <w:rFonts w:ascii="仿宋" w:hAnsi="仿宋" w:eastAsia="仿宋" w:cs="仿宋"/>
          <w:bCs/>
          <w:kern w:val="2"/>
          <w:position w:val="3"/>
          <w:sz w:val="19"/>
          <w:szCs w:val="28"/>
        </w:rPr>
        <w:instrText xml:space="preserve">1</w:instrText>
      </w:r>
      <w:r>
        <w:rPr>
          <w:rFonts w:ascii="仿宋" w:hAnsi="仿宋" w:eastAsia="仿宋" w:cs="仿宋"/>
          <w:bCs/>
          <w:kern w:val="2"/>
          <w:sz w:val="28"/>
          <w:szCs w:val="28"/>
        </w:rPr>
        <w:instrText xml:space="preserve">)</w:instrText>
      </w:r>
      <w:r>
        <w:rPr>
          <w:rFonts w:hint="default" w:ascii="仿宋" w:hAnsi="仿宋" w:eastAsia="仿宋" w:cs="仿宋"/>
          <w:bCs/>
          <w:kern w:val="2"/>
          <w:sz w:val="28"/>
          <w:szCs w:val="28"/>
        </w:rPr>
        <w:fldChar w:fldCharType="end"/>
      </w:r>
      <w:r>
        <w:rPr>
          <w:rFonts w:hint="default" w:ascii="仿宋" w:hAnsi="仿宋" w:eastAsia="仿宋" w:cs="仿宋"/>
          <w:bCs/>
          <w:kern w:val="2"/>
          <w:sz w:val="28"/>
          <w:szCs w:val="28"/>
        </w:rPr>
        <w:t>对经营管理层</w:t>
      </w:r>
      <w:r>
        <w:rPr>
          <w:rFonts w:ascii="仿宋" w:hAnsi="仿宋" w:eastAsia="仿宋" w:cs="仿宋"/>
          <w:bCs/>
          <w:kern w:val="2"/>
          <w:sz w:val="28"/>
          <w:szCs w:val="28"/>
        </w:rPr>
        <w:t>绩效考核指标；</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fldChar w:fldCharType="begin"/>
      </w:r>
      <w:r>
        <w:rPr>
          <w:rFonts w:hint="default" w:ascii="仿宋" w:hAnsi="仿宋" w:eastAsia="仿宋" w:cs="仿宋"/>
          <w:bCs/>
          <w:kern w:val="2"/>
          <w:sz w:val="28"/>
          <w:szCs w:val="28"/>
        </w:rPr>
        <w:instrText xml:space="preserve"> </w:instrText>
      </w:r>
      <w:r>
        <w:rPr>
          <w:rFonts w:ascii="仿宋" w:hAnsi="仿宋" w:eastAsia="仿宋" w:cs="仿宋"/>
          <w:bCs/>
          <w:kern w:val="2"/>
          <w:sz w:val="28"/>
          <w:szCs w:val="28"/>
        </w:rPr>
        <w:instrText xml:space="preserve">eq \o\ac(○,</w:instrText>
      </w:r>
      <w:r>
        <w:rPr>
          <w:rFonts w:ascii="仿宋" w:hAnsi="仿宋" w:eastAsia="仿宋" w:cs="仿宋"/>
          <w:bCs/>
          <w:kern w:val="2"/>
          <w:position w:val="3"/>
          <w:sz w:val="19"/>
          <w:szCs w:val="28"/>
        </w:rPr>
        <w:instrText xml:space="preserve">2</w:instrText>
      </w:r>
      <w:r>
        <w:rPr>
          <w:rFonts w:ascii="仿宋" w:hAnsi="仿宋" w:eastAsia="仿宋" w:cs="仿宋"/>
          <w:bCs/>
          <w:kern w:val="2"/>
          <w:sz w:val="28"/>
          <w:szCs w:val="28"/>
        </w:rPr>
        <w:instrText xml:space="preserve">)</w:instrText>
      </w:r>
      <w:r>
        <w:rPr>
          <w:rFonts w:hint="default" w:ascii="仿宋" w:hAnsi="仿宋" w:eastAsia="仿宋" w:cs="仿宋"/>
          <w:bCs/>
          <w:kern w:val="2"/>
          <w:sz w:val="28"/>
          <w:szCs w:val="28"/>
        </w:rPr>
        <w:fldChar w:fldCharType="end"/>
      </w:r>
      <w:r>
        <w:rPr>
          <w:rFonts w:hint="default" w:ascii="仿宋" w:hAnsi="仿宋" w:eastAsia="仿宋" w:cs="仿宋"/>
          <w:bCs/>
          <w:kern w:val="2"/>
          <w:sz w:val="28"/>
          <w:szCs w:val="28"/>
        </w:rPr>
        <w:t>经营管理层对一般经营管理及技术开发人员</w:t>
      </w:r>
      <w:r>
        <w:rPr>
          <w:rFonts w:ascii="仿宋" w:hAnsi="仿宋" w:eastAsia="仿宋" w:cs="仿宋"/>
          <w:bCs/>
          <w:kern w:val="2"/>
          <w:sz w:val="28"/>
          <w:szCs w:val="28"/>
        </w:rPr>
        <w:t>考核指标；</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fldChar w:fldCharType="begin"/>
      </w:r>
      <w:r>
        <w:rPr>
          <w:rFonts w:hint="default" w:ascii="仿宋" w:hAnsi="仿宋" w:eastAsia="仿宋" w:cs="仿宋"/>
          <w:bCs/>
          <w:kern w:val="2"/>
          <w:sz w:val="28"/>
          <w:szCs w:val="28"/>
        </w:rPr>
        <w:instrText xml:space="preserve"> </w:instrText>
      </w:r>
      <w:r>
        <w:rPr>
          <w:rFonts w:ascii="仿宋" w:hAnsi="仿宋" w:eastAsia="仿宋" w:cs="仿宋"/>
          <w:bCs/>
          <w:kern w:val="2"/>
          <w:sz w:val="28"/>
          <w:szCs w:val="28"/>
        </w:rPr>
        <w:instrText xml:space="preserve">eq \o\ac(○,</w:instrText>
      </w:r>
      <w:r>
        <w:rPr>
          <w:rFonts w:ascii="仿宋" w:hAnsi="仿宋" w:eastAsia="仿宋" w:cs="仿宋"/>
          <w:bCs/>
          <w:kern w:val="2"/>
          <w:position w:val="3"/>
          <w:sz w:val="19"/>
          <w:szCs w:val="28"/>
        </w:rPr>
        <w:instrText xml:space="preserve">3</w:instrText>
      </w:r>
      <w:r>
        <w:rPr>
          <w:rFonts w:ascii="仿宋" w:hAnsi="仿宋" w:eastAsia="仿宋" w:cs="仿宋"/>
          <w:bCs/>
          <w:kern w:val="2"/>
          <w:sz w:val="28"/>
          <w:szCs w:val="28"/>
        </w:rPr>
        <w:instrText xml:space="preserve">)</w:instrText>
      </w:r>
      <w:r>
        <w:rPr>
          <w:rFonts w:hint="default" w:ascii="仿宋" w:hAnsi="仿宋" w:eastAsia="仿宋" w:cs="仿宋"/>
          <w:bCs/>
          <w:kern w:val="2"/>
          <w:sz w:val="28"/>
          <w:szCs w:val="28"/>
        </w:rPr>
        <w:fldChar w:fldCharType="end"/>
      </w:r>
      <w:r>
        <w:rPr>
          <w:rFonts w:hint="default" w:ascii="仿宋" w:hAnsi="仿宋" w:eastAsia="仿宋" w:cs="仿宋"/>
          <w:bCs/>
          <w:kern w:val="2"/>
          <w:sz w:val="28"/>
          <w:szCs w:val="28"/>
        </w:rPr>
        <w:t>经营管理对一般操作层</w:t>
      </w:r>
      <w:r>
        <w:rPr>
          <w:rFonts w:ascii="仿宋" w:hAnsi="仿宋" w:eastAsia="仿宋" w:cs="仿宋"/>
          <w:bCs/>
          <w:kern w:val="2"/>
          <w:sz w:val="28"/>
          <w:szCs w:val="28"/>
        </w:rPr>
        <w:t>考核指标。</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7、经营管理（含技术人员）人员劳动量化考核标准的设计</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8、经营管理（技术）岗位工作定性考核办法的设计；</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 国企绩效考核应当注意的几个问题；</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10. 考核实战技巧及方案分析。</w:t>
      </w:r>
    </w:p>
    <w:p>
      <w:pPr>
        <w:autoSpaceDE/>
        <w:autoSpaceDN/>
        <w:adjustRightInd/>
        <w:spacing w:line="400" w:lineRule="exact"/>
        <w:jc w:val="both"/>
        <w:rPr>
          <w:rFonts w:hint="default" w:ascii="仿宋" w:hAnsi="仿宋" w:eastAsia="仿宋" w:cs="仿宋"/>
          <w:b/>
          <w:kern w:val="2"/>
          <w:sz w:val="28"/>
          <w:szCs w:val="28"/>
        </w:rPr>
      </w:pPr>
      <w:r>
        <w:rPr>
          <w:rFonts w:ascii="仿宋" w:hAnsi="仿宋" w:eastAsia="仿宋" w:cs="仿宋"/>
          <w:b/>
          <w:kern w:val="2"/>
          <w:sz w:val="28"/>
          <w:szCs w:val="28"/>
        </w:rPr>
        <w:t>二、参加人员</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地方政府相关机构，国有企业高管、分管人力资源副总、人力资源总监、以及人力资源部(人事部)、综合部、劳资部、绩效/薪酬管理人员、劳动关系主管、高校、科研院所等从事有关人力资源管理研究等相关机构的负责人。</w:t>
      </w:r>
    </w:p>
    <w:p>
      <w:pPr>
        <w:autoSpaceDE/>
        <w:autoSpaceDN/>
        <w:adjustRightInd/>
        <w:spacing w:line="400" w:lineRule="exact"/>
        <w:jc w:val="both"/>
        <w:rPr>
          <w:rFonts w:hint="default" w:ascii="仿宋" w:hAnsi="仿宋" w:eastAsia="仿宋" w:cs="仿宋"/>
          <w:bCs/>
          <w:kern w:val="2"/>
          <w:sz w:val="28"/>
          <w:szCs w:val="28"/>
        </w:rPr>
      </w:pPr>
      <w:r>
        <w:rPr>
          <w:rFonts w:ascii="仿宋" w:hAnsi="仿宋" w:eastAsia="仿宋" w:cs="仿宋"/>
          <w:b/>
          <w:kern w:val="2"/>
          <w:sz w:val="28"/>
          <w:szCs w:val="28"/>
        </w:rPr>
        <w:t xml:space="preserve">三、主讲专家  </w:t>
      </w:r>
      <w:r>
        <w:rPr>
          <w:rFonts w:ascii="仿宋" w:hAnsi="仿宋" w:eastAsia="仿宋" w:cs="仿宋"/>
          <w:bCs/>
          <w:kern w:val="2"/>
          <w:sz w:val="28"/>
          <w:szCs w:val="28"/>
        </w:rPr>
        <w:t xml:space="preserve">              </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拟邀请国务院国资委有关部门、中国人事科学研究院、中国人民大学、从事人力资源管理研究等单位的领导专家授课, 并组织交流与研讨。</w:t>
      </w:r>
    </w:p>
    <w:p>
      <w:pPr>
        <w:numPr>
          <w:ilvl w:val="0"/>
          <w:numId w:val="1"/>
        </w:numPr>
        <w:autoSpaceDE/>
        <w:autoSpaceDN/>
        <w:adjustRightInd/>
        <w:spacing w:line="400" w:lineRule="exact"/>
        <w:jc w:val="both"/>
        <w:rPr>
          <w:rFonts w:hint="default" w:ascii="仿宋" w:hAnsi="仿宋" w:eastAsia="仿宋" w:cs="仿宋"/>
          <w:b/>
          <w:kern w:val="2"/>
          <w:sz w:val="28"/>
          <w:szCs w:val="28"/>
        </w:rPr>
      </w:pPr>
      <w:r>
        <w:rPr>
          <w:rFonts w:ascii="仿宋" w:hAnsi="仿宋" w:eastAsia="仿宋" w:cs="仿宋"/>
          <w:b/>
          <w:kern w:val="2"/>
          <w:sz w:val="28"/>
          <w:szCs w:val="28"/>
        </w:rPr>
        <w:t>培训时间及地点</w:t>
      </w:r>
    </w:p>
    <w:p>
      <w:pPr>
        <w:spacing w:line="320" w:lineRule="exact"/>
        <w:ind w:firstLine="560" w:firstLineChars="200"/>
        <w:rPr>
          <w:rFonts w:hint="default"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 xml:space="preserve">2020年06月26日—6月30日  成都市（26日全天报到） </w:t>
      </w:r>
    </w:p>
    <w:p>
      <w:pPr>
        <w:spacing w:line="320" w:lineRule="exact"/>
        <w:ind w:firstLine="560" w:firstLineChars="200"/>
        <w:rPr>
          <w:rFonts w:hint="default"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 xml:space="preserve">2020年07月24日—7月28日  贵阳市（24日全天报到） </w:t>
      </w:r>
    </w:p>
    <w:p>
      <w:pPr>
        <w:spacing w:line="320" w:lineRule="exact"/>
        <w:ind w:firstLine="560" w:firstLineChars="200"/>
        <w:rPr>
          <w:rFonts w:hint="default"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2020年08月27日—8月31日  昆明市（27日全天报到）</w:t>
      </w:r>
    </w:p>
    <w:p>
      <w:pPr>
        <w:spacing w:line="320" w:lineRule="exact"/>
        <w:ind w:firstLine="560" w:firstLineChars="200"/>
        <w:rPr>
          <w:rFonts w:hint="default"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2020年09月17日—9月21日  厦门市（17日全天报到）</w:t>
      </w:r>
    </w:p>
    <w:p>
      <w:pPr>
        <w:spacing w:line="320" w:lineRule="exact"/>
        <w:ind w:firstLine="560" w:firstLineChars="200"/>
        <w:rPr>
          <w:rFonts w:hint="default"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2020年10月22日—10月26日 西安市（22日全天报到）</w:t>
      </w:r>
    </w:p>
    <w:p>
      <w:pPr>
        <w:autoSpaceDE/>
        <w:autoSpaceDN/>
        <w:adjustRightInd/>
        <w:spacing w:line="400" w:lineRule="exact"/>
        <w:rPr>
          <w:rFonts w:hint="default" w:ascii="仿宋" w:hAnsi="仿宋" w:eastAsia="仿宋" w:cs="仿宋"/>
          <w:b/>
          <w:bCs/>
          <w:kern w:val="2"/>
          <w:sz w:val="28"/>
          <w:szCs w:val="28"/>
        </w:rPr>
      </w:pPr>
      <w:r>
        <w:rPr>
          <w:rFonts w:ascii="仿宋" w:hAnsi="仿宋" w:eastAsia="仿宋" w:cs="仿宋"/>
          <w:b/>
          <w:bCs/>
          <w:kern w:val="2"/>
          <w:sz w:val="28"/>
          <w:szCs w:val="28"/>
        </w:rPr>
        <w:t>五、收费标准：</w:t>
      </w:r>
    </w:p>
    <w:p>
      <w:pPr>
        <w:autoSpaceDE/>
        <w:autoSpaceDN/>
        <w:adjustRightInd/>
        <w:spacing w:line="400" w:lineRule="exact"/>
        <w:ind w:firstLine="422" w:firstLineChars="150"/>
        <w:jc w:val="both"/>
        <w:textAlignment w:val="baseline"/>
        <w:rPr>
          <w:rFonts w:hint="default" w:ascii="仿宋_GB2312" w:eastAsia="仿宋_GB2312" w:cs="宋体"/>
          <w:b/>
          <w:color w:val="000000"/>
          <w:sz w:val="28"/>
          <w:szCs w:val="28"/>
        </w:rPr>
      </w:pPr>
      <w:r>
        <w:rPr>
          <w:rFonts w:ascii="仿宋_GB2312" w:eastAsia="仿宋_GB2312" w:cs="宋体"/>
          <w:b/>
          <w:color w:val="000000"/>
          <w:sz w:val="28"/>
          <w:szCs w:val="28"/>
        </w:rPr>
        <w:t>A</w:t>
      </w:r>
      <w:r>
        <w:rPr>
          <w:rFonts w:ascii="仿宋_GB2312" w:eastAsia="仿宋_GB2312" w:cs="宋体"/>
          <w:bCs/>
          <w:color w:val="000000"/>
          <w:sz w:val="28"/>
          <w:szCs w:val="28"/>
        </w:rPr>
        <w:t>:2980元/人（含培训费、资料费、电子课件、场地、会议期间午餐、专家等）。住宿统一安排，费用自理。</w:t>
      </w:r>
    </w:p>
    <w:p>
      <w:pPr>
        <w:autoSpaceDE/>
        <w:autoSpaceDN/>
        <w:adjustRightInd/>
        <w:spacing w:line="400" w:lineRule="exact"/>
        <w:ind w:firstLine="422" w:firstLineChars="150"/>
        <w:jc w:val="both"/>
        <w:textAlignment w:val="baseline"/>
        <w:rPr>
          <w:rFonts w:hint="default" w:ascii="仿宋_GB2312" w:eastAsia="仿宋_GB2312" w:cs="宋体"/>
          <w:color w:val="000000"/>
          <w:sz w:val="28"/>
          <w:szCs w:val="28"/>
        </w:rPr>
      </w:pPr>
      <w:r>
        <w:rPr>
          <w:rFonts w:ascii="仿宋_GB2312" w:eastAsia="仿宋_GB2312" w:cs="宋体"/>
          <w:b/>
          <w:bCs/>
          <w:color w:val="000000"/>
          <w:sz w:val="28"/>
          <w:szCs w:val="28"/>
        </w:rPr>
        <w:t>B</w:t>
      </w:r>
      <w:r>
        <w:rPr>
          <w:rFonts w:ascii="仿宋_GB2312" w:eastAsia="仿宋_GB2312" w:cs="宋体"/>
          <w:color w:val="000000"/>
          <w:sz w:val="28"/>
          <w:szCs w:val="28"/>
        </w:rPr>
        <w:t>：3980元/人（含培训、证书、午餐、资料、电子课件、场地、专家、交流等费用（参加完规定线上、线下培训学时，经考核合格后，颁发“《高级人力资源经理》”。该证书可在国培网网站人才数据库查询。</w:t>
      </w:r>
    </w:p>
    <w:p>
      <w:pPr>
        <w:autoSpaceDE/>
        <w:autoSpaceDN/>
        <w:adjustRightInd/>
        <w:spacing w:line="400" w:lineRule="exact"/>
        <w:ind w:firstLine="422" w:firstLineChars="150"/>
        <w:jc w:val="both"/>
        <w:textAlignment w:val="baseline"/>
        <w:rPr>
          <w:rFonts w:hint="default" w:ascii="仿宋_GB2312" w:eastAsia="仿宋_GB2312" w:cs="宋体"/>
          <w:color w:val="000000"/>
          <w:sz w:val="28"/>
          <w:szCs w:val="28"/>
        </w:rPr>
      </w:pPr>
      <w:r>
        <w:rPr>
          <w:rFonts w:ascii="仿宋_GB2312" w:eastAsia="仿宋_GB2312" w:cs="宋体"/>
          <w:b/>
          <w:bCs/>
          <w:color w:val="000000"/>
          <w:sz w:val="28"/>
          <w:szCs w:val="28"/>
        </w:rPr>
        <w:t>C</w:t>
      </w:r>
      <w:r>
        <w:rPr>
          <w:rFonts w:ascii="仿宋_GB2312" w:eastAsia="仿宋_GB2312" w:cs="宋体"/>
          <w:color w:val="000000"/>
          <w:sz w:val="28"/>
          <w:szCs w:val="28"/>
        </w:rPr>
        <w:t>.5980元/人（含培训、证书、资料、电子课件、场地、专家、食宿、交流等费用（参加完规定线上、线下培训学时，经考核合格后，颁发“《高级人力资源经理》”。</w:t>
      </w:r>
    </w:p>
    <w:p>
      <w:pPr>
        <w:spacing w:line="400" w:lineRule="exact"/>
        <w:ind w:firstLine="420" w:firstLineChars="150"/>
        <w:textAlignment w:val="baseline"/>
        <w:rPr>
          <w:rFonts w:hint="default" w:ascii="仿宋_GB2312" w:eastAsia="仿宋_GB2312" w:cs="宋体"/>
          <w:color w:val="000000"/>
          <w:szCs w:val="24"/>
        </w:rPr>
      </w:pPr>
      <w:r>
        <w:rPr>
          <w:rFonts w:ascii="仿宋_GB2312" w:eastAsia="仿宋_GB2312" w:cs="宋体"/>
          <w:color w:val="000000"/>
          <w:sz w:val="28"/>
          <w:szCs w:val="28"/>
        </w:rPr>
        <w:t>备注：</w:t>
      </w:r>
      <w:r>
        <w:rPr>
          <w:rFonts w:ascii="仿宋" w:hAnsi="仿宋" w:eastAsia="仿宋" w:cs="宋体"/>
          <w:snapToGrid w:val="0"/>
          <w:color w:val="000000"/>
          <w:kern w:val="20"/>
          <w:position w:val="-4"/>
          <w:sz w:val="28"/>
          <w:szCs w:val="28"/>
        </w:rPr>
        <w:t>（不参加线下培训，单独申报证书2800元/人，可以听线上课程），</w:t>
      </w:r>
      <w:r>
        <w:rPr>
          <w:rFonts w:ascii="仿宋_GB2312" w:eastAsia="仿宋_GB2312" w:cs="宋体"/>
          <w:color w:val="000000"/>
          <w:sz w:val="28"/>
          <w:szCs w:val="28"/>
        </w:rPr>
        <w:t>证书报名材料：报名表一份、2寸照电子照片（白底免冠彩照）、身份证复印件一份、学历证书复印件一份。该证书可在国培网网站人才数据库查询。</w:t>
      </w:r>
    </w:p>
    <w:p>
      <w:pPr>
        <w:autoSpaceDE/>
        <w:autoSpaceDN/>
        <w:adjustRightInd/>
        <w:spacing w:line="400" w:lineRule="exact"/>
        <w:rPr>
          <w:rFonts w:hint="default" w:ascii="仿宋" w:hAnsi="仿宋" w:eastAsia="仿宋" w:cs="仿宋"/>
          <w:b/>
          <w:bCs/>
          <w:kern w:val="2"/>
          <w:sz w:val="28"/>
          <w:szCs w:val="28"/>
        </w:rPr>
      </w:pPr>
      <w:r>
        <w:rPr>
          <w:rFonts w:ascii="仿宋" w:hAnsi="仿宋" w:eastAsia="仿宋" w:cs="仿宋"/>
          <w:b/>
          <w:bCs/>
          <w:kern w:val="2"/>
          <w:sz w:val="28"/>
          <w:szCs w:val="28"/>
        </w:rPr>
        <w:t>六、报名方式</w:t>
      </w:r>
    </w:p>
    <w:p>
      <w:pPr>
        <w:autoSpaceDE/>
        <w:autoSpaceDN/>
        <w:adjustRightInd/>
        <w:spacing w:line="400" w:lineRule="exact"/>
        <w:ind w:firstLine="560" w:firstLineChars="200"/>
        <w:rPr>
          <w:rFonts w:hint="default" w:ascii="仿宋" w:hAnsi="仿宋" w:eastAsia="仿宋" w:cs="仿宋"/>
          <w:bCs/>
          <w:kern w:val="2"/>
          <w:sz w:val="28"/>
          <w:szCs w:val="28"/>
        </w:rPr>
      </w:pPr>
      <w:r>
        <w:rPr>
          <w:rFonts w:ascii="仿宋" w:hAnsi="仿宋" w:eastAsia="仿宋" w:cs="仿宋"/>
          <w:bCs/>
          <w:kern w:val="2"/>
          <w:sz w:val="28"/>
          <w:szCs w:val="28"/>
        </w:rPr>
        <w:t>请参加人员按要求认真填写报名回执表，传真至会务组，我们将按报名先后传发报到通知。</w:t>
      </w:r>
    </w:p>
    <w:p>
      <w:pPr>
        <w:spacing w:line="320" w:lineRule="exact"/>
        <w:rPr>
          <w:rFonts w:hint="eastAsia" w:ascii="仿宋_GB2312" w:eastAsia="仿宋_GB2312" w:cs="宋体"/>
          <w:color w:val="000000"/>
          <w:sz w:val="28"/>
          <w:szCs w:val="28"/>
        </w:rPr>
      </w:pPr>
      <w:r>
        <w:rPr>
          <w:rFonts w:hint="eastAsia" w:ascii="仿宋_GB2312" w:eastAsia="仿宋_GB2312" w:cs="宋体"/>
          <w:color w:val="000000"/>
          <w:sz w:val="28"/>
          <w:szCs w:val="28"/>
        </w:rPr>
        <w:t>报名负责人：聂红军 主任 18211071700（微信）     邮  箱：zqgphwz@126.com</w:t>
      </w:r>
    </w:p>
    <w:p>
      <w:pPr>
        <w:spacing w:line="320" w:lineRule="exact"/>
        <w:rPr>
          <w:rFonts w:hint="eastAsia" w:ascii="仿宋_GB2312" w:eastAsia="仿宋_GB2312" w:cs="宋体"/>
          <w:color w:val="000000"/>
          <w:sz w:val="28"/>
          <w:szCs w:val="28"/>
        </w:rPr>
      </w:pPr>
      <w:r>
        <w:rPr>
          <w:rFonts w:hint="eastAsia" w:ascii="仿宋_GB2312" w:eastAsia="仿宋_GB2312" w:cs="宋体"/>
          <w:color w:val="000000"/>
          <w:sz w:val="28"/>
          <w:szCs w:val="28"/>
        </w:rPr>
        <w:t xml:space="preserve">电话（传真）：010-87697580                     qq咨询：3177524020   </w:t>
      </w:r>
    </w:p>
    <w:p>
      <w:pPr>
        <w:spacing w:line="320" w:lineRule="exact"/>
        <w:rPr>
          <w:rFonts w:hint="eastAsia" w:ascii="仿宋_GB2312" w:eastAsia="仿宋_GB2312" w:cs="宋体"/>
          <w:color w:val="000000"/>
          <w:sz w:val="28"/>
          <w:szCs w:val="28"/>
        </w:rPr>
      </w:pPr>
      <w:r>
        <w:rPr>
          <w:rFonts w:hint="eastAsia" w:ascii="仿宋_GB2312" w:eastAsia="仿宋_GB2312" w:cs="宋体"/>
          <w:color w:val="000000"/>
          <w:sz w:val="28"/>
          <w:szCs w:val="28"/>
        </w:rPr>
        <w:t xml:space="preserve">网址查询：http://www.zqgpchina.cn/  </w:t>
      </w:r>
    </w:p>
    <w:p>
      <w:pPr>
        <w:spacing w:line="320" w:lineRule="exact"/>
        <w:rPr>
          <w:rFonts w:hint="default" w:cs="仿宋" w:asciiTheme="majorEastAsia" w:hAnsiTheme="majorEastAsia" w:eastAsiaTheme="majorEastAsia"/>
          <w:b/>
          <w:bCs/>
          <w:sz w:val="28"/>
          <w:szCs w:val="28"/>
        </w:rPr>
      </w:pPr>
      <w:r>
        <w:rPr>
          <w:rFonts w:cs="仿宋" w:asciiTheme="majorEastAsia" w:hAnsiTheme="majorEastAsia" w:eastAsiaTheme="majorEastAsia"/>
          <w:b/>
          <w:bCs/>
          <w:sz w:val="28"/>
          <w:szCs w:val="28"/>
        </w:rPr>
        <w:t>温馨提示：根据国家疫情防控的要求，如遇特殊情况课程会有适当调整。</w:t>
      </w:r>
    </w:p>
    <w:p>
      <w:pPr>
        <w:autoSpaceDE/>
        <w:autoSpaceDN/>
        <w:adjustRightInd/>
        <w:spacing w:line="320" w:lineRule="exact"/>
        <w:jc w:val="center"/>
        <w:rPr>
          <w:rFonts w:hint="default" w:ascii="仿宋_GB2312" w:hAnsi="Times New Roman" w:eastAsia="仿宋_GB2312"/>
          <w:b/>
          <w:kern w:val="2"/>
          <w:sz w:val="28"/>
          <w:szCs w:val="28"/>
        </w:rPr>
      </w:pPr>
      <w:r>
        <w:rPr>
          <w:rFonts w:ascii="仿宋" w:hAnsi="仿宋" w:eastAsia="仿宋" w:cs="仿宋"/>
          <w:b/>
          <w:bCs/>
          <w:kern w:val="2"/>
          <w:sz w:val="28"/>
          <w:szCs w:val="28"/>
        </w:rPr>
        <w:t>附件2：</w:t>
      </w:r>
      <w:r>
        <w:rPr>
          <w:rFonts w:ascii="仿宋_GB2312" w:hAnsi="Times New Roman" w:eastAsia="仿宋_GB2312"/>
          <w:b/>
          <w:kern w:val="2"/>
          <w:sz w:val="28"/>
          <w:szCs w:val="28"/>
        </w:rPr>
        <w:t>新形势下国有企业人力资源管理与薪酬绩效改革要点及考核方案设计实务操作专题培训班报名回执表</w:t>
      </w:r>
    </w:p>
    <w:tbl>
      <w:tblPr>
        <w:tblStyle w:val="7"/>
        <w:tblpPr w:leftFromText="180" w:rightFromText="180" w:vertAnchor="page" w:horzAnchor="margin" w:tblpY="230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998"/>
        <w:gridCol w:w="284"/>
        <w:gridCol w:w="1984"/>
        <w:gridCol w:w="157"/>
        <w:gridCol w:w="269"/>
        <w:gridCol w:w="418"/>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单位名称</w:t>
            </w:r>
          </w:p>
        </w:tc>
        <w:tc>
          <w:tcPr>
            <w:tcW w:w="4959" w:type="dxa"/>
            <w:gridSpan w:val="7"/>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p>
        </w:tc>
        <w:tc>
          <w:tcPr>
            <w:tcW w:w="850"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邮编</w:t>
            </w:r>
          </w:p>
        </w:tc>
        <w:tc>
          <w:tcPr>
            <w:tcW w:w="2275" w:type="dxa"/>
            <w:gridSpan w:val="2"/>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单位地址</w:t>
            </w:r>
          </w:p>
        </w:tc>
        <w:tc>
          <w:tcPr>
            <w:tcW w:w="8084" w:type="dxa"/>
            <w:gridSpan w:val="11"/>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联系人</w:t>
            </w:r>
          </w:p>
        </w:tc>
        <w:tc>
          <w:tcPr>
            <w:tcW w:w="2131" w:type="dxa"/>
            <w:gridSpan w:val="3"/>
            <w:vAlign w:val="center"/>
          </w:tcPr>
          <w:p>
            <w:pPr>
              <w:autoSpaceDE/>
              <w:autoSpaceDN/>
              <w:adjustRightInd/>
              <w:spacing w:line="360" w:lineRule="exact"/>
              <w:ind w:right="-168" w:rightChars="-70" w:firstLine="960"/>
              <w:jc w:val="both"/>
              <w:rPr>
                <w:rFonts w:hint="default" w:ascii="仿宋_GB2312" w:hAnsi="Times New Roman" w:eastAsia="仿宋_GB2312"/>
                <w:kern w:val="2"/>
                <w:szCs w:val="22"/>
              </w:rPr>
            </w:pPr>
          </w:p>
        </w:tc>
        <w:tc>
          <w:tcPr>
            <w:tcW w:w="2410"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职位/岗位</w:t>
            </w:r>
          </w:p>
        </w:tc>
        <w:tc>
          <w:tcPr>
            <w:tcW w:w="3543" w:type="dxa"/>
            <w:gridSpan w:val="5"/>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办公电话</w:t>
            </w:r>
          </w:p>
        </w:tc>
        <w:tc>
          <w:tcPr>
            <w:tcW w:w="2131" w:type="dxa"/>
            <w:gridSpan w:val="3"/>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410"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    机</w:t>
            </w:r>
          </w:p>
        </w:tc>
        <w:tc>
          <w:tcPr>
            <w:tcW w:w="3543" w:type="dxa"/>
            <w:gridSpan w:val="5"/>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传   真</w:t>
            </w:r>
          </w:p>
        </w:tc>
        <w:tc>
          <w:tcPr>
            <w:tcW w:w="2131" w:type="dxa"/>
            <w:gridSpan w:val="3"/>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410"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电子信箱</w:t>
            </w:r>
          </w:p>
        </w:tc>
        <w:tc>
          <w:tcPr>
            <w:tcW w:w="3543" w:type="dxa"/>
            <w:gridSpan w:val="5"/>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参加培训人员</w:t>
            </w:r>
          </w:p>
        </w:tc>
        <w:tc>
          <w:tcPr>
            <w:tcW w:w="849"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性别</w:t>
            </w:r>
          </w:p>
        </w:tc>
        <w:tc>
          <w:tcPr>
            <w:tcW w:w="1282" w:type="dxa"/>
            <w:gridSpan w:val="2"/>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职务</w:t>
            </w:r>
          </w:p>
        </w:tc>
        <w:tc>
          <w:tcPr>
            <w:tcW w:w="198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电话</w:t>
            </w:r>
          </w:p>
        </w:tc>
        <w:tc>
          <w:tcPr>
            <w:tcW w:w="1985" w:type="dxa"/>
            <w:gridSpan w:val="6"/>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手机</w:t>
            </w:r>
          </w:p>
        </w:tc>
        <w:tc>
          <w:tcPr>
            <w:tcW w:w="198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是否住宿</w:t>
            </w:r>
          </w:p>
        </w:tc>
        <w:tc>
          <w:tcPr>
            <w:tcW w:w="2131" w:type="dxa"/>
            <w:gridSpan w:val="3"/>
            <w:vAlign w:val="center"/>
          </w:tcPr>
          <w:p>
            <w:pPr>
              <w:widowControl/>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□是     □否</w:t>
            </w:r>
          </w:p>
        </w:tc>
        <w:tc>
          <w:tcPr>
            <w:tcW w:w="1984" w:type="dxa"/>
            <w:vAlign w:val="center"/>
          </w:tcPr>
          <w:p>
            <w:pPr>
              <w:widowControl/>
              <w:autoSpaceDE/>
              <w:autoSpaceDN/>
              <w:adjustRightInd/>
              <w:spacing w:line="360" w:lineRule="exact"/>
              <w:ind w:right="-168" w:rightChars="-70" w:firstLine="240" w:firstLineChars="100"/>
              <w:jc w:val="both"/>
              <w:rPr>
                <w:rFonts w:hint="default" w:ascii="仿宋_GB2312" w:hAnsi="Times New Roman" w:eastAsia="仿宋_GB2312"/>
                <w:kern w:val="2"/>
                <w:szCs w:val="22"/>
              </w:rPr>
            </w:pPr>
            <w:r>
              <w:rPr>
                <w:rFonts w:ascii="仿宋_GB2312" w:hAnsi="Times New Roman" w:eastAsia="仿宋_GB2312"/>
                <w:kern w:val="2"/>
                <w:szCs w:val="22"/>
              </w:rPr>
              <w:t>住宿标准</w:t>
            </w:r>
          </w:p>
        </w:tc>
        <w:tc>
          <w:tcPr>
            <w:tcW w:w="3969" w:type="dxa"/>
            <w:gridSpan w:val="7"/>
          </w:tcPr>
          <w:p>
            <w:pPr>
              <w:widowControl/>
              <w:autoSpaceDE/>
              <w:autoSpaceDN/>
              <w:adjustRightInd/>
              <w:spacing w:line="360" w:lineRule="exact"/>
              <w:ind w:right="-168" w:rightChars="-70"/>
              <w:jc w:val="both"/>
              <w:rPr>
                <w:rFonts w:hint="default" w:ascii="Times New Roman" w:hAnsi="Times New Roman"/>
                <w:kern w:val="2"/>
                <w:sz w:val="21"/>
                <w:szCs w:val="22"/>
              </w:rPr>
            </w:pPr>
            <w:r>
              <w:rPr>
                <w:rFonts w:ascii="仿宋_GB2312" w:hAnsi="Times New Roman" w:eastAsia="仿宋_GB2312"/>
                <w:kern w:val="2"/>
                <w:szCs w:val="22"/>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10" w:type="dxa"/>
            <w:gridSpan w:val="3"/>
            <w:vAlign w:val="center"/>
          </w:tcPr>
          <w:p>
            <w:pPr>
              <w:autoSpaceDE/>
              <w:autoSpaceDN/>
              <w:adjustRightInd/>
              <w:spacing w:line="360" w:lineRule="exact"/>
              <w:ind w:right="-168" w:rightChars="-70" w:firstLine="1084" w:firstLineChars="450"/>
              <w:rPr>
                <w:rFonts w:hint="default" w:ascii="仿宋_GB2312" w:hAnsi="Times New Roman" w:eastAsia="仿宋_GB2312"/>
                <w:b/>
                <w:color w:val="000000"/>
                <w:kern w:val="2"/>
                <w:szCs w:val="22"/>
              </w:rPr>
            </w:pPr>
            <w:r>
              <w:rPr>
                <w:rFonts w:ascii="仿宋_GB2312" w:hAnsi="Times New Roman" w:eastAsia="仿宋_GB2312"/>
                <w:b/>
                <w:color w:val="000000"/>
                <w:kern w:val="2"/>
                <w:szCs w:val="22"/>
              </w:rPr>
              <w:t>证书申报</w:t>
            </w:r>
          </w:p>
        </w:tc>
        <w:tc>
          <w:tcPr>
            <w:tcW w:w="6237" w:type="dxa"/>
            <w:gridSpan w:val="9"/>
            <w:vAlign w:val="center"/>
          </w:tcPr>
          <w:p>
            <w:pPr>
              <w:autoSpaceDE/>
              <w:autoSpaceDN/>
              <w:adjustRightInd/>
              <w:spacing w:line="360" w:lineRule="exact"/>
              <w:ind w:right="-168" w:rightChars="-70" w:firstLine="960" w:firstLineChars="400"/>
              <w:rPr>
                <w:rFonts w:hint="default" w:ascii="仿宋_GB2312" w:hAnsi="Times New Roman" w:eastAsia="仿宋_GB2312"/>
                <w:b/>
                <w:color w:val="000000"/>
                <w:kern w:val="2"/>
                <w:szCs w:val="22"/>
              </w:rPr>
            </w:pPr>
            <w:r>
              <w:rPr>
                <w:rFonts w:ascii="仿宋_GB2312" w:hAnsi="Times New Roman" w:eastAsia="仿宋_GB2312"/>
                <w:color w:val="000000"/>
                <w:kern w:val="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付款方式</w:t>
            </w:r>
          </w:p>
        </w:tc>
        <w:tc>
          <w:tcPr>
            <w:tcW w:w="4272" w:type="dxa"/>
            <w:gridSpan w:val="5"/>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 xml:space="preserve">□通过银行     □通过网银 </w:t>
            </w:r>
          </w:p>
        </w:tc>
        <w:tc>
          <w:tcPr>
            <w:tcW w:w="996" w:type="dxa"/>
            <w:gridSpan w:val="3"/>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总金额</w:t>
            </w:r>
          </w:p>
        </w:tc>
        <w:tc>
          <w:tcPr>
            <w:tcW w:w="2816" w:type="dxa"/>
            <w:gridSpan w:val="3"/>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tcPr>
          <w:p>
            <w:pPr>
              <w:autoSpaceDE/>
              <w:autoSpaceDN/>
              <w:adjustRightInd/>
              <w:spacing w:line="360" w:lineRule="exact"/>
              <w:ind w:right="-168" w:rightChars="-70"/>
              <w:jc w:val="both"/>
              <w:rPr>
                <w:rFonts w:hint="default" w:ascii="仿宋_GB2312" w:hAnsi="Times New Roman" w:eastAsia="仿宋_GB2312"/>
                <w:b/>
                <w:bCs/>
                <w:kern w:val="2"/>
                <w:szCs w:val="22"/>
              </w:rPr>
            </w:pPr>
            <w:r>
              <w:rPr>
                <w:rFonts w:ascii="仿宋_GB2312" w:hAnsi="Times New Roman" w:eastAsia="仿宋_GB2312"/>
                <w:b/>
                <w:bCs/>
                <w:kern w:val="2"/>
                <w:szCs w:val="22"/>
              </w:rPr>
              <w:t>需要与专家</w:t>
            </w:r>
          </w:p>
          <w:p>
            <w:pPr>
              <w:autoSpaceDE/>
              <w:autoSpaceDN/>
              <w:adjustRightInd/>
              <w:spacing w:line="360" w:lineRule="exact"/>
              <w:ind w:right="-168" w:rightChars="-70"/>
              <w:jc w:val="both"/>
              <w:rPr>
                <w:rFonts w:hint="default" w:ascii="仿宋_GB2312" w:hAnsi="Times New Roman" w:eastAsia="仿宋_GB2312"/>
                <w:b/>
                <w:bCs/>
                <w:kern w:val="2"/>
                <w:szCs w:val="22"/>
              </w:rPr>
            </w:pPr>
            <w:r>
              <w:rPr>
                <w:rFonts w:ascii="仿宋_GB2312" w:hAnsi="Times New Roman" w:eastAsia="仿宋_GB2312"/>
                <w:b/>
                <w:bCs/>
                <w:kern w:val="2"/>
                <w:szCs w:val="22"/>
              </w:rPr>
              <w:t>沟通的问题</w:t>
            </w:r>
          </w:p>
        </w:tc>
        <w:tc>
          <w:tcPr>
            <w:tcW w:w="8084" w:type="dxa"/>
            <w:gridSpan w:val="11"/>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b/>
                <w:bCs/>
                <w:kern w:val="2"/>
                <w:szCs w:val="22"/>
              </w:rPr>
              <w:t>指定收款帐户</w:t>
            </w:r>
          </w:p>
        </w:tc>
        <w:tc>
          <w:tcPr>
            <w:tcW w:w="8084" w:type="dxa"/>
            <w:gridSpan w:val="11"/>
            <w:vAlign w:val="center"/>
          </w:tcPr>
          <w:p>
            <w:pPr>
              <w:spacing w:line="360" w:lineRule="exact"/>
              <w:rPr>
                <w:rFonts w:hint="default" w:ascii="仿宋_GB2312" w:eastAsia="仿宋_GB2312"/>
                <w:b/>
                <w:bCs/>
              </w:rPr>
            </w:pPr>
            <w:r>
              <w:rPr>
                <w:rFonts w:ascii="仿宋_GB2312" w:eastAsia="仿宋_GB2312"/>
                <w:b/>
                <w:bCs/>
              </w:rPr>
              <w:t>单位名称： 北京中科领航教育咨询有限公司</w:t>
            </w:r>
          </w:p>
          <w:p>
            <w:pPr>
              <w:spacing w:line="360" w:lineRule="exact"/>
              <w:rPr>
                <w:rFonts w:hint="default" w:ascii="仿宋_GB2312" w:eastAsia="仿宋_GB2312"/>
                <w:b/>
                <w:bCs/>
              </w:rPr>
            </w:pPr>
            <w:r>
              <w:rPr>
                <w:rFonts w:ascii="仿宋_GB2312" w:eastAsia="仿宋_GB2312"/>
                <w:b/>
                <w:bCs/>
              </w:rPr>
              <w:t xml:space="preserve">开 户 行： 中国工商银行股份有限公司北京永定路支行 </w:t>
            </w:r>
          </w:p>
          <w:p>
            <w:pPr>
              <w:spacing w:line="360" w:lineRule="exact"/>
              <w:rPr>
                <w:rFonts w:hint="default" w:ascii="仿宋_GB2312" w:eastAsia="仿宋_GB2312"/>
                <w:b/>
                <w:bCs/>
              </w:rPr>
            </w:pPr>
            <w:r>
              <w:rPr>
                <w:rFonts w:ascii="仿宋_GB2312" w:eastAsia="仿宋_GB2312"/>
                <w:b/>
                <w:bCs/>
              </w:rPr>
              <w:t>账    号： 0200247009200076612</w:t>
            </w:r>
          </w:p>
          <w:p>
            <w:pPr>
              <w:spacing w:line="360" w:lineRule="exact"/>
              <w:rPr>
                <w:rFonts w:hint="default" w:cs="宋体"/>
                <w:color w:val="000000"/>
                <w:sz w:val="22"/>
              </w:rPr>
            </w:pPr>
            <w:r>
              <w:rPr>
                <w:rFonts w:ascii="仿宋_GB2312" w:eastAsia="仿宋_GB2312"/>
                <w:b/>
                <w:bCs/>
              </w:rPr>
              <w:t>行    号： 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kern w:val="2"/>
                <w:szCs w:val="22"/>
              </w:rPr>
              <w:t>备注</w:t>
            </w:r>
          </w:p>
        </w:tc>
        <w:tc>
          <w:tcPr>
            <w:tcW w:w="4541"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ab/>
            </w:r>
            <w:r>
              <w:rPr>
                <w:rFonts w:ascii="仿宋_GB2312" w:hAnsi="Times New Roman" w:eastAsia="仿宋_GB2312"/>
                <w:kern w:val="2"/>
                <w:szCs w:val="22"/>
              </w:rPr>
              <w:t>请将参会回执回传或E-mail至会务组，在报名3日内将培训费通过银行或邮局等方式付款，会务组确认到款后即发《参会凭证》，其中将详细注明报到时间、地点、等具体安排事项。各参会代表凭证入场。</w:t>
            </w:r>
          </w:p>
        </w:tc>
        <w:tc>
          <w:tcPr>
            <w:tcW w:w="3543" w:type="dxa"/>
            <w:gridSpan w:val="5"/>
            <w:vAlign w:val="center"/>
          </w:tcPr>
          <w:p>
            <w:pPr>
              <w:autoSpaceDE/>
              <w:autoSpaceDN/>
              <w:adjustRightInd/>
              <w:spacing w:line="360" w:lineRule="exact"/>
              <w:ind w:right="-168" w:rightChars="-70" w:firstLine="720" w:firstLineChars="300"/>
              <w:jc w:val="both"/>
              <w:rPr>
                <w:rFonts w:hint="default" w:ascii="仿宋_GB2312" w:hAnsi="Times New Roman" w:eastAsia="仿宋_GB2312"/>
                <w:kern w:val="2"/>
                <w:szCs w:val="22"/>
              </w:rPr>
            </w:pPr>
            <w:r>
              <w:rPr>
                <w:rFonts w:ascii="仿宋_GB2312" w:hAnsi="Times New Roman" w:eastAsia="仿宋_GB2312"/>
                <w:kern w:val="2"/>
                <w:szCs w:val="22"/>
              </w:rPr>
              <w:t>单位印章</w:t>
            </w:r>
          </w:p>
          <w:p>
            <w:pPr>
              <w:autoSpaceDE/>
              <w:autoSpaceDN/>
              <w:adjustRightInd/>
              <w:spacing w:line="360" w:lineRule="exact"/>
              <w:ind w:right="-168" w:rightChars="-70" w:firstLine="240" w:firstLineChars="100"/>
              <w:jc w:val="both"/>
              <w:rPr>
                <w:rFonts w:hint="default" w:ascii="仿宋_GB2312" w:hAnsi="Times New Roman" w:eastAsia="仿宋_GB2312"/>
                <w:kern w:val="2"/>
                <w:szCs w:val="22"/>
              </w:rPr>
            </w:pPr>
            <w:r>
              <w:rPr>
                <w:rFonts w:ascii="仿宋_GB2312" w:hAnsi="Times New Roman" w:eastAsia="仿宋_GB2312"/>
                <w:kern w:val="2"/>
                <w:szCs w:val="22"/>
              </w:rPr>
              <w:t>二○二〇年  月  日</w:t>
            </w:r>
          </w:p>
        </w:tc>
      </w:tr>
    </w:tbl>
    <w:p>
      <w:pPr>
        <w:rPr>
          <w:rFonts w:hint="default"/>
        </w:rPr>
      </w:pPr>
      <w:r>
        <w:t>备注：</w:t>
      </w:r>
      <w:r>
        <w:rPr>
          <w:rFonts w:hint="default"/>
        </w:rPr>
        <w:t>1.此表可复制，通知文件有限，请协助转发；</w:t>
      </w:r>
    </w:p>
    <w:p>
      <w:pPr>
        <w:autoSpaceDE/>
        <w:autoSpaceDN/>
        <w:adjustRightInd/>
        <w:spacing w:line="320" w:lineRule="exact"/>
        <w:rPr>
          <w:rFonts w:hint="eastAsia" w:ascii="仿宋_GB2312" w:eastAsia="仿宋_GB2312" w:cs="宋体"/>
          <w:color w:val="000000"/>
          <w:sz w:val="28"/>
          <w:szCs w:val="28"/>
        </w:rPr>
      </w:pPr>
      <w:r>
        <w:rPr>
          <w:rFonts w:hint="eastAsia" w:ascii="仿宋_GB2312" w:eastAsia="仿宋_GB2312" w:cs="宋体"/>
          <w:color w:val="000000"/>
          <w:sz w:val="28"/>
          <w:szCs w:val="28"/>
        </w:rPr>
        <w:t>报名负责人：聂红军 主任 18211071700（微信）     邮  箱：zqgphwz@126.com</w:t>
      </w:r>
    </w:p>
    <w:p>
      <w:pPr>
        <w:autoSpaceDE/>
        <w:autoSpaceDN/>
        <w:adjustRightInd/>
        <w:spacing w:line="320" w:lineRule="exact"/>
        <w:rPr>
          <w:rFonts w:hint="eastAsia" w:ascii="仿宋_GB2312" w:eastAsia="仿宋_GB2312" w:cs="宋体"/>
          <w:color w:val="000000"/>
          <w:sz w:val="28"/>
          <w:szCs w:val="28"/>
        </w:rPr>
      </w:pPr>
      <w:r>
        <w:rPr>
          <w:rFonts w:hint="eastAsia" w:ascii="仿宋_GB2312" w:eastAsia="仿宋_GB2312" w:cs="宋体"/>
          <w:color w:val="000000"/>
          <w:sz w:val="28"/>
          <w:szCs w:val="28"/>
        </w:rPr>
        <w:t xml:space="preserve">电话（传真）：010-87697580                   </w:t>
      </w:r>
      <w:r>
        <w:rPr>
          <w:rFonts w:hint="eastAsia" w:ascii="仿宋_GB2312" w:eastAsia="仿宋_GB2312" w:cs="宋体"/>
          <w:color w:val="000000"/>
          <w:sz w:val="28"/>
          <w:szCs w:val="28"/>
          <w:lang w:val="en-US" w:eastAsia="zh-CN"/>
        </w:rPr>
        <w:t xml:space="preserve"> </w:t>
      </w:r>
      <w:bookmarkStart w:id="0" w:name="_GoBack"/>
      <w:bookmarkEnd w:id="0"/>
      <w:r>
        <w:rPr>
          <w:rFonts w:hint="eastAsia" w:ascii="仿宋_GB2312" w:eastAsia="仿宋_GB2312" w:cs="宋体"/>
          <w:color w:val="000000"/>
          <w:sz w:val="28"/>
          <w:szCs w:val="28"/>
        </w:rPr>
        <w:t xml:space="preserve"> qq咨询：3177524020   </w:t>
      </w:r>
    </w:p>
    <w:p>
      <w:pPr>
        <w:autoSpaceDE/>
        <w:autoSpaceDN/>
        <w:adjustRightInd/>
        <w:spacing w:line="320" w:lineRule="exact"/>
        <w:rPr>
          <w:rFonts w:hint="default" w:ascii="仿宋" w:hAnsi="仿宋" w:eastAsia="仿宋" w:cs="仿宋"/>
          <w:bCs/>
          <w:kern w:val="2"/>
          <w:sz w:val="28"/>
          <w:szCs w:val="28"/>
        </w:rPr>
      </w:pPr>
      <w:r>
        <w:rPr>
          <w:rFonts w:hint="eastAsia" w:ascii="仿宋_GB2312" w:eastAsia="仿宋_GB2312" w:cs="宋体"/>
          <w:color w:val="000000"/>
          <w:sz w:val="28"/>
          <w:szCs w:val="28"/>
        </w:rPr>
        <w:t xml:space="preserve">网址查询：http://www.zqgpchina.cn/  </w:t>
      </w:r>
      <w:r>
        <w:rPr>
          <w:rFonts w:ascii="仿宋" w:hAnsi="仿宋" w:eastAsia="仿宋" w:cs="仿宋"/>
          <w:bCs/>
          <w:kern w:val="2"/>
          <w:sz w:val="28"/>
          <w:szCs w:val="28"/>
        </w:rPr>
        <w:t xml:space="preserve"> </w:t>
      </w:r>
    </w:p>
    <w:p>
      <w:pPr>
        <w:ind w:firstLine="720" w:firstLineChars="300"/>
        <w:rPr>
          <w:rFonts w:hint="default"/>
        </w:rPr>
      </w:pPr>
    </w:p>
    <w:sectPr>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方正小标宋简体">
    <w:altName w:val="黑体"/>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A0667"/>
    <w:multiLevelType w:val="multilevel"/>
    <w:tmpl w:val="400A0667"/>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01933"/>
    <w:rsid w:val="000034F9"/>
    <w:rsid w:val="000035C2"/>
    <w:rsid w:val="00023AE0"/>
    <w:rsid w:val="00056155"/>
    <w:rsid w:val="0006749A"/>
    <w:rsid w:val="00067BD4"/>
    <w:rsid w:val="0009632B"/>
    <w:rsid w:val="000B5CF0"/>
    <w:rsid w:val="000E468A"/>
    <w:rsid w:val="00163622"/>
    <w:rsid w:val="00163D43"/>
    <w:rsid w:val="001B15FC"/>
    <w:rsid w:val="001D5820"/>
    <w:rsid w:val="001E70FF"/>
    <w:rsid w:val="001F266D"/>
    <w:rsid w:val="001F2CC6"/>
    <w:rsid w:val="00243D61"/>
    <w:rsid w:val="002733FA"/>
    <w:rsid w:val="00283333"/>
    <w:rsid w:val="002B34D8"/>
    <w:rsid w:val="002B4CAA"/>
    <w:rsid w:val="003304CF"/>
    <w:rsid w:val="00357C69"/>
    <w:rsid w:val="003B6E6E"/>
    <w:rsid w:val="003C4EC6"/>
    <w:rsid w:val="003C5EEF"/>
    <w:rsid w:val="003D1709"/>
    <w:rsid w:val="003D7C0F"/>
    <w:rsid w:val="003E1C7B"/>
    <w:rsid w:val="004127EC"/>
    <w:rsid w:val="0041566C"/>
    <w:rsid w:val="00425652"/>
    <w:rsid w:val="0043033B"/>
    <w:rsid w:val="00444929"/>
    <w:rsid w:val="00486315"/>
    <w:rsid w:val="004966E0"/>
    <w:rsid w:val="004A19A9"/>
    <w:rsid w:val="004C1B3E"/>
    <w:rsid w:val="004C2ADF"/>
    <w:rsid w:val="004C2C6B"/>
    <w:rsid w:val="00500F35"/>
    <w:rsid w:val="00532758"/>
    <w:rsid w:val="00562682"/>
    <w:rsid w:val="00586A06"/>
    <w:rsid w:val="005905D7"/>
    <w:rsid w:val="005D62EA"/>
    <w:rsid w:val="00605B40"/>
    <w:rsid w:val="0063510E"/>
    <w:rsid w:val="00657822"/>
    <w:rsid w:val="006919BE"/>
    <w:rsid w:val="006E23D4"/>
    <w:rsid w:val="006F58F0"/>
    <w:rsid w:val="007715BD"/>
    <w:rsid w:val="007B7767"/>
    <w:rsid w:val="007C5F85"/>
    <w:rsid w:val="007C77B9"/>
    <w:rsid w:val="00830AAA"/>
    <w:rsid w:val="00832BCD"/>
    <w:rsid w:val="0083647B"/>
    <w:rsid w:val="008452CB"/>
    <w:rsid w:val="00852438"/>
    <w:rsid w:val="00860964"/>
    <w:rsid w:val="008B199B"/>
    <w:rsid w:val="008E378E"/>
    <w:rsid w:val="008E633F"/>
    <w:rsid w:val="008E79C6"/>
    <w:rsid w:val="008F6E37"/>
    <w:rsid w:val="009700EB"/>
    <w:rsid w:val="00981D3A"/>
    <w:rsid w:val="009A4718"/>
    <w:rsid w:val="009D0157"/>
    <w:rsid w:val="009D5665"/>
    <w:rsid w:val="00A55121"/>
    <w:rsid w:val="00AB4C35"/>
    <w:rsid w:val="00AC5969"/>
    <w:rsid w:val="00AF4491"/>
    <w:rsid w:val="00B12DDD"/>
    <w:rsid w:val="00B4298E"/>
    <w:rsid w:val="00B73099"/>
    <w:rsid w:val="00B733B4"/>
    <w:rsid w:val="00B865F7"/>
    <w:rsid w:val="00B87A6C"/>
    <w:rsid w:val="00BB0019"/>
    <w:rsid w:val="00BB74B4"/>
    <w:rsid w:val="00BC37A5"/>
    <w:rsid w:val="00BD7E3A"/>
    <w:rsid w:val="00BE0FB0"/>
    <w:rsid w:val="00C054D6"/>
    <w:rsid w:val="00C44BC1"/>
    <w:rsid w:val="00C55AEA"/>
    <w:rsid w:val="00C83DAC"/>
    <w:rsid w:val="00C96EFB"/>
    <w:rsid w:val="00D74547"/>
    <w:rsid w:val="00DC3338"/>
    <w:rsid w:val="00DC54BB"/>
    <w:rsid w:val="00DC5B74"/>
    <w:rsid w:val="00E40FB3"/>
    <w:rsid w:val="00E71B61"/>
    <w:rsid w:val="00EA171A"/>
    <w:rsid w:val="00EC6791"/>
    <w:rsid w:val="00ED02EB"/>
    <w:rsid w:val="00EE08B2"/>
    <w:rsid w:val="00EF67C0"/>
    <w:rsid w:val="00F103DA"/>
    <w:rsid w:val="00F17644"/>
    <w:rsid w:val="00F2027E"/>
    <w:rsid w:val="00F704E9"/>
    <w:rsid w:val="00F917C0"/>
    <w:rsid w:val="00FA5D57"/>
    <w:rsid w:val="00FE34A3"/>
    <w:rsid w:val="0EBC5AFC"/>
    <w:rsid w:val="12CD4237"/>
    <w:rsid w:val="15B27631"/>
    <w:rsid w:val="192D5F24"/>
    <w:rsid w:val="1F6A36F3"/>
    <w:rsid w:val="1F943118"/>
    <w:rsid w:val="265B6D71"/>
    <w:rsid w:val="2FB5427E"/>
    <w:rsid w:val="34437DB0"/>
    <w:rsid w:val="35686C21"/>
    <w:rsid w:val="383C21CF"/>
    <w:rsid w:val="45BC136F"/>
    <w:rsid w:val="46056924"/>
    <w:rsid w:val="49897199"/>
    <w:rsid w:val="58DB4D27"/>
    <w:rsid w:val="5AC24DB9"/>
    <w:rsid w:val="5C273F39"/>
    <w:rsid w:val="5CE42A98"/>
    <w:rsid w:val="60B42B95"/>
    <w:rsid w:val="66063002"/>
    <w:rsid w:val="682A6642"/>
    <w:rsid w:val="733E0AB7"/>
    <w:rsid w:val="7620554C"/>
    <w:rsid w:val="78206B4D"/>
    <w:rsid w:val="79457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6">
    <w:name w:val="Title"/>
    <w:basedOn w:val="1"/>
    <w:next w:val="1"/>
    <w:link w:val="14"/>
    <w:qFormat/>
    <w:uiPriority w:val="0"/>
    <w:pPr>
      <w:autoSpaceDE/>
      <w:autoSpaceDN/>
      <w:adjustRightInd/>
      <w:spacing w:before="240" w:after="60"/>
      <w:jc w:val="center"/>
      <w:outlineLvl w:val="0"/>
    </w:pPr>
    <w:rPr>
      <w:rFonts w:hint="default" w:ascii="Cambria" w:hAnsi="Cambria" w:eastAsiaTheme="minorEastAsia"/>
      <w:b/>
      <w:bCs/>
      <w:kern w:val="2"/>
      <w:sz w:val="32"/>
      <w:szCs w:val="32"/>
    </w:rPr>
  </w:style>
  <w:style w:type="character" w:styleId="9">
    <w:name w:val="Emphasis"/>
    <w:basedOn w:val="8"/>
    <w:qFormat/>
    <w:uiPriority w:val="20"/>
    <w:rPr>
      <w:i/>
      <w:iCs/>
    </w:rPr>
  </w:style>
  <w:style w:type="character" w:styleId="10">
    <w:name w:val="Hyperlink"/>
    <w:basedOn w:val="8"/>
    <w:unhideWhenUsed/>
    <w:qFormat/>
    <w:uiPriority w:val="99"/>
    <w:rPr>
      <w:color w:val="0000FF" w:themeColor="hyperlink"/>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widowControl/>
      <w:autoSpaceDE/>
      <w:autoSpaceDN/>
      <w:adjustRightInd/>
      <w:ind w:firstLine="420" w:firstLineChars="200"/>
    </w:pPr>
    <w:rPr>
      <w:rFonts w:hint="default" w:cs="宋体"/>
      <w:szCs w:val="24"/>
    </w:rPr>
  </w:style>
  <w:style w:type="character" w:customStyle="1" w:styleId="14">
    <w:name w:val="标题 Char"/>
    <w:link w:val="6"/>
    <w:qFormat/>
    <w:uiPriority w:val="0"/>
    <w:rPr>
      <w:rFonts w:ascii="Cambria" w:hAnsi="Cambria" w:cs="Times New Roman"/>
      <w:b/>
      <w:bCs/>
      <w:sz w:val="32"/>
      <w:szCs w:val="32"/>
    </w:rPr>
  </w:style>
  <w:style w:type="character" w:customStyle="1" w:styleId="15">
    <w:name w:val="标题 Char1"/>
    <w:basedOn w:val="8"/>
    <w:qFormat/>
    <w:uiPriority w:val="10"/>
    <w:rPr>
      <w:rFonts w:eastAsia="宋体" w:asciiTheme="majorHAnsi" w:hAnsiTheme="majorHAnsi" w:cstheme="majorBidi"/>
      <w:b/>
      <w:bCs/>
      <w:kern w:val="0"/>
      <w:sz w:val="32"/>
      <w:szCs w:val="32"/>
    </w:rPr>
  </w:style>
  <w:style w:type="character" w:customStyle="1" w:styleId="16">
    <w:name w:val="批注框文本 Char"/>
    <w:basedOn w:val="8"/>
    <w:link w:val="2"/>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C81171-F687-48EC-B0E0-9B2B7188F0A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620</Words>
  <Characters>3537</Characters>
  <Lines>29</Lines>
  <Paragraphs>8</Paragraphs>
  <TotalTime>43</TotalTime>
  <ScaleCrop>false</ScaleCrop>
  <LinksUpToDate>false</LinksUpToDate>
  <CharactersWithSpaces>4149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dcterms:modified xsi:type="dcterms:W3CDTF">2020-05-25T01:53:22Z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