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248" w:type="dxa"/>
            <w:vAlign w:val="center"/>
          </w:tcPr>
          <w:p>
            <w:pPr>
              <w:jc w:val="distribute"/>
              <w:rPr>
                <w:rFonts w:ascii="宋体" w:hAnsi="宋体" w:eastAsia="宋体" w:cs="宋体"/>
                <w:color w:val="FF0000"/>
                <w:kern w:val="0"/>
                <w:sz w:val="70"/>
                <w:szCs w:val="70"/>
              </w:rPr>
            </w:pPr>
            <w:r>
              <w:rPr>
                <w:rFonts w:ascii="楷体" w:hAnsi="楷体" w:eastAsia="楷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FF0000"/>
                <w:kern w:val="0"/>
                <w:sz w:val="70"/>
                <w:szCs w:val="70"/>
              </w:rPr>
              <w:t>中 国 投 资 协 会</w:t>
            </w:r>
          </w:p>
          <w:p>
            <w:pPr>
              <w:jc w:val="distribute"/>
              <w:rPr>
                <w:rFonts w:ascii="楷体" w:hAnsi="楷体" w:eastAsia="楷体"/>
                <w:color w:val="FF0000"/>
                <w:kern w:val="0"/>
                <w:sz w:val="66"/>
                <w:szCs w:val="66"/>
              </w:rPr>
            </w:pPr>
            <w:r>
              <w:rPr>
                <w:rFonts w:hint="eastAsia" w:ascii="宋体" w:hAnsi="宋体" w:eastAsia="宋体" w:cs="宋体"/>
                <w:color w:val="FF0000"/>
                <w:kern w:val="0"/>
                <w:sz w:val="70"/>
                <w:szCs w:val="70"/>
              </w:rPr>
              <w:t>项目投融资专业委员会文件</w:t>
            </w:r>
          </w:p>
          <w:p>
            <w:pPr>
              <w:jc w:val="center"/>
              <w:rPr>
                <w:rFonts w:ascii="楷体" w:hAnsi="楷体" w:eastAsia="楷体"/>
                <w:color w:val="000000" w:themeColor="text1"/>
                <w:kern w:val="0"/>
                <w:sz w:val="66"/>
                <w:szCs w:val="66"/>
                <w14:textFill>
                  <w14:solidFill>
                    <w14:schemeClr w14:val="tx1"/>
                  </w14:solidFill>
                </w14:textFill>
              </w:rPr>
            </w:pPr>
            <w:r>
              <w:rPr>
                <w:rFonts w:hint="eastAsia" w:ascii="宋体" w:hAnsi="宋体" w:eastAsia="宋体" w:cs="宋体"/>
                <w:sz w:val="30"/>
                <w:szCs w:val="30"/>
              </w:rPr>
              <w:t>投融培字〔2020〕3号</w:t>
            </w:r>
          </w:p>
        </w:tc>
      </w:tr>
    </w:tbl>
    <w:p>
      <w:pPr>
        <w:spacing w:line="440" w:lineRule="exact"/>
        <w:jc w:val="center"/>
        <w:rPr>
          <w:rFonts w:ascii="华文中宋" w:hAnsi="华文中宋" w:eastAsia="华文中宋" w:cs="宋体"/>
          <w:b/>
          <w:sz w:val="32"/>
          <w:szCs w:val="32"/>
        </w:rPr>
      </w:pPr>
    </w:p>
    <w:p>
      <w:pPr>
        <w:spacing w:line="440" w:lineRule="exact"/>
        <w:jc w:val="center"/>
        <w:rPr>
          <w:rFonts w:ascii="华文中宋" w:hAnsi="华文中宋" w:eastAsia="华文中宋" w:cs="Times New Roman"/>
          <w:b/>
          <w:sz w:val="32"/>
          <w:szCs w:val="32"/>
        </w:rPr>
      </w:pPr>
      <w:r>
        <w:rPr>
          <w:rFonts w:hint="eastAsia" w:ascii="华文中宋" w:hAnsi="华文中宋" w:eastAsia="华文中宋" w:cs="宋体"/>
          <w:b/>
          <w:sz w:val="32"/>
          <w:szCs w:val="32"/>
        </w:rPr>
        <w:t>关于举办《政府投资条例》稳投资形势下地方政府项目的谋划与落地及平台公司市场化转型发展的模式与实践培训班的通知</w:t>
      </w:r>
    </w:p>
    <w:p>
      <w:pPr>
        <w:spacing w:line="300" w:lineRule="exact"/>
        <w:rPr>
          <w:rFonts w:ascii="仿宋_GB2312" w:hAnsi="宋体" w:eastAsia="仿宋_GB2312" w:cs="Times New Roman"/>
          <w:bCs/>
          <w:color w:val="000000"/>
          <w:sz w:val="28"/>
          <w:szCs w:val="28"/>
        </w:rPr>
      </w:pPr>
    </w:p>
    <w:p>
      <w:pPr>
        <w:spacing w:line="300" w:lineRule="exact"/>
        <w:rPr>
          <w:rFonts w:ascii="华文中宋" w:hAnsi="华文中宋" w:eastAsia="华文中宋" w:cs="Times New Roman"/>
          <w:b/>
          <w:sz w:val="28"/>
          <w:szCs w:val="28"/>
        </w:rPr>
      </w:pPr>
      <w:r>
        <w:rPr>
          <w:rFonts w:hint="eastAsia" w:ascii="仿宋_GB2312" w:hAnsi="宋体" w:eastAsia="仿宋_GB2312" w:cs="Times New Roman"/>
          <w:b/>
          <w:bCs/>
          <w:color w:val="000000"/>
          <w:sz w:val="28"/>
          <w:szCs w:val="28"/>
        </w:rPr>
        <w:t>各有关单位：</w:t>
      </w:r>
    </w:p>
    <w:p>
      <w:pPr>
        <w:spacing w:line="30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为贯彻落实国务院《政府投资条例》（国令第712号）文件精神，认真学习《企业投资项目核准和备案管理条例》（国发〔2016〕673号）《关于防范化解融资平台公司到期存量地方政府隐性债务风险的意见》（国办函〔2019〕40号）《关于加强国有企业资产负债约束的指导意见》（中发〔2018〕27号）的有关要求，中国投资协会项目投融资专业委员会会同北京中科善若教育咨询有限公司举办《政府投资条例》稳投资形势下地方政府项目的谋划与落地及平台公司市场化转型发展的模式与实践培训班。</w:t>
      </w:r>
    </w:p>
    <w:p>
      <w:pPr>
        <w:spacing w:line="30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培训旨在帮助政府有关部门、平台公司、金融机构、参与政府项目的国企民企及投资类企业系统学习掌握政府融资体制机制的转变、地方政府项目的谋划与落地、融资平台市场化转型等相关的政策法规、实务操作及投融资实务，提高地方经济可持续发展能力。现将具体事项通知如下：</w:t>
      </w:r>
    </w:p>
    <w:p>
      <w:pPr>
        <w:spacing w:line="30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一、组织机构</w:t>
      </w:r>
    </w:p>
    <w:p>
      <w:pPr>
        <w:spacing w:line="3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主办单位：中国投资协会项目投融资专业委员会</w:t>
      </w:r>
    </w:p>
    <w:p>
      <w:pPr>
        <w:spacing w:line="300" w:lineRule="exact"/>
        <w:ind w:firstLine="560" w:firstLineChars="200"/>
        <w:rPr>
          <w:rFonts w:ascii="仿宋_GB2312" w:hAnsi="仿宋_GB2312" w:eastAsia="仿宋_GB2312" w:cs="仿宋_GB2312"/>
          <w:bCs/>
          <w:color w:val="000000"/>
          <w:sz w:val="28"/>
          <w:szCs w:val="28"/>
        </w:rPr>
      </w:pPr>
      <w:r>
        <w:rPr>
          <w:rFonts w:hint="eastAsia" w:ascii="仿宋" w:hAnsi="仿宋" w:eastAsia="仿宋" w:cs="Times New Roman"/>
          <w:sz w:val="28"/>
          <w:szCs w:val="28"/>
        </w:rPr>
        <w:t>承办单位：</w:t>
      </w:r>
      <w:r>
        <w:rPr>
          <w:rFonts w:hint="eastAsia" w:ascii="仿宋_GB2312" w:hAnsi="仿宋_GB2312" w:eastAsia="仿宋_GB2312" w:cs="仿宋_GB2312"/>
          <w:bCs/>
          <w:color w:val="000000"/>
          <w:sz w:val="28"/>
          <w:szCs w:val="28"/>
        </w:rPr>
        <w:t>北京中科善若教育咨询有限公司</w:t>
      </w:r>
    </w:p>
    <w:p>
      <w:pPr>
        <w:spacing w:line="300" w:lineRule="exact"/>
        <w:ind w:firstLine="560" w:firstLineChars="200"/>
        <w:rPr>
          <w:rFonts w:ascii="楷体" w:hAnsi="楷体" w:eastAsia="楷体" w:cs="楷体"/>
          <w:sz w:val="28"/>
          <w:szCs w:val="28"/>
        </w:rPr>
      </w:pPr>
      <w:r>
        <w:rPr>
          <w:rFonts w:hint="eastAsia" w:ascii="黑体" w:hAnsi="黑体" w:eastAsia="黑体" w:cs="黑体"/>
          <w:sz w:val="28"/>
          <w:szCs w:val="28"/>
        </w:rPr>
        <w:t>二、培训内容</w:t>
      </w:r>
      <w:r>
        <w:rPr>
          <w:rFonts w:hint="eastAsia" w:ascii="楷体" w:hAnsi="楷体" w:eastAsia="楷体" w:cs="楷体"/>
          <w:sz w:val="28"/>
          <w:szCs w:val="28"/>
        </w:rPr>
        <w:t>（详细内容见附件）</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1.相关政策解析</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2.地方政府债务的认定与化解</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3.地方政府投融资模式的重构</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4.平台公司市场化转型的政策规定及转型的目标</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5.平台公司转型之一：资产与债权债务方面</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6.平台公司转型之二：企业战略发展规划</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7.平台公司转型之三：组织架构和现代企业制度核心要点</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8.政府项目投融资模式简述</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9.政府直接投资模式</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10.公益类经营性项目分析</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11.政府合规性融资模式</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12.转型平台公司市场化承接政府公益性项目</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13.产业新城及片区综合开发</w:t>
      </w:r>
    </w:p>
    <w:p>
      <w:pPr>
        <w:spacing w:line="300" w:lineRule="exact"/>
        <w:ind w:firstLine="560" w:firstLineChars="200"/>
        <w:rPr>
          <w:rFonts w:ascii="仿宋" w:hAnsi="仿宋" w:eastAsia="仿宋"/>
          <w:b/>
          <w:sz w:val="28"/>
          <w:szCs w:val="28"/>
        </w:rPr>
      </w:pPr>
      <w:r>
        <w:rPr>
          <w:rFonts w:hint="eastAsia" w:ascii="仿宋" w:hAnsi="仿宋" w:eastAsia="仿宋" w:cs="Times New Roman"/>
          <w:color w:val="000000"/>
          <w:sz w:val="28"/>
          <w:szCs w:val="28"/>
        </w:rPr>
        <w:t>14.产业基金</w:t>
      </w:r>
    </w:p>
    <w:p>
      <w:pPr>
        <w:spacing w:line="300" w:lineRule="exact"/>
        <w:ind w:firstLine="560" w:firstLineChars="200"/>
        <w:rPr>
          <w:rFonts w:ascii="黑体" w:hAnsi="黑体" w:eastAsia="黑体" w:cs="黑体"/>
          <w:sz w:val="28"/>
          <w:szCs w:val="28"/>
        </w:rPr>
      </w:pPr>
      <w:r>
        <w:rPr>
          <w:rFonts w:hint="eastAsia" w:ascii="黑体" w:hAnsi="黑体" w:eastAsia="黑体" w:cs="黑体"/>
          <w:sz w:val="28"/>
          <w:szCs w:val="28"/>
        </w:rPr>
        <w:t>三、培训对象</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1.各地方政府发改、财政、住建、人社、卫健、交通、水利、环保、科技、教育等部门相关人员；</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2.投资咨询机构、城投转型机构、资产管理机构、规划设计机构、资本运营机构、金融服务机构、律师事务所、会计师事务所等领域相关人员。</w:t>
      </w:r>
    </w:p>
    <w:p>
      <w:pPr>
        <w:spacing w:line="300" w:lineRule="exact"/>
        <w:ind w:firstLine="560" w:firstLineChars="200"/>
        <w:rPr>
          <w:rFonts w:ascii="仿宋" w:hAnsi="仿宋" w:eastAsia="仿宋" w:cs="Times New Roman"/>
          <w:color w:val="000000"/>
          <w:sz w:val="28"/>
          <w:szCs w:val="28"/>
        </w:rPr>
      </w:pPr>
      <w:r>
        <w:rPr>
          <w:rFonts w:hint="eastAsia" w:ascii="黑体" w:hAnsi="黑体" w:eastAsia="黑体" w:cs="黑体"/>
          <w:sz w:val="28"/>
          <w:szCs w:val="28"/>
        </w:rPr>
        <w:t>四、授课专家</w:t>
      </w:r>
      <w:r>
        <w:rPr>
          <w:rFonts w:hint="eastAsia" w:ascii="仿宋" w:hAnsi="仿宋" w:eastAsia="仿宋" w:cs="Times New Roman"/>
          <w:color w:val="000000"/>
          <w:sz w:val="28"/>
          <w:szCs w:val="28"/>
        </w:rPr>
        <w:t xml:space="preserve">                </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拟邀请国家发改委、财政部、PPP项目相关领域专家授课，以专题讲座、案例分析、方案咨询、研讨交流等形式进行讲解。</w:t>
      </w:r>
    </w:p>
    <w:p>
      <w:pPr>
        <w:autoSpaceDE w:val="0"/>
        <w:autoSpaceDN w:val="0"/>
        <w:adjustRightInd w:val="0"/>
        <w:spacing w:line="330" w:lineRule="exact"/>
        <w:ind w:firstLine="560" w:firstLineChars="200"/>
        <w:jc w:val="left"/>
        <w:rPr>
          <w:rFonts w:ascii="黑体" w:hAnsi="黑体" w:eastAsia="黑体" w:cs="黑体"/>
          <w:sz w:val="28"/>
          <w:szCs w:val="28"/>
        </w:rPr>
      </w:pPr>
      <w:r>
        <w:rPr>
          <w:rFonts w:ascii="黑体" w:hAnsi="黑体" w:eastAsia="黑体" w:cs="黑体"/>
          <w:sz w:val="28"/>
          <w:szCs w:val="28"/>
        </w:rPr>
        <w:t>五、时间地点</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2020年</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6月26日—</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 xml:space="preserve">6月30日   成都市（26日全天报到） </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2020年</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7月24日—</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 xml:space="preserve">7月28日   贵阳市（24日全天报到） </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2020年</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8月27日—</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8月31日   昆明市（27日全天报到）</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2020年</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9月17日—</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9月21日   厦门市（17日全天报到）</w:t>
      </w:r>
    </w:p>
    <w:p>
      <w:pPr>
        <w:spacing w:line="30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2020年10月22日—10月26日 </w:t>
      </w:r>
      <w:r>
        <w:rPr>
          <w:rFonts w:hint="eastAsia" w:ascii="仿宋" w:hAnsi="仿宋" w:eastAsia="仿宋" w:cs="Times New Roman"/>
          <w:color w:val="000000"/>
          <w:sz w:val="28"/>
          <w:szCs w:val="28"/>
          <w:lang w:val="en-US" w:eastAsia="zh-CN"/>
        </w:rPr>
        <w:t xml:space="preserve">  </w:t>
      </w:r>
      <w:bookmarkStart w:id="0" w:name="_GoBack"/>
      <w:bookmarkEnd w:id="0"/>
      <w:r>
        <w:rPr>
          <w:rFonts w:hint="eastAsia" w:ascii="仿宋" w:hAnsi="仿宋" w:eastAsia="仿宋" w:cs="Times New Roman"/>
          <w:color w:val="000000"/>
          <w:sz w:val="28"/>
          <w:szCs w:val="28"/>
        </w:rPr>
        <w:t>西安市（22日全天报到）</w:t>
      </w:r>
    </w:p>
    <w:p>
      <w:pPr>
        <w:autoSpaceDE w:val="0"/>
        <w:autoSpaceDN w:val="0"/>
        <w:adjustRightInd w:val="0"/>
        <w:spacing w:line="330" w:lineRule="exact"/>
        <w:ind w:firstLine="560" w:firstLineChars="200"/>
        <w:jc w:val="left"/>
        <w:rPr>
          <w:rFonts w:ascii="黑体" w:hAnsi="黑体" w:eastAsia="黑体" w:cs="黑体"/>
          <w:sz w:val="28"/>
          <w:szCs w:val="28"/>
        </w:rPr>
      </w:pPr>
      <w:r>
        <w:rPr>
          <w:rFonts w:ascii="黑体" w:hAnsi="黑体" w:eastAsia="黑体" w:cs="黑体"/>
          <w:sz w:val="28"/>
          <w:szCs w:val="28"/>
        </w:rPr>
        <w:t>六、相关事宜</w:t>
      </w:r>
    </w:p>
    <w:p>
      <w:pPr>
        <w:spacing w:line="330" w:lineRule="exact"/>
        <w:ind w:firstLine="560" w:firstLineChars="200"/>
        <w:rPr>
          <w:rFonts w:ascii="仿宋" w:hAnsi="仿宋" w:eastAsia="仿宋" w:cs="仿宋"/>
          <w:b/>
          <w:bCs/>
          <w:sz w:val="28"/>
          <w:szCs w:val="28"/>
        </w:rPr>
      </w:pPr>
      <w:r>
        <w:rPr>
          <w:rFonts w:ascii="仿宋" w:hAnsi="仿宋" w:eastAsia="仿宋" w:cs="仿宋"/>
          <w:b/>
          <w:bCs/>
          <w:sz w:val="28"/>
          <w:szCs w:val="28"/>
        </w:rPr>
        <w:t>（一）培训费用</w:t>
      </w:r>
    </w:p>
    <w:p>
      <w:pPr>
        <w:spacing w:line="330" w:lineRule="exact"/>
        <w:ind w:firstLine="560" w:firstLineChars="200"/>
        <w:rPr>
          <w:rFonts w:ascii="仿宋" w:hAnsi="仿宋" w:eastAsia="仿宋" w:cs="仿宋"/>
          <w:bCs/>
          <w:sz w:val="28"/>
          <w:szCs w:val="28"/>
        </w:rPr>
      </w:pPr>
      <w:r>
        <w:rPr>
          <w:rFonts w:ascii="仿宋" w:hAnsi="仿宋" w:eastAsia="仿宋" w:cs="仿宋"/>
          <w:bCs/>
          <w:sz w:val="28"/>
          <w:szCs w:val="28"/>
        </w:rPr>
        <w:t>A</w:t>
      </w:r>
      <w:r>
        <w:rPr>
          <w:rFonts w:hint="eastAsia" w:ascii="仿宋" w:hAnsi="仿宋" w:eastAsia="仿宋" w:cs="仿宋"/>
          <w:bCs/>
          <w:sz w:val="28"/>
          <w:szCs w:val="28"/>
        </w:rPr>
        <w:t>项</w:t>
      </w:r>
      <w:r>
        <w:rPr>
          <w:rFonts w:ascii="仿宋" w:hAnsi="仿宋" w:eastAsia="仿宋" w:cs="仿宋"/>
          <w:bCs/>
          <w:sz w:val="28"/>
          <w:szCs w:val="28"/>
        </w:rPr>
        <w:t>.2980元/人（含培训费、资料费、课件、场地、会议期间午餐），住宿统一安排，费用自理。</w:t>
      </w:r>
    </w:p>
    <w:p>
      <w:pPr>
        <w:spacing w:line="330" w:lineRule="exact"/>
        <w:ind w:firstLine="560" w:firstLineChars="200"/>
        <w:rPr>
          <w:rFonts w:ascii="仿宋" w:hAnsi="仿宋" w:eastAsia="仿宋" w:cs="仿宋"/>
          <w:bCs/>
          <w:sz w:val="28"/>
          <w:szCs w:val="28"/>
        </w:rPr>
      </w:pPr>
      <w:r>
        <w:rPr>
          <w:rFonts w:ascii="仿宋" w:hAnsi="仿宋" w:eastAsia="仿宋" w:cs="仿宋"/>
          <w:bCs/>
          <w:sz w:val="28"/>
          <w:szCs w:val="28"/>
        </w:rPr>
        <w:t>B</w:t>
      </w:r>
      <w:r>
        <w:rPr>
          <w:rFonts w:hint="eastAsia" w:ascii="仿宋" w:hAnsi="仿宋" w:eastAsia="仿宋" w:cs="仿宋"/>
          <w:bCs/>
          <w:sz w:val="28"/>
          <w:szCs w:val="28"/>
        </w:rPr>
        <w:t>项</w:t>
      </w:r>
      <w:r>
        <w:rPr>
          <w:rFonts w:ascii="仿宋" w:hAnsi="仿宋" w:eastAsia="仿宋" w:cs="仿宋"/>
          <w:bCs/>
          <w:sz w:val="28"/>
          <w:szCs w:val="28"/>
        </w:rPr>
        <w:t>.3980元/人（含证书、培训费、资料费、课件、场地、会议期间午餐），住宿统一安排，费用自理。</w:t>
      </w:r>
    </w:p>
    <w:p>
      <w:pPr>
        <w:spacing w:line="330" w:lineRule="exact"/>
        <w:ind w:firstLine="560" w:firstLineChars="200"/>
        <w:rPr>
          <w:rFonts w:ascii="仿宋" w:hAnsi="仿宋" w:eastAsia="仿宋" w:cs="仿宋"/>
          <w:bCs/>
          <w:sz w:val="28"/>
          <w:szCs w:val="28"/>
        </w:rPr>
      </w:pPr>
      <w:r>
        <w:rPr>
          <w:rFonts w:ascii="仿宋" w:hAnsi="仿宋" w:eastAsia="仿宋" w:cs="仿宋"/>
          <w:bCs/>
          <w:sz w:val="28"/>
          <w:szCs w:val="28"/>
        </w:rPr>
        <w:t>C</w:t>
      </w:r>
      <w:r>
        <w:rPr>
          <w:rFonts w:hint="eastAsia" w:ascii="仿宋" w:hAnsi="仿宋" w:eastAsia="仿宋" w:cs="仿宋"/>
          <w:bCs/>
          <w:sz w:val="28"/>
          <w:szCs w:val="28"/>
        </w:rPr>
        <w:t>项</w:t>
      </w:r>
      <w:r>
        <w:rPr>
          <w:rFonts w:ascii="仿宋" w:hAnsi="仿宋" w:eastAsia="仿宋" w:cs="仿宋"/>
          <w:bCs/>
          <w:sz w:val="28"/>
          <w:szCs w:val="28"/>
        </w:rPr>
        <w:t>.5980元/人（含证书、培训费、资料费、课件、场地、会议期间食宿）。</w:t>
      </w:r>
    </w:p>
    <w:p>
      <w:pPr>
        <w:spacing w:line="300" w:lineRule="exact"/>
        <w:ind w:firstLine="700" w:firstLineChars="250"/>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备注：证书由中国国家人事人才培训网、北京企业管理咨询协会共同颁发《投融资管理师》《金融风险管理师》，证书可在国培网网站人才数据库查询。 </w:t>
      </w:r>
    </w:p>
    <w:p>
      <w:pPr>
        <w:spacing w:line="300" w:lineRule="exact"/>
        <w:rPr>
          <w:rFonts w:ascii="仿宋" w:hAnsi="仿宋" w:eastAsia="仿宋" w:cs="Times New Roman"/>
          <w:color w:val="000000"/>
          <w:sz w:val="28"/>
          <w:szCs w:val="28"/>
        </w:rPr>
      </w:pPr>
      <w:r>
        <w:rPr>
          <w:rFonts w:hint="eastAsia" w:ascii="仿宋" w:hAnsi="仿宋" w:eastAsia="仿宋" w:cs="Times New Roman"/>
          <w:color w:val="000000"/>
          <w:sz w:val="28"/>
          <w:szCs w:val="28"/>
        </w:rPr>
        <w:t>需提供报名材料：报名表、</w:t>
      </w:r>
      <w:r>
        <w:rPr>
          <w:rFonts w:ascii="仿宋" w:hAnsi="仿宋" w:eastAsia="仿宋" w:cs="Times New Roman"/>
          <w:color w:val="000000"/>
          <w:sz w:val="28"/>
          <w:szCs w:val="28"/>
        </w:rPr>
        <w:t>2寸电子照片（白底免冠彩照）、身份证复印件、学历证书复印件各一份。</w:t>
      </w:r>
    </w:p>
    <w:p>
      <w:pPr>
        <w:spacing w:line="330" w:lineRule="exact"/>
        <w:ind w:firstLine="560" w:firstLineChars="200"/>
        <w:rPr>
          <w:rFonts w:ascii="仿宋" w:hAnsi="仿宋" w:eastAsia="仿宋" w:cs="仿宋"/>
          <w:b/>
          <w:bCs/>
          <w:sz w:val="28"/>
          <w:szCs w:val="28"/>
        </w:rPr>
      </w:pPr>
      <w:r>
        <w:rPr>
          <w:rFonts w:ascii="仿宋" w:hAnsi="仿宋" w:eastAsia="仿宋" w:cs="仿宋"/>
          <w:b/>
          <w:bCs/>
          <w:sz w:val="28"/>
          <w:szCs w:val="28"/>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 xml:space="preserve">） </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autoSpaceDE w:val="0"/>
        <w:autoSpaceDN w:val="0"/>
        <w:adjustRightInd w:val="0"/>
        <w:spacing w:line="330" w:lineRule="exact"/>
        <w:ind w:firstLine="560" w:firstLineChars="200"/>
        <w:jc w:val="left"/>
        <w:rPr>
          <w:rFonts w:ascii="仿宋" w:hAnsi="仿宋" w:eastAsia="仿宋" w:cs="仿宋"/>
          <w:bCs/>
          <w:kern w:val="0"/>
          <w:sz w:val="28"/>
          <w:szCs w:val="28"/>
        </w:rPr>
      </w:pPr>
    </w:p>
    <w:p>
      <w:pPr>
        <w:spacing w:line="300" w:lineRule="exact"/>
        <w:ind w:firstLine="700" w:firstLineChars="250"/>
        <w:rPr>
          <w:rFonts w:ascii="黑体" w:hAnsi="黑体" w:eastAsia="黑体" w:cs="黑体"/>
          <w:bCs/>
          <w:color w:val="000000"/>
          <w:sz w:val="28"/>
          <w:szCs w:val="28"/>
        </w:rPr>
      </w:pPr>
      <w:r>
        <w:rPr>
          <w:rFonts w:hint="eastAsia" w:ascii="黑体" w:hAnsi="黑体" w:eastAsia="黑体" w:cs="黑体"/>
          <w:bCs/>
          <w:color w:val="000000"/>
          <w:sz w:val="28"/>
          <w:szCs w:val="28"/>
        </w:rPr>
        <w:t>附件：</w:t>
      </w:r>
    </w:p>
    <w:p>
      <w:pPr>
        <w:spacing w:line="300" w:lineRule="exact"/>
        <w:ind w:firstLine="700" w:firstLineChars="250"/>
        <w:rPr>
          <w:rFonts w:ascii="仿宋" w:hAnsi="仿宋" w:eastAsia="仿宋" w:cs="Times New Roman"/>
          <w:color w:val="000000"/>
          <w:sz w:val="28"/>
          <w:szCs w:val="28"/>
        </w:rPr>
      </w:pPr>
      <w:r>
        <w:rPr>
          <w:rFonts w:hint="eastAsia" w:ascii="仿宋" w:hAnsi="仿宋" w:eastAsia="仿宋" w:cs="Times New Roman"/>
          <w:color w:val="000000"/>
          <w:sz w:val="28"/>
          <w:szCs w:val="28"/>
        </w:rPr>
        <w:t>1.培训内容</w:t>
      </w:r>
    </w:p>
    <w:p>
      <w:pPr>
        <w:spacing w:line="300" w:lineRule="exact"/>
        <w:ind w:firstLine="700" w:firstLineChars="250"/>
        <w:rPr>
          <w:rFonts w:ascii="仿宋" w:hAnsi="仿宋" w:eastAsia="仿宋" w:cs="Times New Roman"/>
          <w:color w:val="000000"/>
          <w:sz w:val="28"/>
          <w:szCs w:val="28"/>
        </w:rPr>
      </w:pPr>
      <w:r>
        <w:rPr>
          <w:rFonts w:ascii="黑体" w:hAnsi="黑体" w:eastAsia="黑体" w:cs="黑体"/>
          <w:sz w:val="28"/>
          <w:szCs w:val="28"/>
        </w:rPr>
        <w:drawing>
          <wp:anchor distT="0" distB="0" distL="114300" distR="114300" simplePos="0" relativeHeight="251659264" behindDoc="1" locked="0" layoutInCell="1" allowOverlap="1">
            <wp:simplePos x="0" y="0"/>
            <wp:positionH relativeFrom="column">
              <wp:posOffset>2857500</wp:posOffset>
            </wp:positionH>
            <wp:positionV relativeFrom="paragraph">
              <wp:posOffset>339090</wp:posOffset>
            </wp:positionV>
            <wp:extent cx="3206115" cy="1912620"/>
            <wp:effectExtent l="0" t="0" r="0" b="0"/>
            <wp:wrapNone/>
            <wp:docPr id="2" name="图片 2" descr="C:\Users\ADMINI~1\AppData\Local\Temp\15901393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90139395(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08517" cy="1913921"/>
                    </a:xfrm>
                    <a:prstGeom prst="rect">
                      <a:avLst/>
                    </a:prstGeom>
                    <a:noFill/>
                    <a:ln>
                      <a:noFill/>
                    </a:ln>
                  </pic:spPr>
                </pic:pic>
              </a:graphicData>
            </a:graphic>
          </wp:anchor>
        </w:drawing>
      </w:r>
      <w:r>
        <w:rPr>
          <w:rFonts w:hint="eastAsia" w:ascii="仿宋" w:hAnsi="仿宋" w:eastAsia="仿宋" w:cs="Times New Roman"/>
          <w:color w:val="000000"/>
          <w:sz w:val="28"/>
          <w:szCs w:val="28"/>
        </w:rPr>
        <w:t>2.</w:t>
      </w:r>
      <w:r>
        <w:rPr>
          <w:rFonts w:hint="eastAsia" w:ascii="仿宋_GB2312" w:hAnsi="仿宋_GB2312" w:eastAsia="仿宋_GB2312" w:cs="仿宋_GB2312"/>
          <w:bCs/>
          <w:color w:val="000000"/>
          <w:sz w:val="28"/>
          <w:szCs w:val="28"/>
        </w:rPr>
        <w:t>《政府投资条例》稳投资形势下地方政府项目的谋划与落地及平台公司市场化转型发展的模式与实践培训班《</w:t>
      </w:r>
      <w:r>
        <w:rPr>
          <w:rFonts w:hint="eastAsia" w:ascii="仿宋" w:hAnsi="仿宋" w:eastAsia="仿宋" w:cs="Times New Roman"/>
          <w:color w:val="000000"/>
          <w:sz w:val="28"/>
          <w:szCs w:val="28"/>
        </w:rPr>
        <w:t xml:space="preserve">报名回执表》 </w:t>
      </w:r>
    </w:p>
    <w:p>
      <w:pPr>
        <w:spacing w:line="370" w:lineRule="exact"/>
        <w:rPr>
          <w:rFonts w:ascii="黑体" w:hAnsi="黑体" w:eastAsia="黑体" w:cs="黑体"/>
          <w:sz w:val="28"/>
          <w:szCs w:val="28"/>
        </w:rPr>
      </w:pPr>
    </w:p>
    <w:p>
      <w:pPr>
        <w:spacing w:line="370" w:lineRule="exact"/>
        <w:rPr>
          <w:rFonts w:ascii="黑体" w:hAnsi="黑体" w:eastAsia="黑体" w:cs="黑体"/>
          <w:sz w:val="28"/>
          <w:szCs w:val="28"/>
        </w:rPr>
      </w:pPr>
    </w:p>
    <w:p>
      <w:pPr>
        <w:spacing w:line="370" w:lineRule="exact"/>
        <w:rPr>
          <w:rFonts w:ascii="黑体" w:hAnsi="黑体" w:eastAsia="黑体" w:cs="黑体"/>
          <w:sz w:val="28"/>
          <w:szCs w:val="28"/>
        </w:rPr>
      </w:pPr>
    </w:p>
    <w:p>
      <w:pPr>
        <w:spacing w:line="370" w:lineRule="exact"/>
        <w:rPr>
          <w:rFonts w:ascii="黑体" w:hAnsi="黑体" w:eastAsia="黑体" w:cs="黑体"/>
          <w:sz w:val="28"/>
          <w:szCs w:val="28"/>
        </w:rPr>
      </w:pPr>
    </w:p>
    <w:p>
      <w:pPr>
        <w:spacing w:line="300" w:lineRule="exact"/>
        <w:rPr>
          <w:rFonts w:hint="eastAsia" w:ascii="仿宋" w:hAnsi="仿宋" w:eastAsia="仿宋" w:cs="仿宋"/>
          <w:bCs/>
          <w:sz w:val="28"/>
          <w:szCs w:val="28"/>
        </w:rPr>
      </w:pPr>
    </w:p>
    <w:p>
      <w:pPr>
        <w:spacing w:line="300" w:lineRule="exact"/>
        <w:rPr>
          <w:rFonts w:hint="eastAsia" w:ascii="仿宋" w:hAnsi="仿宋" w:eastAsia="仿宋" w:cs="仿宋"/>
          <w:bCs/>
          <w:sz w:val="28"/>
          <w:szCs w:val="28"/>
        </w:rPr>
      </w:pPr>
    </w:p>
    <w:p>
      <w:pPr>
        <w:spacing w:line="300" w:lineRule="exact"/>
        <w:rPr>
          <w:rFonts w:hint="eastAsia" w:ascii="仿宋" w:hAnsi="仿宋" w:eastAsia="仿宋" w:cs="仿宋"/>
          <w:bCs/>
          <w:sz w:val="28"/>
          <w:szCs w:val="28"/>
        </w:rPr>
      </w:pPr>
    </w:p>
    <w:p>
      <w:pPr>
        <w:spacing w:line="300" w:lineRule="exact"/>
        <w:rPr>
          <w:rFonts w:hint="eastAsia" w:ascii="仿宋" w:hAnsi="仿宋" w:eastAsia="仿宋" w:cs="仿宋"/>
          <w:bCs/>
          <w:sz w:val="28"/>
          <w:szCs w:val="28"/>
        </w:rPr>
      </w:pPr>
    </w:p>
    <w:p>
      <w:pPr>
        <w:spacing w:line="300" w:lineRule="exact"/>
        <w:rPr>
          <w:rFonts w:hint="eastAsia" w:ascii="仿宋" w:hAnsi="仿宋" w:eastAsia="仿宋" w:cs="仿宋"/>
          <w:bCs/>
          <w:sz w:val="28"/>
          <w:szCs w:val="28"/>
        </w:rPr>
      </w:pPr>
    </w:p>
    <w:p>
      <w:pPr>
        <w:spacing w:line="300" w:lineRule="exact"/>
        <w:rPr>
          <w:rFonts w:hint="eastAsia" w:ascii="黑体" w:hAnsi="黑体" w:eastAsia="黑体" w:cs="黑体"/>
          <w:bCs/>
          <w:color w:val="000000"/>
          <w:sz w:val="28"/>
          <w:szCs w:val="28"/>
        </w:rPr>
      </w:pPr>
    </w:p>
    <w:p>
      <w:pPr>
        <w:spacing w:line="300" w:lineRule="exact"/>
        <w:rPr>
          <w:rFonts w:hint="eastAsia" w:ascii="黑体" w:hAnsi="黑体" w:eastAsia="黑体" w:cs="黑体"/>
          <w:bCs/>
          <w:color w:val="000000"/>
          <w:sz w:val="28"/>
          <w:szCs w:val="28"/>
        </w:rPr>
      </w:pPr>
    </w:p>
    <w:p>
      <w:pPr>
        <w:spacing w:line="300" w:lineRule="exact"/>
        <w:rPr>
          <w:rFonts w:ascii="黑体" w:hAnsi="黑体" w:eastAsia="黑体" w:cs="黑体"/>
          <w:bCs/>
          <w:color w:val="000000"/>
          <w:sz w:val="28"/>
          <w:szCs w:val="28"/>
        </w:rPr>
      </w:pPr>
    </w:p>
    <w:p>
      <w:pPr>
        <w:spacing w:line="300" w:lineRule="exact"/>
        <w:rPr>
          <w:rFonts w:ascii="黑体" w:hAnsi="黑体" w:eastAsia="黑体" w:cs="黑体"/>
          <w:bCs/>
          <w:color w:val="000000"/>
          <w:sz w:val="28"/>
          <w:szCs w:val="28"/>
        </w:rPr>
      </w:pPr>
      <w:r>
        <w:rPr>
          <w:rFonts w:hint="eastAsia" w:ascii="黑体" w:hAnsi="黑体" w:eastAsia="黑体" w:cs="黑体"/>
          <w:bCs/>
          <w:color w:val="000000"/>
          <w:sz w:val="28"/>
          <w:szCs w:val="28"/>
        </w:rPr>
        <w:t>附件一.培训内容</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（一）相关政策解析</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1.《政</w:t>
      </w:r>
      <w:r>
        <w:rPr>
          <w:rFonts w:ascii="仿宋" w:hAnsi="仿宋" w:eastAsia="仿宋" w:cs="Times New Roman"/>
          <w:color w:val="000000"/>
          <w:sz w:val="28"/>
          <w:szCs w:val="28"/>
        </w:rPr>
        <w:t>府投资条例</w:t>
      </w:r>
      <w:r>
        <w:rPr>
          <w:rFonts w:hint="eastAsia" w:ascii="仿宋" w:hAnsi="仿宋" w:eastAsia="仿宋" w:cs="Times New Roman"/>
          <w:color w:val="000000"/>
          <w:sz w:val="28"/>
          <w:szCs w:val="28"/>
        </w:rPr>
        <w:t>》（</w:t>
      </w:r>
      <w:r>
        <w:rPr>
          <w:rFonts w:ascii="仿宋" w:hAnsi="仿宋" w:eastAsia="仿宋" w:cs="Times New Roman"/>
          <w:color w:val="000000"/>
          <w:sz w:val="28"/>
          <w:szCs w:val="28"/>
        </w:rPr>
        <w:t>国发</w:t>
      </w:r>
      <w:r>
        <w:rPr>
          <w:rFonts w:hint="eastAsia" w:ascii="仿宋" w:hAnsi="仿宋" w:eastAsia="仿宋" w:cs="Times New Roman"/>
          <w:color w:val="000000"/>
          <w:sz w:val="28"/>
          <w:szCs w:val="28"/>
        </w:rPr>
        <w:t>〔</w:t>
      </w:r>
      <w:r>
        <w:rPr>
          <w:rFonts w:ascii="仿宋" w:hAnsi="仿宋" w:eastAsia="仿宋" w:cs="Times New Roman"/>
          <w:color w:val="000000"/>
          <w:sz w:val="28"/>
          <w:szCs w:val="28"/>
        </w:rPr>
        <w:t>201</w:t>
      </w:r>
      <w:r>
        <w:rPr>
          <w:rFonts w:hint="eastAsia" w:ascii="仿宋" w:hAnsi="仿宋" w:eastAsia="仿宋" w:cs="Times New Roman"/>
          <w:color w:val="000000"/>
          <w:sz w:val="28"/>
          <w:szCs w:val="28"/>
        </w:rPr>
        <w:t>9</w:t>
      </w:r>
      <w:r>
        <w:rPr>
          <w:rFonts w:ascii="仿宋" w:hAnsi="仿宋" w:eastAsia="仿宋" w:cs="Times New Roman"/>
          <w:color w:val="000000"/>
          <w:sz w:val="28"/>
          <w:szCs w:val="28"/>
        </w:rPr>
        <w:t>〕712号</w:t>
      </w:r>
      <w:r>
        <w:rPr>
          <w:rFonts w:hint="eastAsia" w:ascii="仿宋" w:hAnsi="仿宋" w:eastAsia="仿宋" w:cs="Times New Roman"/>
          <w:color w:val="000000"/>
          <w:sz w:val="28"/>
          <w:szCs w:val="28"/>
        </w:rPr>
        <w:t>）及《企业投资项目核准和备案管理条例》（国发〔2016〕673号）要点解读</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2.《关于防范化解融资平台公司到期存量地方政府隐性债务风险的意见》（国办函〔2019〕40号）要点解读</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3.中发〔</w:t>
      </w:r>
      <w:r>
        <w:rPr>
          <w:rFonts w:ascii="仿宋" w:hAnsi="仿宋" w:eastAsia="仿宋" w:cs="Times New Roman"/>
          <w:color w:val="000000"/>
          <w:sz w:val="28"/>
          <w:szCs w:val="28"/>
        </w:rPr>
        <w:t>2018〕27号</w:t>
      </w:r>
      <w:r>
        <w:rPr>
          <w:rFonts w:hint="eastAsia" w:ascii="仿宋" w:hAnsi="仿宋" w:eastAsia="仿宋" w:cs="Times New Roman"/>
          <w:color w:val="000000"/>
          <w:sz w:val="28"/>
          <w:szCs w:val="28"/>
        </w:rPr>
        <w:t>、财预〔</w:t>
      </w:r>
      <w:r>
        <w:rPr>
          <w:rFonts w:ascii="仿宋" w:hAnsi="仿宋" w:eastAsia="仿宋" w:cs="Times New Roman"/>
          <w:color w:val="000000"/>
          <w:sz w:val="28"/>
          <w:szCs w:val="28"/>
        </w:rPr>
        <w:t>2017〕50号、财预〔2017〕87号、财金〔2018〕23号、</w:t>
      </w:r>
      <w:r>
        <w:rPr>
          <w:rFonts w:hint="eastAsia" w:ascii="仿宋" w:hAnsi="仿宋" w:eastAsia="仿宋" w:cs="Times New Roman"/>
          <w:color w:val="000000"/>
          <w:sz w:val="28"/>
          <w:szCs w:val="28"/>
        </w:rPr>
        <w:t>发改办财金〔</w:t>
      </w:r>
      <w:r>
        <w:rPr>
          <w:rFonts w:ascii="仿宋" w:hAnsi="仿宋" w:eastAsia="仿宋" w:cs="Times New Roman"/>
          <w:color w:val="000000"/>
          <w:sz w:val="28"/>
          <w:szCs w:val="28"/>
        </w:rPr>
        <w:t>2018〕194号文</w:t>
      </w:r>
      <w:r>
        <w:rPr>
          <w:rFonts w:hint="eastAsia" w:ascii="仿宋" w:hAnsi="仿宋" w:eastAsia="仿宋" w:cs="Times New Roman"/>
          <w:color w:val="000000"/>
          <w:sz w:val="28"/>
          <w:szCs w:val="28"/>
        </w:rPr>
        <w:t>、银监发〔</w:t>
      </w:r>
      <w:r>
        <w:rPr>
          <w:rFonts w:ascii="仿宋" w:hAnsi="仿宋" w:eastAsia="仿宋" w:cs="Times New Roman"/>
          <w:color w:val="000000"/>
          <w:sz w:val="28"/>
          <w:szCs w:val="28"/>
        </w:rPr>
        <w:t>2017〕55号</w:t>
      </w:r>
      <w:r>
        <w:rPr>
          <w:rFonts w:hint="eastAsia" w:ascii="仿宋" w:hAnsi="仿宋" w:eastAsia="仿宋" w:cs="Times New Roman"/>
          <w:color w:val="000000"/>
          <w:sz w:val="28"/>
          <w:szCs w:val="28"/>
        </w:rPr>
        <w:t>、保监发〔</w:t>
      </w:r>
      <w:r>
        <w:rPr>
          <w:rFonts w:ascii="仿宋" w:hAnsi="仿宋" w:eastAsia="仿宋" w:cs="Times New Roman"/>
          <w:color w:val="000000"/>
          <w:sz w:val="28"/>
          <w:szCs w:val="28"/>
        </w:rPr>
        <w:t>2018〕6号</w:t>
      </w:r>
      <w:r>
        <w:rPr>
          <w:rFonts w:hint="eastAsia" w:ascii="仿宋" w:hAnsi="仿宋" w:eastAsia="仿宋" w:cs="Times New Roman"/>
          <w:color w:val="000000"/>
          <w:sz w:val="28"/>
          <w:szCs w:val="28"/>
        </w:rPr>
        <w:t>文等配套文件解析</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（二）地方政府债务的认定与化解</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w:t>
      </w:r>
      <w:r>
        <w:rPr>
          <w:rFonts w:ascii="仿宋" w:hAnsi="仿宋" w:eastAsia="仿宋" w:cs="Times New Roman"/>
          <w:color w:val="000000"/>
          <w:sz w:val="28"/>
          <w:szCs w:val="28"/>
        </w:rPr>
        <w:t>地方政府相关债务分类</w:t>
      </w:r>
      <w:r>
        <w:rPr>
          <w:rFonts w:hint="eastAsia" w:ascii="仿宋" w:hAnsi="仿宋" w:eastAsia="仿宋" w:cs="Times New Roman"/>
          <w:color w:val="000000"/>
          <w:sz w:val="28"/>
          <w:szCs w:val="28"/>
        </w:rPr>
        <w:t>与认定</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w:t>
      </w:r>
      <w:r>
        <w:rPr>
          <w:rFonts w:ascii="仿宋" w:hAnsi="仿宋" w:eastAsia="仿宋" w:cs="Times New Roman"/>
          <w:color w:val="000000"/>
          <w:sz w:val="28"/>
          <w:szCs w:val="28"/>
        </w:rPr>
        <w:t>地方政府性债务</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w:t>
      </w:r>
      <w:r>
        <w:rPr>
          <w:rFonts w:ascii="仿宋" w:hAnsi="仿宋" w:eastAsia="仿宋" w:cs="Times New Roman"/>
          <w:color w:val="000000"/>
          <w:sz w:val="28"/>
          <w:szCs w:val="28"/>
        </w:rPr>
        <w:t>地方政府隐性债务</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w:t>
      </w:r>
      <w:r>
        <w:rPr>
          <w:rFonts w:ascii="仿宋" w:hAnsi="仿宋" w:eastAsia="仿宋" w:cs="Times New Roman"/>
          <w:color w:val="000000"/>
          <w:sz w:val="28"/>
          <w:szCs w:val="28"/>
        </w:rPr>
        <w:t>政府隐性债务的化解</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（三）地方政府投融资模式的重构</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1.地方政府投融资模式重构的背景</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2.地方政府投融资模式的重构思路</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w:t>
      </w:r>
      <w:r>
        <w:rPr>
          <w:rFonts w:ascii="仿宋" w:hAnsi="仿宋" w:eastAsia="仿宋" w:cs="Times New Roman"/>
          <w:color w:val="000000"/>
          <w:sz w:val="28"/>
          <w:szCs w:val="28"/>
        </w:rPr>
        <w:t>1</w:t>
      </w:r>
      <w:r>
        <w:rPr>
          <w:rFonts w:hint="eastAsia" w:ascii="仿宋" w:hAnsi="仿宋" w:eastAsia="仿宋" w:cs="Times New Roman"/>
          <w:color w:val="000000"/>
          <w:sz w:val="28"/>
          <w:szCs w:val="28"/>
        </w:rPr>
        <w:t>）</w:t>
      </w:r>
      <w:r>
        <w:rPr>
          <w:rFonts w:ascii="仿宋" w:hAnsi="仿宋" w:eastAsia="仿宋" w:cs="Times New Roman"/>
          <w:color w:val="000000"/>
          <w:sz w:val="28"/>
          <w:szCs w:val="28"/>
        </w:rPr>
        <w:t>政府融资平台公司职能的重新定位</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w:t>
      </w:r>
      <w:r>
        <w:rPr>
          <w:rFonts w:ascii="仿宋" w:hAnsi="仿宋" w:eastAsia="仿宋" w:cs="Times New Roman"/>
          <w:color w:val="000000"/>
          <w:sz w:val="28"/>
          <w:szCs w:val="28"/>
        </w:rPr>
        <w:t>2</w:t>
      </w:r>
      <w:r>
        <w:rPr>
          <w:rFonts w:hint="eastAsia" w:ascii="仿宋" w:hAnsi="仿宋" w:eastAsia="仿宋" w:cs="Times New Roman"/>
          <w:color w:val="000000"/>
          <w:sz w:val="28"/>
          <w:szCs w:val="28"/>
        </w:rPr>
        <w:t>）地方</w:t>
      </w:r>
      <w:r>
        <w:rPr>
          <w:rFonts w:ascii="仿宋" w:hAnsi="仿宋" w:eastAsia="仿宋" w:cs="Times New Roman"/>
          <w:color w:val="000000"/>
          <w:sz w:val="28"/>
          <w:szCs w:val="28"/>
        </w:rPr>
        <w:t>投融资交易结构的转变</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w:t>
      </w:r>
      <w:r>
        <w:rPr>
          <w:rFonts w:ascii="仿宋" w:hAnsi="仿宋" w:eastAsia="仿宋" w:cs="Times New Roman"/>
          <w:color w:val="000000"/>
          <w:sz w:val="28"/>
          <w:szCs w:val="28"/>
        </w:rPr>
        <w:t>3</w:t>
      </w:r>
      <w:r>
        <w:rPr>
          <w:rFonts w:hint="eastAsia" w:ascii="仿宋" w:hAnsi="仿宋" w:eastAsia="仿宋" w:cs="Times New Roman"/>
          <w:color w:val="000000"/>
          <w:sz w:val="28"/>
          <w:szCs w:val="28"/>
        </w:rPr>
        <w:t>）</w:t>
      </w:r>
      <w:r>
        <w:rPr>
          <w:rFonts w:ascii="仿宋" w:hAnsi="仿宋" w:eastAsia="仿宋" w:cs="Times New Roman"/>
          <w:color w:val="000000"/>
          <w:sz w:val="28"/>
          <w:szCs w:val="28"/>
        </w:rPr>
        <w:t>提供</w:t>
      </w:r>
      <w:r>
        <w:rPr>
          <w:rFonts w:hint="eastAsia" w:ascii="仿宋" w:hAnsi="仿宋" w:eastAsia="仿宋" w:cs="Times New Roman"/>
          <w:color w:val="000000"/>
          <w:sz w:val="28"/>
          <w:szCs w:val="28"/>
        </w:rPr>
        <w:t>基建及公共</w:t>
      </w:r>
      <w:r>
        <w:rPr>
          <w:rFonts w:ascii="仿宋" w:hAnsi="仿宋" w:eastAsia="仿宋" w:cs="Times New Roman"/>
          <w:color w:val="000000"/>
          <w:sz w:val="28"/>
          <w:szCs w:val="28"/>
        </w:rPr>
        <w:t>服务市场化模式的转变</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（四）平台公司市场化转型的政策规定及转型的目标</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1.平台公司的认定</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2.平台公司转型的目标</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（五）平台公司转型的业务内容之一：资产与债权债务方面</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1.资产的认定及处置</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2.债权的认定与处置</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3.债务的认定与处置</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（六）平台公司转型的业务内容之二：企业战略发展规划</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1.企业战略发展规划的思路</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w:t>
      </w:r>
      <w:r>
        <w:rPr>
          <w:rFonts w:ascii="仿宋" w:hAnsi="仿宋" w:eastAsia="仿宋" w:cs="Times New Roman"/>
          <w:color w:val="000000"/>
          <w:sz w:val="28"/>
          <w:szCs w:val="28"/>
        </w:rPr>
        <w:t>城市运营商</w:t>
      </w:r>
      <w:r>
        <w:rPr>
          <w:rFonts w:hint="eastAsia" w:ascii="仿宋" w:hAnsi="仿宋" w:eastAsia="仿宋" w:cs="Times New Roman"/>
          <w:color w:val="000000"/>
          <w:sz w:val="28"/>
          <w:szCs w:val="28"/>
        </w:rPr>
        <w:t>—平台转型的核心战略</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w:t>
      </w:r>
      <w:r>
        <w:rPr>
          <w:rFonts w:ascii="仿宋" w:hAnsi="仿宋" w:eastAsia="仿宋" w:cs="Times New Roman"/>
          <w:color w:val="000000"/>
          <w:sz w:val="28"/>
          <w:szCs w:val="28"/>
        </w:rPr>
        <w:t>产业地产商</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4.布局</w:t>
      </w:r>
      <w:r>
        <w:rPr>
          <w:rFonts w:ascii="仿宋" w:hAnsi="仿宋" w:eastAsia="仿宋" w:cs="Times New Roman"/>
          <w:color w:val="000000"/>
          <w:sz w:val="28"/>
          <w:szCs w:val="28"/>
        </w:rPr>
        <w:t>金融业务</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5.</w:t>
      </w:r>
      <w:r>
        <w:rPr>
          <w:rFonts w:ascii="仿宋" w:hAnsi="仿宋" w:eastAsia="仿宋" w:cs="Times New Roman"/>
          <w:color w:val="000000"/>
          <w:sz w:val="28"/>
          <w:szCs w:val="28"/>
        </w:rPr>
        <w:t>转型平台如何参与当地优势及特色产业</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6.</w:t>
      </w:r>
      <w:r>
        <w:rPr>
          <w:rFonts w:ascii="仿宋" w:hAnsi="仿宋" w:eastAsia="仿宋" w:cs="Times New Roman"/>
          <w:color w:val="000000"/>
          <w:sz w:val="28"/>
          <w:szCs w:val="28"/>
        </w:rPr>
        <w:t>平台公司核心业务体系的构建及盈利模式的设计（基础设施投融资、国资经营、产业引导、金融等）</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7.</w:t>
      </w:r>
      <w:r>
        <w:rPr>
          <w:rFonts w:ascii="仿宋" w:hAnsi="仿宋" w:eastAsia="仿宋" w:cs="Times New Roman"/>
          <w:color w:val="000000"/>
          <w:sz w:val="28"/>
          <w:szCs w:val="28"/>
        </w:rPr>
        <w:t>委托代建、融资代建、购买服务、</w:t>
      </w:r>
      <w:r>
        <w:rPr>
          <w:rFonts w:hint="eastAsia" w:ascii="仿宋" w:hAnsi="仿宋" w:eastAsia="仿宋" w:cs="Times New Roman"/>
          <w:color w:val="000000"/>
          <w:sz w:val="28"/>
          <w:szCs w:val="28"/>
        </w:rPr>
        <w:t>特许经营、</w:t>
      </w:r>
      <w:r>
        <w:rPr>
          <w:rFonts w:ascii="仿宋" w:hAnsi="仿宋" w:eastAsia="仿宋" w:cs="Times New Roman"/>
          <w:color w:val="000000"/>
          <w:sz w:val="28"/>
          <w:szCs w:val="28"/>
        </w:rPr>
        <w:t>“基金+建设”、PPP</w:t>
      </w:r>
      <w:r>
        <w:rPr>
          <w:rFonts w:hint="eastAsia" w:ascii="仿宋" w:hAnsi="仿宋" w:eastAsia="仿宋" w:cs="Times New Roman"/>
          <w:color w:val="000000"/>
          <w:sz w:val="28"/>
          <w:szCs w:val="28"/>
        </w:rPr>
        <w:t>、ABO、资源补偿</w:t>
      </w:r>
      <w:r>
        <w:rPr>
          <w:rFonts w:ascii="仿宋" w:hAnsi="仿宋" w:eastAsia="仿宋" w:cs="Times New Roman"/>
          <w:color w:val="000000"/>
          <w:sz w:val="28"/>
          <w:szCs w:val="28"/>
        </w:rPr>
        <w:t>等模式的对比解读及合规运作</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（七）平台公司转型的业务内容之三：组织架构和现代企业制度核心要点</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1.组织架构的设立</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2.公益类与商业类企业的考核指标</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3.股权多元化及混合所有制改革在平台公司转型中的应用</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4.债转股在平台公司转型中的应用</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5.职能部门的设置</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6.企业员工的薪资、绩效与激励方案</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（八）政府项目投融资模式简述</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1.政府直接投资</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2.政府合规性融资</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3.企业投资</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（九）政府直接投资模式</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1.政府投资条例核心解读</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2.政府专项债</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（1）专项债发行现状</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（2）专项债发行趋势（即9.4国务院常务会议要点）</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（3）专项债用于资本金的规定</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（4）专项债的收入来源分析及与市场化融资的综合运用</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（5）专项债案例分析</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（十）公益类经营性项目分析</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1.项目种类划分及分类性质分析</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2.运营类企业性质分析</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3.地方国有企业如何开展公益性项目模式（政府投资项目VS企业投资项目）</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（十一）政府合规性融资模式</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1.P</w:t>
      </w:r>
      <w:r>
        <w:rPr>
          <w:rFonts w:ascii="仿宋" w:hAnsi="仿宋" w:eastAsia="仿宋" w:cs="Times New Roman"/>
          <w:color w:val="000000"/>
          <w:sz w:val="28"/>
          <w:szCs w:val="28"/>
        </w:rPr>
        <w:t>PP</w:t>
      </w:r>
      <w:r>
        <w:rPr>
          <w:rFonts w:hint="eastAsia" w:ascii="仿宋" w:hAnsi="仿宋" w:eastAsia="仿宋" w:cs="Times New Roman"/>
          <w:color w:val="000000"/>
          <w:sz w:val="28"/>
          <w:szCs w:val="28"/>
        </w:rPr>
        <w:t>模式</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（1）1098号文核心要点解读</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（2）平台公司参与P</w:t>
      </w:r>
      <w:r>
        <w:rPr>
          <w:rFonts w:ascii="仿宋" w:hAnsi="仿宋" w:eastAsia="仿宋" w:cs="Times New Roman"/>
          <w:color w:val="000000"/>
          <w:sz w:val="28"/>
          <w:szCs w:val="28"/>
        </w:rPr>
        <w:t>PP</w:t>
      </w:r>
      <w:r>
        <w:rPr>
          <w:rFonts w:hint="eastAsia" w:ascii="仿宋" w:hAnsi="仿宋" w:eastAsia="仿宋" w:cs="Times New Roman"/>
          <w:color w:val="000000"/>
          <w:sz w:val="28"/>
          <w:szCs w:val="28"/>
        </w:rPr>
        <w:t>模式的应用</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（3）经营性项目的P</w:t>
      </w:r>
      <w:r>
        <w:rPr>
          <w:rFonts w:ascii="仿宋" w:hAnsi="仿宋" w:eastAsia="仿宋" w:cs="Times New Roman"/>
          <w:color w:val="000000"/>
          <w:sz w:val="28"/>
          <w:szCs w:val="28"/>
        </w:rPr>
        <w:t>PP</w:t>
      </w:r>
      <w:r>
        <w:rPr>
          <w:rFonts w:hint="eastAsia" w:ascii="仿宋" w:hAnsi="仿宋" w:eastAsia="仿宋" w:cs="Times New Roman"/>
          <w:color w:val="000000"/>
          <w:sz w:val="28"/>
          <w:szCs w:val="28"/>
        </w:rPr>
        <w:t>要点</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（4）非经营性项目的P</w:t>
      </w:r>
      <w:r>
        <w:rPr>
          <w:rFonts w:ascii="仿宋" w:hAnsi="仿宋" w:eastAsia="仿宋" w:cs="Times New Roman"/>
          <w:color w:val="000000"/>
          <w:sz w:val="28"/>
          <w:szCs w:val="28"/>
        </w:rPr>
        <w:t>PP</w:t>
      </w:r>
      <w:r>
        <w:rPr>
          <w:rFonts w:hint="eastAsia" w:ascii="仿宋" w:hAnsi="仿宋" w:eastAsia="仿宋" w:cs="Times New Roman"/>
          <w:color w:val="000000"/>
          <w:sz w:val="28"/>
          <w:szCs w:val="28"/>
        </w:rPr>
        <w:t>要点</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（5）社会资本与平台公司的合作模式</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（6）PPP模式的财务测算要点解析及实操案例</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（7）PPP模式的绩效考核安排及实务操作</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2.特许经营模式</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3.政府购买服务</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（十二）转型平台公司市场化承接政府公益性项目</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1.平台公司参与公益性项目的政策性支持</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2.国有企业参与公益性项目的合规性流程</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3.企业投资项目的核准与备案</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4.平台公司市场化参与公益性项目的模式介绍（ABO、自求平衡、资源补偿、融资代建等模式）</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（十三）产业新城及片区综合开发</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1.采用开发型P</w:t>
      </w:r>
      <w:r>
        <w:rPr>
          <w:rFonts w:ascii="仿宋" w:hAnsi="仿宋" w:eastAsia="仿宋" w:cs="Times New Roman"/>
          <w:color w:val="000000"/>
          <w:sz w:val="28"/>
          <w:szCs w:val="28"/>
        </w:rPr>
        <w:t>PP</w:t>
      </w:r>
      <w:r>
        <w:rPr>
          <w:rFonts w:hint="eastAsia" w:ascii="仿宋" w:hAnsi="仿宋" w:eastAsia="仿宋" w:cs="Times New Roman"/>
          <w:color w:val="000000"/>
          <w:sz w:val="28"/>
          <w:szCs w:val="28"/>
        </w:rPr>
        <w:t>模式</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2.非P</w:t>
      </w:r>
      <w:r>
        <w:rPr>
          <w:rFonts w:ascii="仿宋" w:hAnsi="仿宋" w:eastAsia="仿宋" w:cs="Times New Roman"/>
          <w:color w:val="000000"/>
          <w:sz w:val="28"/>
          <w:szCs w:val="28"/>
        </w:rPr>
        <w:t>PP</w:t>
      </w:r>
      <w:r>
        <w:rPr>
          <w:rFonts w:hint="eastAsia" w:ascii="仿宋" w:hAnsi="仿宋" w:eastAsia="仿宋" w:cs="Times New Roman"/>
          <w:color w:val="000000"/>
          <w:sz w:val="28"/>
          <w:szCs w:val="28"/>
        </w:rPr>
        <w:t>模式下平台公司的参与模式（政府信用转为企业信用进行开发）</w:t>
      </w:r>
    </w:p>
    <w:p>
      <w:pPr>
        <w:spacing w:line="320" w:lineRule="exact"/>
        <w:rPr>
          <w:rFonts w:ascii="仿宋" w:hAnsi="仿宋" w:eastAsia="仿宋" w:cs="Times New Roman"/>
          <w:b/>
          <w:color w:val="000000"/>
          <w:sz w:val="28"/>
          <w:szCs w:val="28"/>
        </w:rPr>
      </w:pPr>
      <w:r>
        <w:rPr>
          <w:rFonts w:hint="eastAsia" w:ascii="仿宋" w:hAnsi="仿宋" w:eastAsia="仿宋" w:cs="Times New Roman"/>
          <w:b/>
          <w:color w:val="000000"/>
          <w:sz w:val="28"/>
          <w:szCs w:val="28"/>
        </w:rPr>
        <w:t>（十四）产业基金</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1.平台产业基金与政府引导基金的区别和联系</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2.产业基金的种类</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3.基金合伙人的选择</w:t>
      </w:r>
    </w:p>
    <w:p>
      <w:pPr>
        <w:spacing w:line="320" w:lineRule="exact"/>
        <w:ind w:firstLine="560" w:firstLineChars="200"/>
        <w:rPr>
          <w:rFonts w:ascii="仿宋" w:hAnsi="仿宋" w:eastAsia="仿宋" w:cs="Times New Roman"/>
          <w:color w:val="000000"/>
          <w:sz w:val="28"/>
          <w:szCs w:val="28"/>
        </w:rPr>
      </w:pPr>
      <w:r>
        <w:rPr>
          <w:rFonts w:hint="eastAsia" w:ascii="仿宋" w:hAnsi="仿宋" w:eastAsia="仿宋" w:cs="Times New Roman"/>
          <w:color w:val="000000"/>
          <w:sz w:val="28"/>
          <w:szCs w:val="28"/>
        </w:rPr>
        <w:t>4.</w:t>
      </w:r>
      <w:r>
        <w:rPr>
          <w:rFonts w:ascii="仿宋" w:hAnsi="仿宋" w:eastAsia="仿宋" w:cs="Times New Roman"/>
          <w:color w:val="000000"/>
          <w:sz w:val="28"/>
          <w:szCs w:val="28"/>
        </w:rPr>
        <w:t>基金的合规性操作模式</w:t>
      </w:r>
    </w:p>
    <w:p>
      <w:pPr>
        <w:widowControl/>
        <w:jc w:val="center"/>
        <w:rPr>
          <w:rStyle w:val="8"/>
          <w:rFonts w:ascii="黑体" w:hAnsi="黑体" w:eastAsia="黑体" w:cs="黑体"/>
          <w:b w:val="0"/>
          <w:bCs w:val="0"/>
          <w:color w:val="000000"/>
          <w:sz w:val="28"/>
          <w:szCs w:val="28"/>
          <w:lang w:val="zh-CN"/>
        </w:rPr>
      </w:pPr>
      <w:r>
        <w:rPr>
          <w:rStyle w:val="8"/>
          <w:rFonts w:ascii="黑体" w:hAnsi="黑体" w:eastAsia="黑体" w:cs="黑体"/>
          <w:b w:val="0"/>
          <w:bCs w:val="0"/>
          <w:color w:val="000000"/>
          <w:sz w:val="28"/>
          <w:szCs w:val="28"/>
        </w:rPr>
        <w:t>附件</w:t>
      </w:r>
      <w:r>
        <w:rPr>
          <w:rStyle w:val="8"/>
          <w:rFonts w:hint="eastAsia" w:ascii="黑体" w:hAnsi="黑体" w:eastAsia="黑体" w:cs="黑体"/>
          <w:b w:val="0"/>
          <w:bCs w:val="0"/>
          <w:color w:val="000000"/>
          <w:sz w:val="28"/>
          <w:szCs w:val="28"/>
        </w:rPr>
        <w:t>二.</w:t>
      </w:r>
      <w:r>
        <w:rPr>
          <w:rStyle w:val="8"/>
          <w:rFonts w:hint="eastAsia" w:ascii="黑体" w:hAnsi="黑体" w:eastAsia="黑体" w:cs="黑体"/>
          <w:b w:val="0"/>
          <w:bCs w:val="0"/>
          <w:color w:val="000000"/>
          <w:sz w:val="28"/>
          <w:szCs w:val="28"/>
          <w:lang w:val="zh-CN"/>
        </w:rPr>
        <w:t>《政府投资条例》稳投资形势下地方政府项目的谋划与落地及平台公司市场化转型发展的模式与实践培训班</w:t>
      </w:r>
      <w:r>
        <w:rPr>
          <w:rStyle w:val="8"/>
          <w:rFonts w:hint="eastAsia" w:ascii="黑体" w:hAnsi="黑体" w:eastAsia="黑体" w:cs="黑体"/>
          <w:b w:val="0"/>
          <w:bCs w:val="0"/>
          <w:color w:val="000000"/>
          <w:sz w:val="28"/>
          <w:szCs w:val="28"/>
        </w:rPr>
        <w:t>报名</w:t>
      </w:r>
      <w:r>
        <w:rPr>
          <w:rStyle w:val="8"/>
          <w:rFonts w:ascii="黑体" w:hAnsi="黑体" w:eastAsia="黑体" w:cs="黑体"/>
          <w:b w:val="0"/>
          <w:bCs w:val="0"/>
          <w:color w:val="000000"/>
          <w:sz w:val="28"/>
          <w:szCs w:val="28"/>
          <w:lang w:val="zh-CN"/>
        </w:rPr>
        <w:t>回执表</w:t>
      </w:r>
    </w:p>
    <w:tbl>
      <w:tblPr>
        <w:tblStyle w:val="6"/>
        <w:tblpPr w:leftFromText="180" w:rightFromText="180" w:vertAnchor="page" w:horzAnchor="margin" w:tblpY="276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50"/>
        <w:gridCol w:w="849"/>
        <w:gridCol w:w="1282"/>
        <w:gridCol w:w="1984"/>
        <w:gridCol w:w="157"/>
        <w:gridCol w:w="68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gridSpan w:val="2"/>
            <w:vAlign w:val="center"/>
          </w:tcPr>
          <w:p>
            <w:pPr>
              <w:spacing w:line="360" w:lineRule="exact"/>
              <w:ind w:right="-147" w:rightChars="-70"/>
              <w:jc w:val="center"/>
              <w:rPr>
                <w:rFonts w:ascii="仿宋_GB2312" w:eastAsia="仿宋_GB2312"/>
                <w:sz w:val="24"/>
              </w:rPr>
            </w:pPr>
            <w:r>
              <w:rPr>
                <w:rFonts w:ascii="仿宋_GB2312" w:eastAsia="仿宋_GB2312"/>
                <w:sz w:val="24"/>
              </w:rPr>
              <w:t>单位名称</w:t>
            </w:r>
          </w:p>
        </w:tc>
        <w:tc>
          <w:tcPr>
            <w:tcW w:w="4959" w:type="dxa"/>
            <w:gridSpan w:val="5"/>
            <w:vAlign w:val="center"/>
          </w:tcPr>
          <w:p>
            <w:pPr>
              <w:spacing w:line="360" w:lineRule="exact"/>
              <w:ind w:right="-147" w:rightChars="-70"/>
              <w:jc w:val="center"/>
              <w:rPr>
                <w:rFonts w:ascii="仿宋_GB2312" w:eastAsia="仿宋_GB2312"/>
                <w:sz w:val="24"/>
              </w:rPr>
            </w:pPr>
          </w:p>
        </w:tc>
        <w:tc>
          <w:tcPr>
            <w:tcW w:w="850" w:type="dxa"/>
            <w:gridSpan w:val="2"/>
            <w:vAlign w:val="center"/>
          </w:tcPr>
          <w:p>
            <w:pPr>
              <w:spacing w:line="360" w:lineRule="exact"/>
              <w:ind w:right="-147" w:rightChars="-70"/>
              <w:rPr>
                <w:rFonts w:ascii="仿宋_GB2312" w:eastAsia="仿宋_GB2312"/>
                <w:sz w:val="24"/>
              </w:rPr>
            </w:pPr>
            <w:r>
              <w:rPr>
                <w:rFonts w:ascii="仿宋_GB2312" w:eastAsia="仿宋_GB2312"/>
                <w:sz w:val="24"/>
              </w:rPr>
              <w:t>邮编</w:t>
            </w:r>
          </w:p>
        </w:tc>
        <w:tc>
          <w:tcPr>
            <w:tcW w:w="2275" w:type="dxa"/>
            <w:gridSpan w:val="2"/>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gridSpan w:val="2"/>
            <w:vAlign w:val="center"/>
          </w:tcPr>
          <w:p>
            <w:pPr>
              <w:spacing w:line="360" w:lineRule="exact"/>
              <w:ind w:right="-147" w:rightChars="-70"/>
              <w:jc w:val="center"/>
              <w:rPr>
                <w:rFonts w:ascii="仿宋_GB2312" w:eastAsia="仿宋_GB2312"/>
                <w:sz w:val="24"/>
              </w:rPr>
            </w:pPr>
            <w:r>
              <w:rPr>
                <w:rFonts w:ascii="仿宋_GB2312" w:eastAsia="仿宋_GB2312"/>
                <w:sz w:val="24"/>
              </w:rPr>
              <w:t>单位地址</w:t>
            </w:r>
          </w:p>
        </w:tc>
        <w:tc>
          <w:tcPr>
            <w:tcW w:w="8084" w:type="dxa"/>
            <w:gridSpan w:val="9"/>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gridSpan w:val="2"/>
            <w:vAlign w:val="center"/>
          </w:tcPr>
          <w:p>
            <w:pPr>
              <w:spacing w:line="360" w:lineRule="exact"/>
              <w:ind w:right="-147" w:rightChars="-70"/>
              <w:jc w:val="center"/>
              <w:rPr>
                <w:rFonts w:ascii="仿宋_GB2312" w:eastAsia="仿宋_GB2312"/>
                <w:sz w:val="24"/>
              </w:rPr>
            </w:pPr>
            <w:r>
              <w:rPr>
                <w:rFonts w:ascii="仿宋_GB2312" w:eastAsia="仿宋_GB2312"/>
                <w:sz w:val="24"/>
              </w:rPr>
              <w:t>联系人</w:t>
            </w:r>
          </w:p>
        </w:tc>
        <w:tc>
          <w:tcPr>
            <w:tcW w:w="2131" w:type="dxa"/>
            <w:gridSpan w:val="2"/>
            <w:vAlign w:val="center"/>
          </w:tcPr>
          <w:p>
            <w:pPr>
              <w:spacing w:line="360" w:lineRule="exact"/>
              <w:ind w:right="-147" w:rightChars="-70" w:firstLine="960"/>
              <w:rPr>
                <w:rFonts w:ascii="仿宋_GB2312" w:eastAsia="仿宋_GB2312"/>
                <w:sz w:val="24"/>
              </w:rPr>
            </w:pPr>
          </w:p>
        </w:tc>
        <w:tc>
          <w:tcPr>
            <w:tcW w:w="2828" w:type="dxa"/>
            <w:gridSpan w:val="3"/>
            <w:vAlign w:val="center"/>
          </w:tcPr>
          <w:p>
            <w:pPr>
              <w:spacing w:line="360" w:lineRule="exact"/>
              <w:ind w:right="-147" w:rightChars="-70"/>
              <w:jc w:val="center"/>
              <w:rPr>
                <w:rFonts w:ascii="仿宋_GB2312" w:eastAsia="仿宋_GB2312"/>
                <w:sz w:val="24"/>
              </w:rPr>
            </w:pPr>
            <w:r>
              <w:rPr>
                <w:rFonts w:ascii="仿宋_GB2312" w:eastAsia="仿宋_GB2312"/>
                <w:sz w:val="24"/>
              </w:rPr>
              <w:t>职位/岗位</w:t>
            </w:r>
          </w:p>
        </w:tc>
        <w:tc>
          <w:tcPr>
            <w:tcW w:w="3125" w:type="dxa"/>
            <w:gridSpan w:val="4"/>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gridSpan w:val="2"/>
            <w:vAlign w:val="center"/>
          </w:tcPr>
          <w:p>
            <w:pPr>
              <w:spacing w:line="360" w:lineRule="exact"/>
              <w:ind w:right="-147" w:rightChars="-70"/>
              <w:jc w:val="center"/>
              <w:rPr>
                <w:rFonts w:ascii="仿宋_GB2312" w:eastAsia="仿宋_GB2312"/>
                <w:sz w:val="24"/>
              </w:rPr>
            </w:pPr>
            <w:r>
              <w:rPr>
                <w:rFonts w:ascii="仿宋_GB2312" w:eastAsia="仿宋_GB2312"/>
                <w:sz w:val="24"/>
              </w:rPr>
              <w:t>办公电话</w:t>
            </w:r>
          </w:p>
        </w:tc>
        <w:tc>
          <w:tcPr>
            <w:tcW w:w="2131" w:type="dxa"/>
            <w:gridSpan w:val="2"/>
            <w:vAlign w:val="center"/>
          </w:tcPr>
          <w:p>
            <w:pPr>
              <w:spacing w:line="360" w:lineRule="exact"/>
              <w:ind w:right="-147" w:rightChars="-70"/>
              <w:rPr>
                <w:rFonts w:ascii="仿宋_GB2312" w:eastAsia="仿宋_GB2312"/>
                <w:sz w:val="24"/>
              </w:rPr>
            </w:pPr>
          </w:p>
        </w:tc>
        <w:tc>
          <w:tcPr>
            <w:tcW w:w="2828" w:type="dxa"/>
            <w:gridSpan w:val="3"/>
            <w:vAlign w:val="center"/>
          </w:tcPr>
          <w:p>
            <w:pPr>
              <w:spacing w:line="360" w:lineRule="exact"/>
              <w:ind w:right="-147" w:rightChars="-70"/>
              <w:jc w:val="center"/>
              <w:rPr>
                <w:rFonts w:ascii="仿宋_GB2312" w:eastAsia="仿宋_GB2312"/>
                <w:sz w:val="24"/>
              </w:rPr>
            </w:pPr>
            <w:r>
              <w:rPr>
                <w:rFonts w:ascii="仿宋_GB2312" w:eastAsia="仿宋_GB2312"/>
                <w:sz w:val="24"/>
              </w:rPr>
              <w:t>手    机</w:t>
            </w:r>
          </w:p>
        </w:tc>
        <w:tc>
          <w:tcPr>
            <w:tcW w:w="3125" w:type="dxa"/>
            <w:gridSpan w:val="4"/>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gridSpan w:val="2"/>
            <w:vAlign w:val="center"/>
          </w:tcPr>
          <w:p>
            <w:pPr>
              <w:spacing w:line="360" w:lineRule="exact"/>
              <w:ind w:right="-147" w:rightChars="-70"/>
              <w:jc w:val="center"/>
              <w:rPr>
                <w:rFonts w:ascii="仿宋_GB2312" w:eastAsia="仿宋_GB2312"/>
                <w:sz w:val="24"/>
              </w:rPr>
            </w:pPr>
            <w:r>
              <w:rPr>
                <w:rFonts w:ascii="仿宋_GB2312" w:eastAsia="仿宋_GB2312"/>
                <w:sz w:val="24"/>
              </w:rPr>
              <w:t>传   真</w:t>
            </w:r>
          </w:p>
        </w:tc>
        <w:tc>
          <w:tcPr>
            <w:tcW w:w="2131" w:type="dxa"/>
            <w:gridSpan w:val="2"/>
            <w:vAlign w:val="center"/>
          </w:tcPr>
          <w:p>
            <w:pPr>
              <w:spacing w:line="360" w:lineRule="exact"/>
              <w:ind w:right="-147" w:rightChars="-70"/>
              <w:rPr>
                <w:rFonts w:ascii="仿宋_GB2312" w:eastAsia="仿宋_GB2312"/>
                <w:sz w:val="24"/>
              </w:rPr>
            </w:pPr>
          </w:p>
        </w:tc>
        <w:tc>
          <w:tcPr>
            <w:tcW w:w="2828" w:type="dxa"/>
            <w:gridSpan w:val="3"/>
            <w:vAlign w:val="center"/>
          </w:tcPr>
          <w:p>
            <w:pPr>
              <w:spacing w:line="360" w:lineRule="exact"/>
              <w:ind w:right="-147" w:rightChars="-70"/>
              <w:jc w:val="center"/>
              <w:rPr>
                <w:rFonts w:ascii="仿宋_GB2312" w:eastAsia="仿宋_GB2312"/>
                <w:sz w:val="24"/>
              </w:rPr>
            </w:pPr>
            <w:r>
              <w:rPr>
                <w:rFonts w:ascii="仿宋_GB2312" w:eastAsia="仿宋_GB2312"/>
                <w:sz w:val="24"/>
              </w:rPr>
              <w:t>电子信箱</w:t>
            </w:r>
          </w:p>
        </w:tc>
        <w:tc>
          <w:tcPr>
            <w:tcW w:w="3125" w:type="dxa"/>
            <w:gridSpan w:val="4"/>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gridSpan w:val="2"/>
            <w:vAlign w:val="center"/>
          </w:tcPr>
          <w:p>
            <w:pPr>
              <w:spacing w:line="360" w:lineRule="exact"/>
              <w:ind w:right="-147" w:rightChars="-70"/>
              <w:jc w:val="center"/>
              <w:rPr>
                <w:rFonts w:ascii="仿宋_GB2312" w:eastAsia="仿宋_GB2312"/>
                <w:sz w:val="24"/>
              </w:rPr>
            </w:pPr>
            <w:r>
              <w:rPr>
                <w:rFonts w:ascii="仿宋_GB2312" w:eastAsia="仿宋_GB2312"/>
                <w:sz w:val="24"/>
              </w:rPr>
              <w:t>参加培训人员</w:t>
            </w:r>
          </w:p>
        </w:tc>
        <w:tc>
          <w:tcPr>
            <w:tcW w:w="849" w:type="dxa"/>
            <w:vAlign w:val="center"/>
          </w:tcPr>
          <w:p>
            <w:pPr>
              <w:spacing w:line="360" w:lineRule="exact"/>
              <w:ind w:right="-147" w:rightChars="-70"/>
              <w:jc w:val="center"/>
              <w:rPr>
                <w:rFonts w:ascii="仿宋_GB2312" w:eastAsia="仿宋_GB2312"/>
                <w:sz w:val="24"/>
              </w:rPr>
            </w:pPr>
            <w:r>
              <w:rPr>
                <w:rFonts w:ascii="仿宋_GB2312" w:eastAsia="仿宋_GB2312"/>
                <w:sz w:val="24"/>
              </w:rPr>
              <w:t>性别</w:t>
            </w:r>
          </w:p>
        </w:tc>
        <w:tc>
          <w:tcPr>
            <w:tcW w:w="1282" w:type="dxa"/>
            <w:vAlign w:val="center"/>
          </w:tcPr>
          <w:p>
            <w:pPr>
              <w:spacing w:line="360" w:lineRule="exact"/>
              <w:ind w:right="-147" w:rightChars="-70"/>
              <w:jc w:val="center"/>
              <w:rPr>
                <w:rFonts w:ascii="仿宋_GB2312" w:eastAsia="仿宋_GB2312"/>
                <w:sz w:val="24"/>
              </w:rPr>
            </w:pPr>
            <w:r>
              <w:rPr>
                <w:rFonts w:ascii="仿宋_GB2312" w:eastAsia="仿宋_GB2312"/>
                <w:sz w:val="24"/>
              </w:rPr>
              <w:t>职务</w:t>
            </w:r>
          </w:p>
        </w:tc>
        <w:tc>
          <w:tcPr>
            <w:tcW w:w="1984" w:type="dxa"/>
            <w:vAlign w:val="center"/>
          </w:tcPr>
          <w:p>
            <w:pPr>
              <w:spacing w:line="360" w:lineRule="exact"/>
              <w:ind w:right="-147" w:rightChars="-70"/>
              <w:jc w:val="center"/>
              <w:rPr>
                <w:rFonts w:ascii="仿宋_GB2312" w:eastAsia="仿宋_GB2312"/>
                <w:sz w:val="24"/>
              </w:rPr>
            </w:pPr>
            <w:r>
              <w:rPr>
                <w:rFonts w:ascii="仿宋_GB2312" w:eastAsia="仿宋_GB2312"/>
                <w:sz w:val="24"/>
              </w:rPr>
              <w:t>电话</w:t>
            </w:r>
          </w:p>
        </w:tc>
        <w:tc>
          <w:tcPr>
            <w:tcW w:w="1985" w:type="dxa"/>
            <w:gridSpan w:val="5"/>
            <w:vAlign w:val="center"/>
          </w:tcPr>
          <w:p>
            <w:pPr>
              <w:spacing w:line="360" w:lineRule="exact"/>
              <w:ind w:right="-147" w:rightChars="-70"/>
              <w:jc w:val="center"/>
              <w:rPr>
                <w:rFonts w:ascii="仿宋_GB2312" w:eastAsia="仿宋_GB2312"/>
                <w:sz w:val="24"/>
              </w:rPr>
            </w:pPr>
            <w:r>
              <w:rPr>
                <w:rFonts w:ascii="仿宋_GB2312" w:eastAsia="仿宋_GB2312"/>
                <w:sz w:val="24"/>
              </w:rPr>
              <w:t>手机</w:t>
            </w:r>
          </w:p>
        </w:tc>
        <w:tc>
          <w:tcPr>
            <w:tcW w:w="1984" w:type="dxa"/>
            <w:vAlign w:val="center"/>
          </w:tcPr>
          <w:p>
            <w:pPr>
              <w:spacing w:line="360" w:lineRule="exact"/>
              <w:ind w:right="-147" w:rightChars="-70"/>
              <w:jc w:val="center"/>
              <w:rPr>
                <w:rFonts w:ascii="仿宋_GB2312" w:eastAsia="仿宋_GB2312"/>
                <w:sz w:val="24"/>
              </w:rPr>
            </w:pPr>
            <w:r>
              <w:rPr>
                <w:rFonts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5"/>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5"/>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5"/>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5"/>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5"/>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13" w:type="dxa"/>
            <w:vAlign w:val="center"/>
          </w:tcPr>
          <w:p>
            <w:pPr>
              <w:spacing w:line="360" w:lineRule="exact"/>
              <w:ind w:right="-147" w:rightChars="-70" w:firstLine="240" w:firstLineChars="100"/>
              <w:jc w:val="left"/>
              <w:rPr>
                <w:rFonts w:ascii="仿宋_GB2312" w:eastAsia="仿宋_GB2312"/>
                <w:color w:val="FF0000"/>
                <w:sz w:val="24"/>
              </w:rPr>
            </w:pPr>
            <w:r>
              <w:rPr>
                <w:rFonts w:hint="eastAsia" w:ascii="仿宋_GB2312" w:eastAsia="仿宋_GB2312"/>
                <w:color w:val="000000"/>
                <w:sz w:val="24"/>
              </w:rPr>
              <w:t>参会地点</w:t>
            </w:r>
          </w:p>
        </w:tc>
        <w:tc>
          <w:tcPr>
            <w:tcW w:w="2181" w:type="dxa"/>
            <w:gridSpan w:val="3"/>
            <w:vAlign w:val="center"/>
          </w:tcPr>
          <w:p>
            <w:pPr>
              <w:spacing w:line="360" w:lineRule="exact"/>
              <w:ind w:right="-147" w:rightChars="-70" w:firstLine="960" w:firstLineChars="400"/>
              <w:jc w:val="left"/>
              <w:rPr>
                <w:rFonts w:ascii="仿宋_GB2312" w:eastAsia="仿宋_GB2312"/>
                <w:color w:val="FF0000"/>
                <w:sz w:val="24"/>
              </w:rPr>
            </w:pPr>
          </w:p>
        </w:tc>
        <w:tc>
          <w:tcPr>
            <w:tcW w:w="1984" w:type="dxa"/>
            <w:vAlign w:val="center"/>
          </w:tcPr>
          <w:p>
            <w:pPr>
              <w:spacing w:line="360" w:lineRule="exact"/>
              <w:ind w:right="-147" w:rightChars="-70" w:firstLine="360" w:firstLineChars="150"/>
              <w:jc w:val="left"/>
              <w:rPr>
                <w:rFonts w:ascii="仿宋_GB2312" w:eastAsia="仿宋_GB2312"/>
                <w:color w:val="FF0000"/>
                <w:sz w:val="24"/>
              </w:rPr>
            </w:pPr>
            <w:r>
              <w:rPr>
                <w:rFonts w:hint="eastAsia" w:ascii="仿宋_GB2312" w:eastAsia="仿宋_GB2312"/>
                <w:color w:val="000000"/>
                <w:sz w:val="24"/>
              </w:rPr>
              <w:t>证书申报</w:t>
            </w:r>
          </w:p>
        </w:tc>
        <w:tc>
          <w:tcPr>
            <w:tcW w:w="3969" w:type="dxa"/>
            <w:gridSpan w:val="6"/>
            <w:vAlign w:val="center"/>
          </w:tcPr>
          <w:p>
            <w:pPr>
              <w:spacing w:line="360" w:lineRule="exact"/>
              <w:ind w:right="-147" w:rightChars="-70"/>
              <w:jc w:val="left"/>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gridSpan w:val="2"/>
            <w:vAlign w:val="center"/>
          </w:tcPr>
          <w:p>
            <w:pPr>
              <w:spacing w:line="360" w:lineRule="exact"/>
              <w:ind w:right="-147" w:rightChars="-70"/>
              <w:jc w:val="center"/>
              <w:rPr>
                <w:rFonts w:ascii="仿宋_GB2312" w:eastAsia="仿宋_GB2312"/>
                <w:sz w:val="24"/>
              </w:rPr>
            </w:pPr>
            <w:r>
              <w:rPr>
                <w:rFonts w:hint="eastAsia" w:ascii="仿宋_GB2312" w:eastAsia="仿宋_GB2312"/>
                <w:sz w:val="24"/>
              </w:rPr>
              <w:t>标准选项</w:t>
            </w:r>
          </w:p>
        </w:tc>
        <w:tc>
          <w:tcPr>
            <w:tcW w:w="8084" w:type="dxa"/>
            <w:gridSpan w:val="9"/>
            <w:vAlign w:val="center"/>
          </w:tcPr>
          <w:p>
            <w:pPr>
              <w:spacing w:line="360" w:lineRule="exact"/>
              <w:ind w:right="-147" w:rightChars="-70"/>
              <w:jc w:val="center"/>
              <w:rPr>
                <w:rFonts w:ascii="仿宋_GB2312" w:eastAsia="仿宋_GB2312"/>
                <w:sz w:val="24"/>
              </w:rPr>
            </w:pPr>
            <w:r>
              <w:rPr>
                <w:rFonts w:hint="eastAsia" w:ascii="仿宋_GB2312" w:eastAsia="仿宋_GB2312"/>
                <w:sz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gridSpan w:val="2"/>
          </w:tcPr>
          <w:p>
            <w:pPr>
              <w:spacing w:line="360" w:lineRule="exact"/>
              <w:ind w:right="-147" w:rightChars="-70"/>
              <w:jc w:val="center"/>
              <w:rPr>
                <w:rFonts w:ascii="仿宋_GB2312" w:eastAsia="仿宋_GB2312"/>
                <w:sz w:val="24"/>
              </w:rPr>
            </w:pPr>
            <w:r>
              <w:rPr>
                <w:rFonts w:ascii="仿宋_GB2312" w:eastAsia="仿宋_GB2312"/>
                <w:sz w:val="24"/>
              </w:rPr>
              <w:t>付款方式</w:t>
            </w:r>
          </w:p>
        </w:tc>
        <w:tc>
          <w:tcPr>
            <w:tcW w:w="4272" w:type="dxa"/>
            <w:gridSpan w:val="4"/>
          </w:tcPr>
          <w:p>
            <w:pPr>
              <w:widowControl/>
              <w:spacing w:line="360" w:lineRule="exact"/>
              <w:ind w:right="-147" w:rightChars="-70"/>
              <w:jc w:val="center"/>
              <w:rPr>
                <w:rFonts w:ascii="仿宋_GB2312" w:eastAsia="仿宋_GB2312"/>
                <w:sz w:val="24"/>
              </w:rPr>
            </w:pPr>
            <w:r>
              <w:rPr>
                <w:rFonts w:ascii="仿宋_GB2312" w:eastAsia="仿宋_GB2312"/>
                <w:sz w:val="24"/>
              </w:rPr>
              <w:t xml:space="preserve">□银行     □网银 </w:t>
            </w:r>
          </w:p>
        </w:tc>
        <w:tc>
          <w:tcPr>
            <w:tcW w:w="996" w:type="dxa"/>
            <w:gridSpan w:val="2"/>
          </w:tcPr>
          <w:p>
            <w:pPr>
              <w:widowControl/>
              <w:spacing w:line="360" w:lineRule="exact"/>
              <w:ind w:right="-147" w:rightChars="-70"/>
              <w:jc w:val="center"/>
              <w:rPr>
                <w:rFonts w:ascii="仿宋_GB2312" w:eastAsia="仿宋_GB2312"/>
                <w:sz w:val="24"/>
              </w:rPr>
            </w:pPr>
            <w:r>
              <w:rPr>
                <w:rFonts w:ascii="仿宋_GB2312" w:eastAsia="仿宋_GB2312"/>
                <w:sz w:val="24"/>
              </w:rPr>
              <w:t>金额</w:t>
            </w:r>
          </w:p>
        </w:tc>
        <w:tc>
          <w:tcPr>
            <w:tcW w:w="2816" w:type="dxa"/>
            <w:gridSpan w:val="3"/>
          </w:tcPr>
          <w:p>
            <w:pPr>
              <w:widowControl/>
              <w:spacing w:line="360" w:lineRule="exact"/>
              <w:ind w:right="-147" w:rightChars="-7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gridSpan w:val="2"/>
            <w:vAlign w:val="center"/>
          </w:tcPr>
          <w:p>
            <w:pPr>
              <w:spacing w:line="360" w:lineRule="exact"/>
              <w:ind w:right="-147" w:rightChars="-70"/>
              <w:jc w:val="center"/>
              <w:rPr>
                <w:rFonts w:ascii="仿宋_GB2312" w:eastAsia="仿宋_GB2312"/>
                <w:sz w:val="24"/>
              </w:rPr>
            </w:pPr>
            <w:r>
              <w:rPr>
                <w:rFonts w:ascii="仿宋_GB2312" w:eastAsia="仿宋_GB2312"/>
                <w:sz w:val="24"/>
              </w:rPr>
              <w:t>需要与专家</w:t>
            </w:r>
          </w:p>
          <w:p>
            <w:pPr>
              <w:spacing w:line="360" w:lineRule="exact"/>
              <w:ind w:right="-147" w:rightChars="-70"/>
              <w:jc w:val="center"/>
              <w:rPr>
                <w:rFonts w:ascii="仿宋_GB2312" w:eastAsia="仿宋_GB2312"/>
                <w:sz w:val="24"/>
              </w:rPr>
            </w:pPr>
            <w:r>
              <w:rPr>
                <w:rFonts w:ascii="仿宋_GB2312" w:eastAsia="仿宋_GB2312"/>
                <w:sz w:val="24"/>
              </w:rPr>
              <w:t>沟通的问题</w:t>
            </w:r>
          </w:p>
        </w:tc>
        <w:tc>
          <w:tcPr>
            <w:tcW w:w="8084" w:type="dxa"/>
            <w:gridSpan w:val="9"/>
          </w:tcPr>
          <w:p>
            <w:pPr>
              <w:widowControl/>
              <w:spacing w:line="360" w:lineRule="exact"/>
              <w:ind w:right="-147" w:rightChars="-7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gridSpan w:val="2"/>
            <w:vAlign w:val="center"/>
          </w:tcPr>
          <w:p>
            <w:pPr>
              <w:spacing w:line="360" w:lineRule="exact"/>
              <w:ind w:right="-147" w:rightChars="-70"/>
              <w:jc w:val="center"/>
              <w:rPr>
                <w:rFonts w:ascii="仿宋_GB2312" w:eastAsia="仿宋_GB2312"/>
                <w:sz w:val="24"/>
                <w:highlight w:val="yellow"/>
              </w:rPr>
            </w:pPr>
            <w:r>
              <w:rPr>
                <w:rFonts w:hint="eastAsia" w:ascii="仿宋" w:hAnsi="仿宋" w:eastAsia="仿宋" w:cs="仿宋"/>
                <w:sz w:val="24"/>
                <w:lang w:val="zh-CN"/>
              </w:rPr>
              <w:t>收款账户</w:t>
            </w:r>
          </w:p>
        </w:tc>
        <w:tc>
          <w:tcPr>
            <w:tcW w:w="8084" w:type="dxa"/>
            <w:gridSpan w:val="9"/>
            <w:vAlign w:val="center"/>
          </w:tcPr>
          <w:p>
            <w:pPr>
              <w:widowControl/>
              <w:spacing w:line="360" w:lineRule="exact"/>
              <w:rPr>
                <w:rFonts w:ascii="仿宋" w:hAnsi="仿宋" w:eastAsia="仿宋" w:cs="仿宋"/>
                <w:lang w:val="zh-CN"/>
              </w:rPr>
            </w:pPr>
            <w:r>
              <w:rPr>
                <w:rFonts w:ascii="仿宋" w:hAnsi="仿宋" w:eastAsia="仿宋" w:cs="仿宋"/>
                <w:lang w:val="zh-CN"/>
              </w:rPr>
              <w:t>单位名称：</w:t>
            </w:r>
            <w:r>
              <w:rPr>
                <w:rFonts w:hint="eastAsia" w:ascii="仿宋" w:hAnsi="仿宋" w:eastAsia="仿宋" w:cs="仿宋"/>
                <w:lang w:val="zh-CN"/>
              </w:rPr>
              <w:t>北京中科善若教育咨询有限公司</w:t>
            </w:r>
          </w:p>
          <w:p>
            <w:pPr>
              <w:widowControl/>
              <w:spacing w:line="360" w:lineRule="exact"/>
              <w:rPr>
                <w:rFonts w:ascii="仿宋" w:hAnsi="仿宋" w:eastAsia="仿宋" w:cs="仿宋"/>
                <w:lang w:val="zh-CN"/>
              </w:rPr>
            </w:pPr>
            <w:r>
              <w:rPr>
                <w:rFonts w:ascii="仿宋" w:hAnsi="仿宋" w:eastAsia="仿宋" w:cs="仿宋"/>
                <w:lang w:val="zh-CN"/>
              </w:rPr>
              <w:t>开 户 行：中国工商银行股份有限公司北京</w:t>
            </w:r>
            <w:r>
              <w:rPr>
                <w:rFonts w:hint="eastAsia" w:ascii="仿宋" w:hAnsi="仿宋" w:eastAsia="仿宋" w:cs="仿宋"/>
              </w:rPr>
              <w:t>永定路</w:t>
            </w:r>
            <w:r>
              <w:rPr>
                <w:rFonts w:ascii="仿宋" w:hAnsi="仿宋" w:eastAsia="仿宋" w:cs="仿宋"/>
                <w:lang w:val="zh-CN"/>
              </w:rPr>
              <w:t xml:space="preserve">支行 </w:t>
            </w:r>
          </w:p>
          <w:p>
            <w:pPr>
              <w:widowControl/>
              <w:spacing w:line="360" w:lineRule="exact"/>
              <w:rPr>
                <w:rFonts w:ascii="仿宋" w:hAnsi="仿宋" w:eastAsia="仿宋" w:cs="仿宋"/>
              </w:rPr>
            </w:pPr>
            <w:r>
              <w:rPr>
                <w:rFonts w:ascii="仿宋" w:hAnsi="仿宋" w:eastAsia="仿宋" w:cs="仿宋"/>
                <w:lang w:val="zh-CN"/>
              </w:rPr>
              <w:t>账    号：</w:t>
            </w:r>
            <w:r>
              <w:rPr>
                <w:rFonts w:hint="eastAsia" w:ascii="仿宋" w:hAnsi="仿宋" w:eastAsia="仿宋" w:cs="仿宋"/>
                <w:lang w:val="zh-CN"/>
              </w:rPr>
              <w:t>02002470092000</w:t>
            </w:r>
            <w:r>
              <w:rPr>
                <w:rFonts w:hint="eastAsia" w:ascii="仿宋" w:hAnsi="仿宋" w:eastAsia="仿宋" w:cs="仿宋"/>
              </w:rPr>
              <w:t>77514</w:t>
            </w:r>
          </w:p>
          <w:p>
            <w:pPr>
              <w:widowControl/>
              <w:spacing w:line="360" w:lineRule="exact"/>
              <w:rPr>
                <w:rFonts w:ascii="仿宋_GB2312" w:eastAsia="仿宋_GB2312"/>
                <w:sz w:val="28"/>
                <w:szCs w:val="28"/>
                <w:highlight w:val="yellow"/>
              </w:rPr>
            </w:pPr>
            <w:r>
              <w:rPr>
                <w:rFonts w:hint="eastAsia" w:ascii="仿宋" w:hAnsi="仿宋" w:eastAsia="仿宋" w:cs="仿宋"/>
                <w:lang w:val="zh-CN"/>
              </w:rPr>
              <w:t>行</w:t>
            </w:r>
            <w:r>
              <w:rPr>
                <w:rFonts w:hint="eastAsia" w:ascii="仿宋" w:hAnsi="仿宋" w:eastAsia="仿宋" w:cs="仿宋"/>
              </w:rPr>
              <w:t xml:space="preserve">    </w:t>
            </w:r>
            <w:r>
              <w:rPr>
                <w:rFonts w:hint="eastAsia" w:ascii="仿宋" w:hAnsi="仿宋" w:eastAsia="仿宋" w:cs="仿宋"/>
                <w:lang w:val="zh-CN"/>
              </w:rPr>
              <w:t>号：</w:t>
            </w:r>
            <w:r>
              <w:rPr>
                <w:rFonts w:ascii="仿宋" w:hAnsi="仿宋" w:eastAsia="仿宋" w:cs="仿宋"/>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gridSpan w:val="2"/>
            <w:vAlign w:val="center"/>
          </w:tcPr>
          <w:p>
            <w:pPr>
              <w:spacing w:line="360" w:lineRule="exact"/>
              <w:ind w:right="-147" w:rightChars="-70"/>
              <w:jc w:val="center"/>
              <w:rPr>
                <w:rFonts w:ascii="仿宋_GB2312" w:eastAsia="仿宋_GB2312"/>
                <w:b/>
                <w:bCs/>
                <w:sz w:val="24"/>
              </w:rPr>
            </w:pPr>
            <w:r>
              <w:rPr>
                <w:rFonts w:ascii="仿宋_GB2312" w:eastAsia="仿宋_GB2312"/>
                <w:sz w:val="24"/>
              </w:rPr>
              <w:t>备注</w:t>
            </w:r>
          </w:p>
        </w:tc>
        <w:tc>
          <w:tcPr>
            <w:tcW w:w="4959" w:type="dxa"/>
            <w:gridSpan w:val="5"/>
            <w:vAlign w:val="center"/>
          </w:tcPr>
          <w:p>
            <w:pPr>
              <w:spacing w:line="360" w:lineRule="exact"/>
              <w:ind w:right="-147" w:rightChars="-70"/>
              <w:jc w:val="left"/>
              <w:rPr>
                <w:rFonts w:ascii="仿宋_GB2312" w:eastAsia="仿宋_GB2312"/>
                <w:sz w:val="24"/>
              </w:rPr>
            </w:pPr>
            <w:r>
              <w:rPr>
                <w:rFonts w:ascii="仿宋_GB2312" w:eastAsia="仿宋_GB2312"/>
                <w:sz w:val="24"/>
              </w:rPr>
              <w:t>请将</w:t>
            </w:r>
            <w:r>
              <w:rPr>
                <w:rFonts w:hint="eastAsia" w:ascii="仿宋_GB2312" w:eastAsia="仿宋_GB2312"/>
                <w:sz w:val="24"/>
              </w:rPr>
              <w:t>《报名回执表》回传至</w:t>
            </w:r>
            <w:r>
              <w:rPr>
                <w:rFonts w:ascii="仿宋_GB2312" w:eastAsia="仿宋_GB2312"/>
                <w:sz w:val="24"/>
              </w:rPr>
              <w:t>会务组，</w:t>
            </w:r>
            <w:r>
              <w:rPr>
                <w:rFonts w:hint="eastAsia" w:ascii="仿宋_GB2312" w:eastAsia="仿宋_GB2312"/>
                <w:sz w:val="24"/>
              </w:rPr>
              <w:t>并</w:t>
            </w:r>
            <w:r>
              <w:rPr>
                <w:rFonts w:ascii="仿宋_GB2312" w:eastAsia="仿宋_GB2312"/>
                <w:sz w:val="24"/>
              </w:rPr>
              <w:t>在报名3日内</w:t>
            </w:r>
            <w:r>
              <w:rPr>
                <w:rFonts w:hint="eastAsia" w:ascii="仿宋_GB2312" w:eastAsia="仿宋_GB2312"/>
                <w:sz w:val="24"/>
              </w:rPr>
              <w:t>办理</w:t>
            </w:r>
            <w:r>
              <w:rPr>
                <w:rFonts w:ascii="仿宋_GB2312" w:eastAsia="仿宋_GB2312"/>
                <w:sz w:val="24"/>
              </w:rPr>
              <w:t>培训费，会务组确认到款后即发《参会凭证》，详细</w:t>
            </w:r>
            <w:r>
              <w:rPr>
                <w:rFonts w:hint="eastAsia" w:ascii="仿宋_GB2312" w:eastAsia="仿宋_GB2312"/>
                <w:sz w:val="24"/>
              </w:rPr>
              <w:t>说</w:t>
            </w:r>
            <w:r>
              <w:rPr>
                <w:rFonts w:ascii="仿宋_GB2312" w:eastAsia="仿宋_GB2312"/>
                <w:sz w:val="24"/>
              </w:rPr>
              <w:t>明</w:t>
            </w:r>
            <w:r>
              <w:rPr>
                <w:rFonts w:hint="eastAsia" w:ascii="仿宋_GB2312" w:eastAsia="仿宋_GB2312"/>
                <w:sz w:val="24"/>
              </w:rPr>
              <w:t>培训</w:t>
            </w:r>
            <w:r>
              <w:rPr>
                <w:rFonts w:ascii="仿宋_GB2312" w:eastAsia="仿宋_GB2312"/>
                <w:sz w:val="24"/>
              </w:rPr>
              <w:t>具体安排事项。</w:t>
            </w:r>
          </w:p>
        </w:tc>
        <w:tc>
          <w:tcPr>
            <w:tcW w:w="3125" w:type="dxa"/>
            <w:gridSpan w:val="4"/>
            <w:vAlign w:val="center"/>
          </w:tcPr>
          <w:p>
            <w:pPr>
              <w:spacing w:line="360" w:lineRule="exact"/>
              <w:ind w:right="-147" w:rightChars="-70" w:firstLine="1080" w:firstLineChars="450"/>
              <w:rPr>
                <w:rFonts w:ascii="仿宋_GB2312" w:eastAsia="仿宋_GB2312"/>
                <w:sz w:val="24"/>
              </w:rPr>
            </w:pPr>
            <w:r>
              <w:rPr>
                <w:rFonts w:ascii="仿宋_GB2312" w:eastAsia="仿宋_GB2312"/>
                <w:sz w:val="24"/>
              </w:rPr>
              <w:t>单位印章</w:t>
            </w:r>
          </w:p>
          <w:p>
            <w:pPr>
              <w:spacing w:line="360" w:lineRule="exact"/>
              <w:ind w:right="-147" w:rightChars="-70" w:firstLine="480" w:firstLineChars="200"/>
              <w:rPr>
                <w:rFonts w:ascii="仿宋_GB2312" w:eastAsia="仿宋_GB2312"/>
                <w:sz w:val="24"/>
              </w:rPr>
            </w:pPr>
            <w:r>
              <w:rPr>
                <w:rFonts w:hint="eastAsia" w:ascii="仿宋_GB2312" w:eastAsia="仿宋_GB2312"/>
                <w:sz w:val="24"/>
              </w:rPr>
              <w:t xml:space="preserve">2020 </w:t>
            </w:r>
            <w:r>
              <w:rPr>
                <w:rFonts w:ascii="仿宋_GB2312" w:eastAsia="仿宋_GB2312"/>
                <w:sz w:val="24"/>
              </w:rPr>
              <w:t xml:space="preserve">年 </w:t>
            </w:r>
            <w:r>
              <w:rPr>
                <w:rFonts w:hint="eastAsia" w:ascii="仿宋_GB2312" w:eastAsia="仿宋_GB2312"/>
                <w:sz w:val="24"/>
              </w:rPr>
              <w:t xml:space="preserve">  </w:t>
            </w:r>
            <w:r>
              <w:rPr>
                <w:rFonts w:ascii="仿宋_GB2312" w:eastAsia="仿宋_GB2312"/>
                <w:sz w:val="24"/>
              </w:rPr>
              <w:t xml:space="preserve"> 月</w:t>
            </w:r>
            <w:r>
              <w:rPr>
                <w:rFonts w:hint="eastAsia" w:ascii="仿宋_GB2312" w:eastAsia="仿宋_GB2312"/>
                <w:sz w:val="24"/>
              </w:rPr>
              <w:t xml:space="preserve">  </w:t>
            </w:r>
            <w:r>
              <w:rPr>
                <w:rFonts w:ascii="仿宋_GB2312" w:eastAsia="仿宋_GB2312"/>
                <w:sz w:val="24"/>
              </w:rPr>
              <w:t xml:space="preserve">  日</w:t>
            </w:r>
          </w:p>
        </w:tc>
      </w:tr>
    </w:tbl>
    <w:p>
      <w:pPr>
        <w:spacing w:line="300" w:lineRule="exact"/>
        <w:ind w:firstLine="700" w:firstLineChars="250"/>
        <w:rPr>
          <w:rFonts w:ascii="仿宋" w:hAnsi="仿宋" w:eastAsia="仿宋" w:cs="Times New Roman"/>
          <w:color w:val="000000"/>
          <w:sz w:val="28"/>
          <w:szCs w:val="28"/>
        </w:rPr>
      </w:pP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 xml:space="preserve">） </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 xml:space="preserve"> 邮   </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40" w:lineRule="exact"/>
        <w:textAlignment w:val="baseline"/>
        <w:rPr>
          <w:rFonts w:ascii="仿宋" w:hAnsi="仿宋" w:eastAsia="仿宋"/>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90"/>
    <w:rsid w:val="00015019"/>
    <w:rsid w:val="00033891"/>
    <w:rsid w:val="000A0CD4"/>
    <w:rsid w:val="000B0503"/>
    <w:rsid w:val="000E713A"/>
    <w:rsid w:val="000F6500"/>
    <w:rsid w:val="00102E9B"/>
    <w:rsid w:val="00107A23"/>
    <w:rsid w:val="001304DE"/>
    <w:rsid w:val="00140C32"/>
    <w:rsid w:val="001420A4"/>
    <w:rsid w:val="00147D37"/>
    <w:rsid w:val="00164DD7"/>
    <w:rsid w:val="001656F2"/>
    <w:rsid w:val="001732D9"/>
    <w:rsid w:val="00196B83"/>
    <w:rsid w:val="001B432E"/>
    <w:rsid w:val="001B7037"/>
    <w:rsid w:val="001D16AE"/>
    <w:rsid w:val="001E0035"/>
    <w:rsid w:val="001E3278"/>
    <w:rsid w:val="001F0E6A"/>
    <w:rsid w:val="00207C21"/>
    <w:rsid w:val="00233407"/>
    <w:rsid w:val="0023370B"/>
    <w:rsid w:val="00253AA0"/>
    <w:rsid w:val="002545FB"/>
    <w:rsid w:val="00270F78"/>
    <w:rsid w:val="00272876"/>
    <w:rsid w:val="0027592B"/>
    <w:rsid w:val="002874D3"/>
    <w:rsid w:val="00290E29"/>
    <w:rsid w:val="002E0C25"/>
    <w:rsid w:val="002E111B"/>
    <w:rsid w:val="002E680D"/>
    <w:rsid w:val="002E7677"/>
    <w:rsid w:val="002F0475"/>
    <w:rsid w:val="003378BD"/>
    <w:rsid w:val="00346613"/>
    <w:rsid w:val="00347DBD"/>
    <w:rsid w:val="003520E1"/>
    <w:rsid w:val="00353061"/>
    <w:rsid w:val="003657F9"/>
    <w:rsid w:val="003700AF"/>
    <w:rsid w:val="00394666"/>
    <w:rsid w:val="003A176E"/>
    <w:rsid w:val="003B6395"/>
    <w:rsid w:val="003E556C"/>
    <w:rsid w:val="0040066C"/>
    <w:rsid w:val="004146E3"/>
    <w:rsid w:val="00427300"/>
    <w:rsid w:val="00432C7F"/>
    <w:rsid w:val="0044522B"/>
    <w:rsid w:val="00462698"/>
    <w:rsid w:val="004865C7"/>
    <w:rsid w:val="0049770E"/>
    <w:rsid w:val="004A14C8"/>
    <w:rsid w:val="004A394F"/>
    <w:rsid w:val="004B3DA6"/>
    <w:rsid w:val="004E2AFD"/>
    <w:rsid w:val="004E6AB9"/>
    <w:rsid w:val="004F3F43"/>
    <w:rsid w:val="004F5090"/>
    <w:rsid w:val="0050449A"/>
    <w:rsid w:val="00524032"/>
    <w:rsid w:val="00524346"/>
    <w:rsid w:val="00532708"/>
    <w:rsid w:val="00575045"/>
    <w:rsid w:val="00590BD3"/>
    <w:rsid w:val="005A78B0"/>
    <w:rsid w:val="005B36CC"/>
    <w:rsid w:val="005C50E5"/>
    <w:rsid w:val="005D18D0"/>
    <w:rsid w:val="005D6226"/>
    <w:rsid w:val="005E3E95"/>
    <w:rsid w:val="00614A64"/>
    <w:rsid w:val="0065412E"/>
    <w:rsid w:val="0066659F"/>
    <w:rsid w:val="006A0D96"/>
    <w:rsid w:val="006C4346"/>
    <w:rsid w:val="006E0C99"/>
    <w:rsid w:val="006E3411"/>
    <w:rsid w:val="006F0EE2"/>
    <w:rsid w:val="00701AC1"/>
    <w:rsid w:val="0070550B"/>
    <w:rsid w:val="00712D46"/>
    <w:rsid w:val="007278BB"/>
    <w:rsid w:val="00737505"/>
    <w:rsid w:val="007534CF"/>
    <w:rsid w:val="00767A7B"/>
    <w:rsid w:val="00771286"/>
    <w:rsid w:val="007714C0"/>
    <w:rsid w:val="007734D7"/>
    <w:rsid w:val="00782A13"/>
    <w:rsid w:val="00797D26"/>
    <w:rsid w:val="007A7346"/>
    <w:rsid w:val="007E6F0C"/>
    <w:rsid w:val="007F280B"/>
    <w:rsid w:val="00856748"/>
    <w:rsid w:val="00862E80"/>
    <w:rsid w:val="00871A2C"/>
    <w:rsid w:val="00877E50"/>
    <w:rsid w:val="00893280"/>
    <w:rsid w:val="00896094"/>
    <w:rsid w:val="008A4217"/>
    <w:rsid w:val="008F1968"/>
    <w:rsid w:val="008F2241"/>
    <w:rsid w:val="008F622F"/>
    <w:rsid w:val="00905670"/>
    <w:rsid w:val="00927E18"/>
    <w:rsid w:val="00932B9F"/>
    <w:rsid w:val="00934E68"/>
    <w:rsid w:val="009435B3"/>
    <w:rsid w:val="00947C46"/>
    <w:rsid w:val="009579E6"/>
    <w:rsid w:val="00961726"/>
    <w:rsid w:val="00963E10"/>
    <w:rsid w:val="00986B2D"/>
    <w:rsid w:val="009949C8"/>
    <w:rsid w:val="009B561F"/>
    <w:rsid w:val="009D6FB3"/>
    <w:rsid w:val="009E4271"/>
    <w:rsid w:val="009F600E"/>
    <w:rsid w:val="00A1575D"/>
    <w:rsid w:val="00A45C18"/>
    <w:rsid w:val="00A46C87"/>
    <w:rsid w:val="00A523A3"/>
    <w:rsid w:val="00A76C27"/>
    <w:rsid w:val="00A94FAC"/>
    <w:rsid w:val="00B24946"/>
    <w:rsid w:val="00B24ADB"/>
    <w:rsid w:val="00B24D3B"/>
    <w:rsid w:val="00B36E5A"/>
    <w:rsid w:val="00B51D1F"/>
    <w:rsid w:val="00B548AE"/>
    <w:rsid w:val="00B61AE1"/>
    <w:rsid w:val="00B811C4"/>
    <w:rsid w:val="00B81B95"/>
    <w:rsid w:val="00B91E7D"/>
    <w:rsid w:val="00BC05A1"/>
    <w:rsid w:val="00BC37FA"/>
    <w:rsid w:val="00BD153A"/>
    <w:rsid w:val="00BD5551"/>
    <w:rsid w:val="00C10C36"/>
    <w:rsid w:val="00C25E76"/>
    <w:rsid w:val="00C35E3B"/>
    <w:rsid w:val="00C709DF"/>
    <w:rsid w:val="00C80FDD"/>
    <w:rsid w:val="00C845C5"/>
    <w:rsid w:val="00C9734C"/>
    <w:rsid w:val="00CA0EE4"/>
    <w:rsid w:val="00CD16F2"/>
    <w:rsid w:val="00CD549A"/>
    <w:rsid w:val="00D04EAA"/>
    <w:rsid w:val="00D102C5"/>
    <w:rsid w:val="00D16221"/>
    <w:rsid w:val="00D17F31"/>
    <w:rsid w:val="00D65DD9"/>
    <w:rsid w:val="00D7216A"/>
    <w:rsid w:val="00D8297B"/>
    <w:rsid w:val="00D97121"/>
    <w:rsid w:val="00DA4371"/>
    <w:rsid w:val="00DF2DE7"/>
    <w:rsid w:val="00E021E0"/>
    <w:rsid w:val="00E0595F"/>
    <w:rsid w:val="00E14444"/>
    <w:rsid w:val="00E216E2"/>
    <w:rsid w:val="00E2247E"/>
    <w:rsid w:val="00E225AF"/>
    <w:rsid w:val="00E25C7A"/>
    <w:rsid w:val="00E56B9D"/>
    <w:rsid w:val="00E62894"/>
    <w:rsid w:val="00E6474A"/>
    <w:rsid w:val="00E65BEF"/>
    <w:rsid w:val="00E80F7E"/>
    <w:rsid w:val="00E92E2F"/>
    <w:rsid w:val="00E96A07"/>
    <w:rsid w:val="00EA02E4"/>
    <w:rsid w:val="00EB47B0"/>
    <w:rsid w:val="00EB5495"/>
    <w:rsid w:val="00EC4754"/>
    <w:rsid w:val="00EC4C0A"/>
    <w:rsid w:val="00EC682A"/>
    <w:rsid w:val="00EC6D06"/>
    <w:rsid w:val="00EE12CF"/>
    <w:rsid w:val="00EE327E"/>
    <w:rsid w:val="00F02590"/>
    <w:rsid w:val="00F22C6E"/>
    <w:rsid w:val="00F63857"/>
    <w:rsid w:val="00F949E9"/>
    <w:rsid w:val="00F94DCA"/>
    <w:rsid w:val="00FC411C"/>
    <w:rsid w:val="00FD0528"/>
    <w:rsid w:val="00FE7D6E"/>
    <w:rsid w:val="01096E73"/>
    <w:rsid w:val="016872D4"/>
    <w:rsid w:val="0299408C"/>
    <w:rsid w:val="02E63C24"/>
    <w:rsid w:val="02E80E5B"/>
    <w:rsid w:val="02ED0832"/>
    <w:rsid w:val="03252C4B"/>
    <w:rsid w:val="03C06CEE"/>
    <w:rsid w:val="040040EF"/>
    <w:rsid w:val="040F1D90"/>
    <w:rsid w:val="058C74E5"/>
    <w:rsid w:val="06D07E3B"/>
    <w:rsid w:val="073F321D"/>
    <w:rsid w:val="077B1144"/>
    <w:rsid w:val="082067BC"/>
    <w:rsid w:val="084B733E"/>
    <w:rsid w:val="08996B3E"/>
    <w:rsid w:val="091B2649"/>
    <w:rsid w:val="09996115"/>
    <w:rsid w:val="0A60731B"/>
    <w:rsid w:val="0A934EBD"/>
    <w:rsid w:val="0AAB7EC3"/>
    <w:rsid w:val="0B1B03D9"/>
    <w:rsid w:val="0B684C81"/>
    <w:rsid w:val="0B76488A"/>
    <w:rsid w:val="0BDA131D"/>
    <w:rsid w:val="0BDF04B6"/>
    <w:rsid w:val="0CCD336F"/>
    <w:rsid w:val="0CCF562D"/>
    <w:rsid w:val="0DEE3248"/>
    <w:rsid w:val="0E1A1555"/>
    <w:rsid w:val="0E244600"/>
    <w:rsid w:val="0E867961"/>
    <w:rsid w:val="0EC129E7"/>
    <w:rsid w:val="0F3B239C"/>
    <w:rsid w:val="101407AE"/>
    <w:rsid w:val="10342676"/>
    <w:rsid w:val="10972BB2"/>
    <w:rsid w:val="10A522C3"/>
    <w:rsid w:val="11532F8E"/>
    <w:rsid w:val="116C0199"/>
    <w:rsid w:val="11D110F0"/>
    <w:rsid w:val="11F74C1A"/>
    <w:rsid w:val="12104619"/>
    <w:rsid w:val="122C0661"/>
    <w:rsid w:val="1286617C"/>
    <w:rsid w:val="135525A9"/>
    <w:rsid w:val="140705B7"/>
    <w:rsid w:val="14F70D4C"/>
    <w:rsid w:val="15102EA3"/>
    <w:rsid w:val="15467774"/>
    <w:rsid w:val="160D1AF4"/>
    <w:rsid w:val="160D4A3A"/>
    <w:rsid w:val="16455DA8"/>
    <w:rsid w:val="16476C15"/>
    <w:rsid w:val="179371CE"/>
    <w:rsid w:val="179D62A4"/>
    <w:rsid w:val="17B230CD"/>
    <w:rsid w:val="18011435"/>
    <w:rsid w:val="188D4DAA"/>
    <w:rsid w:val="19183667"/>
    <w:rsid w:val="1994650F"/>
    <w:rsid w:val="1A022BA2"/>
    <w:rsid w:val="1A24466B"/>
    <w:rsid w:val="1A6A44DC"/>
    <w:rsid w:val="1AC242D5"/>
    <w:rsid w:val="1B026DFF"/>
    <w:rsid w:val="1B4A0726"/>
    <w:rsid w:val="1B543759"/>
    <w:rsid w:val="1C0F6CD9"/>
    <w:rsid w:val="1C453C6E"/>
    <w:rsid w:val="1C787FA8"/>
    <w:rsid w:val="1D1E39BC"/>
    <w:rsid w:val="1DA17923"/>
    <w:rsid w:val="1E4C37D5"/>
    <w:rsid w:val="1E5B5D7C"/>
    <w:rsid w:val="1F4D2F78"/>
    <w:rsid w:val="1FE151B4"/>
    <w:rsid w:val="202C4527"/>
    <w:rsid w:val="208A15F2"/>
    <w:rsid w:val="208C1543"/>
    <w:rsid w:val="20D61E2E"/>
    <w:rsid w:val="2144592D"/>
    <w:rsid w:val="21A74D88"/>
    <w:rsid w:val="221C56F3"/>
    <w:rsid w:val="227E13F5"/>
    <w:rsid w:val="22DE4249"/>
    <w:rsid w:val="231832FB"/>
    <w:rsid w:val="23275CF7"/>
    <w:rsid w:val="23EA10E9"/>
    <w:rsid w:val="248D0D8E"/>
    <w:rsid w:val="249D1F14"/>
    <w:rsid w:val="24AD08BA"/>
    <w:rsid w:val="25222D3D"/>
    <w:rsid w:val="25A23DF1"/>
    <w:rsid w:val="25B43FE9"/>
    <w:rsid w:val="2623482B"/>
    <w:rsid w:val="26516975"/>
    <w:rsid w:val="26713B54"/>
    <w:rsid w:val="26FD6084"/>
    <w:rsid w:val="27242FB3"/>
    <w:rsid w:val="27F01025"/>
    <w:rsid w:val="27F177CD"/>
    <w:rsid w:val="282A6BFD"/>
    <w:rsid w:val="286F6BA7"/>
    <w:rsid w:val="287F7F28"/>
    <w:rsid w:val="290A384F"/>
    <w:rsid w:val="29C6486A"/>
    <w:rsid w:val="29FD274E"/>
    <w:rsid w:val="2A072474"/>
    <w:rsid w:val="2A2264FA"/>
    <w:rsid w:val="2A7F14BA"/>
    <w:rsid w:val="2A8778DB"/>
    <w:rsid w:val="2AF62BDF"/>
    <w:rsid w:val="2AFB621A"/>
    <w:rsid w:val="2BC76739"/>
    <w:rsid w:val="2BF96B8B"/>
    <w:rsid w:val="2C483892"/>
    <w:rsid w:val="2C740D5C"/>
    <w:rsid w:val="2C891FE9"/>
    <w:rsid w:val="2D5159CF"/>
    <w:rsid w:val="2D7A4331"/>
    <w:rsid w:val="2DB4303D"/>
    <w:rsid w:val="2E417FF4"/>
    <w:rsid w:val="2E8D5CCE"/>
    <w:rsid w:val="2F032994"/>
    <w:rsid w:val="2F0C0DAA"/>
    <w:rsid w:val="2F564FEA"/>
    <w:rsid w:val="2FBF3EDB"/>
    <w:rsid w:val="2FD72ADE"/>
    <w:rsid w:val="30BB664C"/>
    <w:rsid w:val="31A077C9"/>
    <w:rsid w:val="31AA4C71"/>
    <w:rsid w:val="32472096"/>
    <w:rsid w:val="33780BD7"/>
    <w:rsid w:val="33E3586F"/>
    <w:rsid w:val="343277C4"/>
    <w:rsid w:val="34545F3A"/>
    <w:rsid w:val="34A95ABE"/>
    <w:rsid w:val="34B15E25"/>
    <w:rsid w:val="34EC7611"/>
    <w:rsid w:val="35072977"/>
    <w:rsid w:val="35337E0C"/>
    <w:rsid w:val="35714818"/>
    <w:rsid w:val="35911B18"/>
    <w:rsid w:val="35962335"/>
    <w:rsid w:val="35C46168"/>
    <w:rsid w:val="361A2D08"/>
    <w:rsid w:val="362A215E"/>
    <w:rsid w:val="363242AD"/>
    <w:rsid w:val="364F5FD8"/>
    <w:rsid w:val="36C07AFE"/>
    <w:rsid w:val="36C87C9D"/>
    <w:rsid w:val="36FF22B8"/>
    <w:rsid w:val="379A6975"/>
    <w:rsid w:val="37EF193B"/>
    <w:rsid w:val="38387910"/>
    <w:rsid w:val="38A635AE"/>
    <w:rsid w:val="391904B9"/>
    <w:rsid w:val="3BF12975"/>
    <w:rsid w:val="3CF726D7"/>
    <w:rsid w:val="3D0B2ECF"/>
    <w:rsid w:val="3D0E5C77"/>
    <w:rsid w:val="3DB112E3"/>
    <w:rsid w:val="3E5634E0"/>
    <w:rsid w:val="3E977672"/>
    <w:rsid w:val="3ECB244C"/>
    <w:rsid w:val="3F283A6E"/>
    <w:rsid w:val="3FCC2491"/>
    <w:rsid w:val="405D57A2"/>
    <w:rsid w:val="4063029D"/>
    <w:rsid w:val="40884D16"/>
    <w:rsid w:val="40887F25"/>
    <w:rsid w:val="408E0F6B"/>
    <w:rsid w:val="40AD6F62"/>
    <w:rsid w:val="41742331"/>
    <w:rsid w:val="41981A07"/>
    <w:rsid w:val="41D26579"/>
    <w:rsid w:val="41E12669"/>
    <w:rsid w:val="42D2244B"/>
    <w:rsid w:val="43043ABB"/>
    <w:rsid w:val="439C3417"/>
    <w:rsid w:val="44547303"/>
    <w:rsid w:val="445B5A1D"/>
    <w:rsid w:val="44F66ABF"/>
    <w:rsid w:val="453946EA"/>
    <w:rsid w:val="45AD743F"/>
    <w:rsid w:val="462B710A"/>
    <w:rsid w:val="46900BCA"/>
    <w:rsid w:val="46E54F06"/>
    <w:rsid w:val="47095C13"/>
    <w:rsid w:val="472977ED"/>
    <w:rsid w:val="47312560"/>
    <w:rsid w:val="49213A4A"/>
    <w:rsid w:val="49445AF3"/>
    <w:rsid w:val="49666D30"/>
    <w:rsid w:val="4AA2424A"/>
    <w:rsid w:val="4BA35709"/>
    <w:rsid w:val="4BC5582C"/>
    <w:rsid w:val="4CAA1DB9"/>
    <w:rsid w:val="4D346DB0"/>
    <w:rsid w:val="4D3B6823"/>
    <w:rsid w:val="4D772495"/>
    <w:rsid w:val="4DCB026D"/>
    <w:rsid w:val="4E5825C5"/>
    <w:rsid w:val="4EA40AAC"/>
    <w:rsid w:val="4EF10D9F"/>
    <w:rsid w:val="4F386939"/>
    <w:rsid w:val="51877B58"/>
    <w:rsid w:val="524D0959"/>
    <w:rsid w:val="52CB1A09"/>
    <w:rsid w:val="52D7405D"/>
    <w:rsid w:val="53013A4B"/>
    <w:rsid w:val="53116BA1"/>
    <w:rsid w:val="534A3C95"/>
    <w:rsid w:val="535A5C00"/>
    <w:rsid w:val="53A15461"/>
    <w:rsid w:val="53D758C2"/>
    <w:rsid w:val="53D87D15"/>
    <w:rsid w:val="542B4FAE"/>
    <w:rsid w:val="54744E21"/>
    <w:rsid w:val="548215A5"/>
    <w:rsid w:val="54A85829"/>
    <w:rsid w:val="55342219"/>
    <w:rsid w:val="554D078F"/>
    <w:rsid w:val="56325324"/>
    <w:rsid w:val="56D14A44"/>
    <w:rsid w:val="580C1868"/>
    <w:rsid w:val="58433EDF"/>
    <w:rsid w:val="58465F2C"/>
    <w:rsid w:val="584B47FB"/>
    <w:rsid w:val="58E31495"/>
    <w:rsid w:val="591469D0"/>
    <w:rsid w:val="591E7196"/>
    <w:rsid w:val="596115AC"/>
    <w:rsid w:val="597A5475"/>
    <w:rsid w:val="598711CA"/>
    <w:rsid w:val="59B23598"/>
    <w:rsid w:val="59CE7435"/>
    <w:rsid w:val="5A085671"/>
    <w:rsid w:val="5B560BEF"/>
    <w:rsid w:val="5C02479D"/>
    <w:rsid w:val="5C2E2A00"/>
    <w:rsid w:val="5C3B6163"/>
    <w:rsid w:val="5C9D776E"/>
    <w:rsid w:val="5CE67624"/>
    <w:rsid w:val="5CF91525"/>
    <w:rsid w:val="5DB62E22"/>
    <w:rsid w:val="5DE55AAD"/>
    <w:rsid w:val="5DF92A7B"/>
    <w:rsid w:val="5E8132FA"/>
    <w:rsid w:val="5EA3702B"/>
    <w:rsid w:val="5EF820B1"/>
    <w:rsid w:val="5F8266B0"/>
    <w:rsid w:val="5F8800AD"/>
    <w:rsid w:val="60196ACC"/>
    <w:rsid w:val="602F3AC7"/>
    <w:rsid w:val="60462E14"/>
    <w:rsid w:val="610734E9"/>
    <w:rsid w:val="6121464D"/>
    <w:rsid w:val="61B07621"/>
    <w:rsid w:val="61C6591D"/>
    <w:rsid w:val="622A28CA"/>
    <w:rsid w:val="622C7FA1"/>
    <w:rsid w:val="62535A99"/>
    <w:rsid w:val="62AD6A84"/>
    <w:rsid w:val="62EA2020"/>
    <w:rsid w:val="62F66D88"/>
    <w:rsid w:val="63C059D2"/>
    <w:rsid w:val="63D653F3"/>
    <w:rsid w:val="641B6599"/>
    <w:rsid w:val="641F25D2"/>
    <w:rsid w:val="64505CB8"/>
    <w:rsid w:val="645D179A"/>
    <w:rsid w:val="64A34F81"/>
    <w:rsid w:val="64B14EDC"/>
    <w:rsid w:val="64E506BE"/>
    <w:rsid w:val="64F57C6E"/>
    <w:rsid w:val="65415AAE"/>
    <w:rsid w:val="65E1314F"/>
    <w:rsid w:val="66627414"/>
    <w:rsid w:val="666526F9"/>
    <w:rsid w:val="669A732D"/>
    <w:rsid w:val="67A27A68"/>
    <w:rsid w:val="67CF34A0"/>
    <w:rsid w:val="680F42DB"/>
    <w:rsid w:val="681159CB"/>
    <w:rsid w:val="68704024"/>
    <w:rsid w:val="68C137BA"/>
    <w:rsid w:val="68CD6381"/>
    <w:rsid w:val="68CF737E"/>
    <w:rsid w:val="694C07E5"/>
    <w:rsid w:val="695E28E2"/>
    <w:rsid w:val="6968091F"/>
    <w:rsid w:val="6A75758F"/>
    <w:rsid w:val="6A833BAC"/>
    <w:rsid w:val="6AD72D3B"/>
    <w:rsid w:val="6B0810E0"/>
    <w:rsid w:val="6B0C448E"/>
    <w:rsid w:val="6B1762D9"/>
    <w:rsid w:val="6B740DBA"/>
    <w:rsid w:val="6C314077"/>
    <w:rsid w:val="6D1841DC"/>
    <w:rsid w:val="6D477461"/>
    <w:rsid w:val="6D48372F"/>
    <w:rsid w:val="6D814E1E"/>
    <w:rsid w:val="6E6A368B"/>
    <w:rsid w:val="6EBD6146"/>
    <w:rsid w:val="6EEC4937"/>
    <w:rsid w:val="6F5B698D"/>
    <w:rsid w:val="6F7C5106"/>
    <w:rsid w:val="6F9317B9"/>
    <w:rsid w:val="708E79F5"/>
    <w:rsid w:val="71C40D8D"/>
    <w:rsid w:val="723278B7"/>
    <w:rsid w:val="729552C8"/>
    <w:rsid w:val="72D769C4"/>
    <w:rsid w:val="73110529"/>
    <w:rsid w:val="73492896"/>
    <w:rsid w:val="73BE0ABA"/>
    <w:rsid w:val="73E958E9"/>
    <w:rsid w:val="73F62E23"/>
    <w:rsid w:val="7434432A"/>
    <w:rsid w:val="74EF26D4"/>
    <w:rsid w:val="75434D5C"/>
    <w:rsid w:val="75A95FB4"/>
    <w:rsid w:val="75AE501A"/>
    <w:rsid w:val="75C627A2"/>
    <w:rsid w:val="75E0081B"/>
    <w:rsid w:val="766706A4"/>
    <w:rsid w:val="76841D98"/>
    <w:rsid w:val="76CF1F80"/>
    <w:rsid w:val="76D642AD"/>
    <w:rsid w:val="76F23F83"/>
    <w:rsid w:val="770E2391"/>
    <w:rsid w:val="77FE22AB"/>
    <w:rsid w:val="787C7092"/>
    <w:rsid w:val="78984FBE"/>
    <w:rsid w:val="798B3F0C"/>
    <w:rsid w:val="7A385403"/>
    <w:rsid w:val="7A5A3AC3"/>
    <w:rsid w:val="7B195331"/>
    <w:rsid w:val="7B216417"/>
    <w:rsid w:val="7B382280"/>
    <w:rsid w:val="7CA04924"/>
    <w:rsid w:val="7DA466C2"/>
    <w:rsid w:val="7DCC6F53"/>
    <w:rsid w:val="7DE672E2"/>
    <w:rsid w:val="7E4E5843"/>
    <w:rsid w:val="7EAB7C34"/>
    <w:rsid w:val="7F33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rFonts w:cs="Times New Roman"/>
      <w:b/>
      <w:bCs/>
    </w:rPr>
  </w:style>
  <w:style w:type="character" w:styleId="9">
    <w:name w:val="Hyperlink"/>
    <w:qFormat/>
    <w:uiPriority w:val="0"/>
    <w:rPr>
      <w:color w:val="0000FF"/>
      <w:u w:val="singl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rPr>
      <w:rFonts w:asciiTheme="minorHAnsi" w:hAnsiTheme="minorHAnsi" w:eastAsiaTheme="minorEastAsia" w:cstheme="minorBidi"/>
      <w:kern w:val="2"/>
      <w:sz w:val="21"/>
      <w:szCs w:val="22"/>
    </w:rPr>
  </w:style>
  <w:style w:type="paragraph" w:customStyle="1" w:styleId="14">
    <w:name w:val="列出段落1"/>
    <w:basedOn w:val="1"/>
    <w:qFormat/>
    <w:uiPriority w:val="99"/>
    <w:pPr>
      <w:ind w:firstLine="420" w:firstLineChars="200"/>
    </w:pPr>
    <w:rPr>
      <w:rFonts w:cs="Times New Roman"/>
    </w:rPr>
  </w:style>
  <w:style w:type="character" w:customStyle="1" w:styleId="15">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756F-ECB0-4A64-803B-26A6A3956A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565</Words>
  <Characters>3223</Characters>
  <Lines>26</Lines>
  <Paragraphs>7</Paragraphs>
  <TotalTime>2</TotalTime>
  <ScaleCrop>false</ScaleCrop>
  <LinksUpToDate>false</LinksUpToDate>
  <CharactersWithSpaces>3781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2019-04-04T07:28:00Z</dcterms:created>
  <dc:creator>PP P</dc:creator>
  <cp:lastModifiedBy>Administrator</cp:lastModifiedBy>
  <cp:lastPrinted>2020-04-22T07:39:00Z</cp:lastPrinted>
  <dcterms:modified xsi:type="dcterms:W3CDTF">2020-05-25T02:07:22Z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