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jc w:val="center"/>
        </w:trPr>
        <w:tc>
          <w:tcPr>
            <w:tcW w:w="9248" w:type="dxa"/>
            <w:vAlign w:val="center"/>
          </w:tcPr>
          <w:p>
            <w:pPr>
              <w:autoSpaceDE/>
              <w:autoSpaceDN/>
              <w:jc w:val="distribute"/>
              <w:rPr>
                <w:rFonts w:hint="default" w:cs="宋体"/>
                <w:color w:val="FF0000"/>
                <w:sz w:val="70"/>
                <w:szCs w:val="70"/>
              </w:rPr>
            </w:pPr>
            <w:r>
              <w:rPr>
                <w:rFonts w:cs="宋体"/>
                <w:color w:val="FF0000"/>
                <w:sz w:val="70"/>
                <w:szCs w:val="70"/>
              </w:rPr>
              <w:t>中 国 投 资 协 会</w:t>
            </w:r>
          </w:p>
          <w:p>
            <w:pPr>
              <w:autoSpaceDE/>
              <w:autoSpaceDN/>
              <w:jc w:val="distribute"/>
              <w:rPr>
                <w:rFonts w:hint="default" w:ascii="楷体" w:hAnsi="楷体" w:eastAsia="楷体"/>
                <w:color w:val="FF0000"/>
                <w:sz w:val="70"/>
                <w:szCs w:val="70"/>
              </w:rPr>
            </w:pPr>
            <w:r>
              <w:rPr>
                <w:rFonts w:cs="宋体"/>
                <w:color w:val="FF0000"/>
                <w:sz w:val="70"/>
                <w:szCs w:val="70"/>
              </w:rPr>
              <w:t>项目投融资专业委员会文件</w:t>
            </w:r>
          </w:p>
          <w:p>
            <w:pPr>
              <w:autoSpaceDE/>
              <w:autoSpaceDN/>
              <w:jc w:val="center"/>
              <w:rPr>
                <w:rFonts w:hint="default" w:ascii="楷体" w:hAnsi="楷体" w:eastAsia="楷体"/>
                <w:color w:val="000000"/>
                <w:sz w:val="66"/>
                <w:szCs w:val="66"/>
              </w:rPr>
            </w:pPr>
            <w:r>
              <w:rPr>
                <w:rFonts w:cs="宋体"/>
                <w:sz w:val="30"/>
                <w:szCs w:val="30"/>
              </w:rPr>
              <w:t>投融培字〔2020〕9号</w:t>
            </w:r>
          </w:p>
        </w:tc>
      </w:tr>
    </w:tbl>
    <w:p>
      <w:pPr>
        <w:pStyle w:val="5"/>
        <w:spacing w:line="440" w:lineRule="exact"/>
        <w:rPr>
          <w:rFonts w:hint="default" w:ascii="华文中宋" w:hAnsi="华文中宋" w:eastAsia="华文中宋"/>
        </w:rPr>
      </w:pPr>
      <w:r>
        <w:rPr>
          <w:rFonts w:ascii="华文中宋" w:hAnsi="华文中宋" w:eastAsia="华文中宋" w:cstheme="majorEastAsia"/>
          <w:sz w:val="36"/>
          <w:szCs w:val="36"/>
        </w:rPr>
        <w:t>关于举办地方政府专项债券+PPP项目创新实务及  PPP项目运营税务筹划、财务测算与审计专题培训班的通知</w:t>
      </w:r>
    </w:p>
    <w:p>
      <w:pPr>
        <w:autoSpaceDE/>
        <w:autoSpaceDN/>
        <w:adjustRightInd/>
        <w:spacing w:line="300" w:lineRule="exact"/>
        <w:jc w:val="both"/>
        <w:rPr>
          <w:rFonts w:hint="default" w:ascii="仿宋" w:hAnsi="仿宋" w:eastAsia="仿宋" w:cs="仿宋"/>
          <w:b/>
          <w:kern w:val="2"/>
          <w:sz w:val="28"/>
          <w:szCs w:val="28"/>
        </w:rPr>
      </w:pPr>
    </w:p>
    <w:p>
      <w:pPr>
        <w:autoSpaceDE/>
        <w:autoSpaceDN/>
        <w:adjustRightInd/>
        <w:spacing w:line="300" w:lineRule="exact"/>
        <w:jc w:val="both"/>
        <w:rPr>
          <w:rFonts w:hint="default" w:ascii="仿宋" w:hAnsi="仿宋" w:eastAsia="仿宋" w:cs="仿宋"/>
          <w:b/>
          <w:kern w:val="2"/>
          <w:sz w:val="32"/>
          <w:szCs w:val="32"/>
        </w:rPr>
      </w:pPr>
      <w:r>
        <w:rPr>
          <w:rFonts w:ascii="仿宋" w:hAnsi="仿宋" w:eastAsia="仿宋" w:cs="仿宋"/>
          <w:b/>
          <w:kern w:val="2"/>
          <w:sz w:val="32"/>
          <w:szCs w:val="32"/>
        </w:rPr>
        <w:t>各有关单位:</w:t>
      </w:r>
    </w:p>
    <w:p>
      <w:pPr>
        <w:autoSpaceDE/>
        <w:autoSpaceDN/>
        <w:adjustRightInd/>
        <w:spacing w:line="3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财政部《政府会计准则第10号—政府和社会资本合作安排》及应用指南（征求意见稿），对政府会计</w:t>
      </w:r>
      <w:r>
        <w:rPr>
          <w:rFonts w:ascii="仿宋" w:hAnsi="仿宋" w:eastAsia="仿宋" w:cs="仿宋"/>
          <w:bCs/>
          <w:kern w:val="2"/>
          <w:sz w:val="28"/>
          <w:szCs w:val="28"/>
        </w:rPr>
        <w:t>制度</w:t>
      </w:r>
      <w:r>
        <w:rPr>
          <w:rFonts w:hint="default" w:ascii="仿宋" w:hAnsi="仿宋" w:eastAsia="仿宋" w:cs="仿宋"/>
          <w:bCs/>
          <w:kern w:val="2"/>
          <w:sz w:val="28"/>
          <w:szCs w:val="28"/>
        </w:rPr>
        <w:t>改革、</w:t>
      </w:r>
      <w:r>
        <w:rPr>
          <w:rFonts w:ascii="仿宋" w:hAnsi="仿宋" w:eastAsia="仿宋" w:cs="仿宋"/>
          <w:bCs/>
          <w:kern w:val="2"/>
          <w:sz w:val="28"/>
          <w:szCs w:val="28"/>
        </w:rPr>
        <w:t>项目</w:t>
      </w:r>
      <w:r>
        <w:rPr>
          <w:rFonts w:hint="default" w:ascii="仿宋" w:hAnsi="仿宋" w:eastAsia="仿宋" w:cs="仿宋"/>
          <w:bCs/>
          <w:kern w:val="2"/>
          <w:sz w:val="28"/>
          <w:szCs w:val="28"/>
        </w:rPr>
        <w:t>审计及项目财务管理提出了新的思路。PPP项目审计已经成为政府审计工作的重要组成部分。</w:t>
      </w:r>
    </w:p>
    <w:p>
      <w:pPr>
        <w:autoSpaceDE/>
        <w:autoSpaceDN/>
        <w:adjustRightInd/>
        <w:spacing w:line="3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为了加快建立规范的地方政府融资机制，</w:t>
      </w:r>
      <w:r>
        <w:rPr>
          <w:rFonts w:ascii="仿宋" w:hAnsi="仿宋" w:eastAsia="仿宋" w:cs="仿宋"/>
          <w:bCs/>
          <w:kern w:val="2"/>
          <w:sz w:val="28"/>
          <w:szCs w:val="28"/>
        </w:rPr>
        <w:t>促进</w:t>
      </w:r>
      <w:r>
        <w:rPr>
          <w:rFonts w:hint="default" w:ascii="仿宋" w:hAnsi="仿宋" w:eastAsia="仿宋" w:cs="仿宋"/>
          <w:bCs/>
          <w:kern w:val="2"/>
          <w:sz w:val="28"/>
          <w:szCs w:val="28"/>
        </w:rPr>
        <w:t>地方经济可持续性发展，探索PPP与专项债的结合，</w:t>
      </w:r>
      <w:r>
        <w:rPr>
          <w:rFonts w:ascii="仿宋" w:hAnsi="仿宋" w:eastAsia="仿宋" w:cs="仿宋"/>
          <w:bCs/>
          <w:kern w:val="2"/>
          <w:sz w:val="28"/>
          <w:szCs w:val="28"/>
        </w:rPr>
        <w:t>使前期财务分析更加贴近实际，加强对SPV公司</w:t>
      </w:r>
      <w:r>
        <w:rPr>
          <w:rFonts w:hint="default" w:ascii="仿宋" w:hAnsi="仿宋" w:eastAsia="仿宋" w:cs="仿宋"/>
          <w:bCs/>
          <w:kern w:val="2"/>
          <w:sz w:val="28"/>
          <w:szCs w:val="28"/>
        </w:rPr>
        <w:t>资金、</w:t>
      </w:r>
      <w:r>
        <w:rPr>
          <w:rFonts w:ascii="仿宋" w:hAnsi="仿宋" w:eastAsia="仿宋" w:cs="仿宋"/>
          <w:bCs/>
          <w:kern w:val="2"/>
          <w:sz w:val="28"/>
          <w:szCs w:val="28"/>
        </w:rPr>
        <w:t>财务</w:t>
      </w:r>
      <w:r>
        <w:rPr>
          <w:rFonts w:hint="default" w:ascii="仿宋" w:hAnsi="仿宋" w:eastAsia="仿宋" w:cs="仿宋"/>
          <w:bCs/>
          <w:kern w:val="2"/>
          <w:sz w:val="28"/>
          <w:szCs w:val="28"/>
        </w:rPr>
        <w:t>预算、</w:t>
      </w:r>
      <w:r>
        <w:rPr>
          <w:rFonts w:ascii="仿宋" w:hAnsi="仿宋" w:eastAsia="仿宋" w:cs="仿宋"/>
          <w:bCs/>
          <w:kern w:val="2"/>
          <w:sz w:val="28"/>
          <w:szCs w:val="28"/>
        </w:rPr>
        <w:t>投资</w:t>
      </w:r>
      <w:r>
        <w:rPr>
          <w:rFonts w:hint="default" w:ascii="仿宋" w:hAnsi="仿宋" w:eastAsia="仿宋" w:cs="仿宋"/>
          <w:bCs/>
          <w:kern w:val="2"/>
          <w:sz w:val="28"/>
          <w:szCs w:val="28"/>
        </w:rPr>
        <w:t>融资</w:t>
      </w:r>
      <w:r>
        <w:rPr>
          <w:rFonts w:ascii="仿宋" w:hAnsi="仿宋" w:eastAsia="仿宋" w:cs="仿宋"/>
          <w:bCs/>
          <w:kern w:val="2"/>
          <w:sz w:val="28"/>
          <w:szCs w:val="28"/>
        </w:rPr>
        <w:t>、</w:t>
      </w:r>
      <w:r>
        <w:rPr>
          <w:rFonts w:hint="default" w:ascii="仿宋" w:hAnsi="仿宋" w:eastAsia="仿宋" w:cs="仿宋"/>
          <w:bCs/>
          <w:kern w:val="2"/>
          <w:sz w:val="28"/>
          <w:szCs w:val="28"/>
        </w:rPr>
        <w:t>风险管理</w:t>
      </w:r>
      <w:r>
        <w:rPr>
          <w:rFonts w:ascii="仿宋" w:hAnsi="仿宋" w:eastAsia="仿宋" w:cs="仿宋"/>
          <w:bCs/>
          <w:kern w:val="2"/>
          <w:sz w:val="28"/>
          <w:szCs w:val="28"/>
        </w:rPr>
        <w:t>，</w:t>
      </w:r>
      <w:r>
        <w:rPr>
          <w:rFonts w:ascii="仿宋_GB2312" w:hAnsi="仿宋_GB2312" w:eastAsia="仿宋_GB2312" w:cs="仿宋_GB2312"/>
          <w:bCs/>
          <w:color w:val="000000"/>
          <w:kern w:val="2"/>
          <w:sz w:val="28"/>
          <w:szCs w:val="28"/>
        </w:rPr>
        <w:t>中国投资协会项目投融资专业委员会会同北京中科善若教育咨询有限公司</w:t>
      </w:r>
      <w:r>
        <w:rPr>
          <w:rFonts w:ascii="仿宋" w:hAnsi="仿宋" w:eastAsia="仿宋" w:cs="仿宋"/>
          <w:bCs/>
          <w:kern w:val="2"/>
          <w:sz w:val="28"/>
          <w:szCs w:val="28"/>
        </w:rPr>
        <w:t>举办</w:t>
      </w:r>
      <w:r>
        <w:rPr>
          <w:rFonts w:hint="default" w:ascii="仿宋" w:hAnsi="仿宋" w:eastAsia="仿宋" w:cs="仿宋"/>
          <w:bCs/>
          <w:kern w:val="2"/>
          <w:sz w:val="28"/>
          <w:szCs w:val="28"/>
        </w:rPr>
        <w:t>地方政府专项债券+PPP项目创新实务及PPP项目运营、税务筹划、财务测算与审计专题培训班</w:t>
      </w:r>
      <w:r>
        <w:rPr>
          <w:rFonts w:ascii="仿宋" w:hAnsi="仿宋" w:eastAsia="仿宋" w:cs="仿宋"/>
          <w:bCs/>
          <w:kern w:val="2"/>
          <w:sz w:val="28"/>
          <w:szCs w:val="28"/>
        </w:rPr>
        <w:t>。现将具体事项通知如下：</w:t>
      </w:r>
    </w:p>
    <w:p>
      <w:pPr>
        <w:autoSpaceDE/>
        <w:autoSpaceDN/>
        <w:adjustRightInd/>
        <w:spacing w:line="300" w:lineRule="exact"/>
        <w:ind w:firstLine="560" w:firstLineChars="200"/>
        <w:rPr>
          <w:rFonts w:hint="default" w:ascii="黑体" w:hAnsi="黑体" w:eastAsia="黑体" w:cs="黑体"/>
          <w:kern w:val="2"/>
          <w:sz w:val="28"/>
          <w:szCs w:val="28"/>
        </w:rPr>
      </w:pPr>
      <w:r>
        <w:rPr>
          <w:rFonts w:ascii="黑体" w:hAnsi="黑体" w:eastAsia="黑体" w:cs="黑体"/>
          <w:kern w:val="2"/>
          <w:sz w:val="28"/>
          <w:szCs w:val="28"/>
        </w:rPr>
        <w:t>一、组织机构</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主办单位：中国投资协会项目投融资专业委员会</w:t>
      </w:r>
    </w:p>
    <w:p>
      <w:pPr>
        <w:autoSpaceDE/>
        <w:autoSpaceDN/>
        <w:spacing w:line="300" w:lineRule="exact"/>
        <w:ind w:firstLine="560" w:firstLineChars="200"/>
        <w:rPr>
          <w:rFonts w:hint="default" w:ascii="仿宋_GB2312" w:hAnsi="仿宋_GB2312" w:eastAsia="仿宋_GB2312" w:cs="仿宋_GB2312"/>
          <w:bCs/>
          <w:color w:val="000000"/>
          <w:kern w:val="2"/>
          <w:sz w:val="28"/>
          <w:szCs w:val="28"/>
        </w:rPr>
      </w:pPr>
      <w:r>
        <w:rPr>
          <w:rFonts w:ascii="仿宋" w:hAnsi="仿宋" w:eastAsia="仿宋"/>
          <w:kern w:val="2"/>
          <w:sz w:val="28"/>
          <w:szCs w:val="28"/>
        </w:rPr>
        <w:t>承办单位：</w:t>
      </w:r>
      <w:r>
        <w:rPr>
          <w:rFonts w:ascii="仿宋_GB2312" w:hAnsi="仿宋_GB2312" w:eastAsia="仿宋_GB2312" w:cs="仿宋_GB2312"/>
          <w:bCs/>
          <w:color w:val="000000"/>
          <w:kern w:val="2"/>
          <w:sz w:val="28"/>
          <w:szCs w:val="28"/>
        </w:rPr>
        <w:t>北京中科善若教育咨询有限公司</w:t>
      </w:r>
    </w:p>
    <w:p>
      <w:pPr>
        <w:spacing w:line="300" w:lineRule="exact"/>
        <w:ind w:firstLine="560" w:firstLineChars="200"/>
        <w:rPr>
          <w:rFonts w:hint="default" w:ascii="楷体" w:hAnsi="楷体" w:eastAsia="楷体" w:cs="楷体"/>
          <w:kern w:val="2"/>
          <w:sz w:val="28"/>
          <w:szCs w:val="28"/>
        </w:rPr>
      </w:pPr>
      <w:r>
        <w:rPr>
          <w:rFonts w:ascii="黑体" w:hAnsi="黑体" w:eastAsia="黑体" w:cs="黑体"/>
          <w:kern w:val="2"/>
          <w:sz w:val="28"/>
          <w:szCs w:val="28"/>
        </w:rPr>
        <w:t>二、培训内容</w:t>
      </w:r>
      <w:r>
        <w:rPr>
          <w:rFonts w:ascii="楷体" w:hAnsi="楷体" w:eastAsia="楷体" w:cs="楷体"/>
          <w:kern w:val="2"/>
          <w:sz w:val="28"/>
          <w:szCs w:val="28"/>
        </w:rPr>
        <w:t>（详细内容见附件）</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（一）</w:t>
      </w:r>
      <w:r>
        <w:rPr>
          <w:rFonts w:hint="default" w:ascii="仿宋" w:hAnsi="仿宋" w:eastAsia="仿宋"/>
          <w:kern w:val="2"/>
          <w:sz w:val="28"/>
          <w:szCs w:val="28"/>
        </w:rPr>
        <w:t>地方政府专项债券全流程</w:t>
      </w:r>
      <w:r>
        <w:rPr>
          <w:rFonts w:ascii="仿宋" w:hAnsi="仿宋" w:eastAsia="仿宋"/>
          <w:kern w:val="2"/>
          <w:sz w:val="28"/>
          <w:szCs w:val="28"/>
        </w:rPr>
        <w:t>实务</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1.</w:t>
      </w:r>
      <w:r>
        <w:rPr>
          <w:rFonts w:hint="default" w:ascii="仿宋" w:hAnsi="仿宋" w:eastAsia="仿宋"/>
          <w:kern w:val="2"/>
          <w:sz w:val="28"/>
          <w:szCs w:val="28"/>
        </w:rPr>
        <w:t>地方政府专项债券政策背景</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2.</w:t>
      </w:r>
      <w:r>
        <w:rPr>
          <w:rFonts w:hint="default" w:ascii="仿宋" w:hAnsi="仿宋" w:eastAsia="仿宋"/>
          <w:kern w:val="2"/>
          <w:sz w:val="28"/>
          <w:szCs w:val="28"/>
        </w:rPr>
        <w:t>地方政府专项债券法律管理制度体系</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3.</w:t>
      </w:r>
      <w:r>
        <w:rPr>
          <w:rFonts w:hint="default" w:ascii="仿宋" w:hAnsi="仿宋" w:eastAsia="仿宋"/>
          <w:kern w:val="2"/>
          <w:sz w:val="28"/>
          <w:szCs w:val="28"/>
        </w:rPr>
        <w:t>地方政府专项债操作实务</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4.</w:t>
      </w:r>
      <w:r>
        <w:rPr>
          <w:rFonts w:hint="default" w:ascii="仿宋" w:hAnsi="仿宋" w:eastAsia="仿宋"/>
          <w:kern w:val="2"/>
          <w:sz w:val="28"/>
          <w:szCs w:val="28"/>
        </w:rPr>
        <w:t>项目收益平衡评价</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5.</w:t>
      </w:r>
      <w:r>
        <w:rPr>
          <w:rFonts w:hint="default" w:ascii="仿宋" w:hAnsi="仿宋" w:eastAsia="仿宋"/>
          <w:kern w:val="2"/>
          <w:sz w:val="28"/>
          <w:szCs w:val="28"/>
        </w:rPr>
        <w:t>专项债券的全面风险管理体系</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6.</w:t>
      </w:r>
      <w:r>
        <w:rPr>
          <w:rFonts w:hint="default" w:ascii="仿宋" w:hAnsi="仿宋" w:eastAsia="仿宋"/>
          <w:kern w:val="2"/>
          <w:sz w:val="28"/>
          <w:szCs w:val="28"/>
        </w:rPr>
        <w:t>项目收益专项债券发行计划和信息披露</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7.</w:t>
      </w:r>
      <w:r>
        <w:rPr>
          <w:rFonts w:hint="default" w:ascii="仿宋" w:hAnsi="仿宋" w:eastAsia="仿宋"/>
          <w:kern w:val="2"/>
          <w:sz w:val="28"/>
          <w:szCs w:val="28"/>
        </w:rPr>
        <w:t>项目收益专项债券的典型案例</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（二）</w:t>
      </w:r>
      <w:r>
        <w:rPr>
          <w:rFonts w:hint="default" w:ascii="仿宋" w:hAnsi="仿宋" w:eastAsia="仿宋"/>
          <w:kern w:val="2"/>
          <w:sz w:val="28"/>
          <w:szCs w:val="28"/>
        </w:rPr>
        <w:t>如何活用专项债—专项债的组合式应用</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1.</w:t>
      </w:r>
      <w:r>
        <w:rPr>
          <w:rFonts w:hint="default" w:ascii="仿宋" w:hAnsi="仿宋" w:eastAsia="仿宋"/>
          <w:kern w:val="2"/>
          <w:sz w:val="28"/>
          <w:szCs w:val="28"/>
        </w:rPr>
        <w:t>使用专项债的思路</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2.</w:t>
      </w:r>
      <w:r>
        <w:rPr>
          <w:rFonts w:hint="default" w:ascii="仿宋" w:hAnsi="仿宋" w:eastAsia="仿宋"/>
          <w:kern w:val="2"/>
          <w:sz w:val="28"/>
          <w:szCs w:val="28"/>
        </w:rPr>
        <w:t>专项债与PPP的组合应用</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3.</w:t>
      </w:r>
      <w:r>
        <w:rPr>
          <w:rFonts w:hint="default" w:ascii="仿宋" w:hAnsi="仿宋" w:eastAsia="仿宋"/>
          <w:kern w:val="2"/>
          <w:sz w:val="28"/>
          <w:szCs w:val="28"/>
        </w:rPr>
        <w:t>巧用专项债化解隐性债务</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4.</w:t>
      </w:r>
      <w:r>
        <w:rPr>
          <w:rFonts w:hint="default" w:ascii="仿宋" w:hAnsi="仿宋" w:eastAsia="仿宋"/>
          <w:kern w:val="2"/>
          <w:sz w:val="28"/>
          <w:szCs w:val="28"/>
        </w:rPr>
        <w:t>以片区开发为例，如何活用多种投融资工具</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（三）</w:t>
      </w:r>
      <w:r>
        <w:rPr>
          <w:rFonts w:hint="default" w:ascii="仿宋" w:hAnsi="仿宋" w:eastAsia="仿宋"/>
          <w:kern w:val="2"/>
          <w:sz w:val="28"/>
          <w:szCs w:val="28"/>
        </w:rPr>
        <w:t>PPP项目运营、税务筹划、财务测算与审计实务</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1.</w:t>
      </w:r>
      <w:r>
        <w:rPr>
          <w:rFonts w:hint="default" w:ascii="仿宋" w:hAnsi="仿宋" w:eastAsia="仿宋"/>
          <w:kern w:val="2"/>
          <w:sz w:val="28"/>
          <w:szCs w:val="28"/>
        </w:rPr>
        <w:t>PPP项目运营</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2.</w:t>
      </w:r>
      <w:r>
        <w:rPr>
          <w:rFonts w:hint="default" w:ascii="仿宋" w:hAnsi="仿宋" w:eastAsia="仿宋"/>
          <w:kern w:val="2"/>
          <w:sz w:val="28"/>
          <w:szCs w:val="28"/>
        </w:rPr>
        <w:t>PPP项目竣工验收与审计</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3.</w:t>
      </w:r>
      <w:r>
        <w:rPr>
          <w:rFonts w:hint="default" w:ascii="仿宋" w:hAnsi="仿宋" w:eastAsia="仿宋"/>
          <w:kern w:val="2"/>
          <w:sz w:val="28"/>
          <w:szCs w:val="28"/>
        </w:rPr>
        <w:t>PPP项目税务筹划</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4.</w:t>
      </w:r>
      <w:r>
        <w:rPr>
          <w:rFonts w:hint="default" w:ascii="仿宋" w:hAnsi="仿宋" w:eastAsia="仿宋"/>
          <w:kern w:val="2"/>
          <w:sz w:val="28"/>
          <w:szCs w:val="28"/>
        </w:rPr>
        <w:t>PPP项目各利益相关主体财务热点问题</w:t>
      </w:r>
    </w:p>
    <w:p>
      <w:pPr>
        <w:spacing w:line="300" w:lineRule="exact"/>
        <w:ind w:firstLine="560" w:firstLineChars="200"/>
        <w:rPr>
          <w:rFonts w:hint="default" w:ascii="黑体" w:hAnsi="黑体" w:eastAsia="黑体" w:cs="黑体"/>
          <w:kern w:val="2"/>
          <w:sz w:val="28"/>
          <w:szCs w:val="28"/>
        </w:rPr>
      </w:pPr>
      <w:r>
        <w:rPr>
          <w:rFonts w:ascii="黑体" w:hAnsi="黑体" w:eastAsia="黑体" w:cs="黑体"/>
          <w:kern w:val="2"/>
          <w:sz w:val="28"/>
          <w:szCs w:val="28"/>
        </w:rPr>
        <w:t>三、培训对象</w:t>
      </w:r>
    </w:p>
    <w:p>
      <w:pPr>
        <w:autoSpaceDE/>
        <w:autoSpaceDN/>
        <w:adjustRightInd/>
        <w:spacing w:line="3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1.各地财政</w:t>
      </w:r>
      <w:r>
        <w:rPr>
          <w:rFonts w:hint="default" w:ascii="仿宋" w:hAnsi="仿宋" w:eastAsia="仿宋" w:cs="仿宋"/>
          <w:bCs/>
          <w:kern w:val="2"/>
          <w:sz w:val="28"/>
          <w:szCs w:val="28"/>
        </w:rPr>
        <w:t>、</w:t>
      </w:r>
      <w:r>
        <w:rPr>
          <w:rFonts w:ascii="仿宋" w:hAnsi="仿宋" w:eastAsia="仿宋" w:cs="仿宋"/>
          <w:bCs/>
          <w:kern w:val="2"/>
          <w:sz w:val="28"/>
          <w:szCs w:val="28"/>
        </w:rPr>
        <w:t>住建、</w:t>
      </w:r>
      <w:r>
        <w:rPr>
          <w:rFonts w:hint="default" w:ascii="仿宋" w:hAnsi="仿宋" w:eastAsia="仿宋" w:cs="仿宋"/>
          <w:bCs/>
          <w:kern w:val="2"/>
          <w:sz w:val="28"/>
          <w:szCs w:val="28"/>
        </w:rPr>
        <w:t>审计部门有关工作人员;</w:t>
      </w:r>
    </w:p>
    <w:p>
      <w:pPr>
        <w:autoSpaceDE/>
        <w:autoSpaceDN/>
        <w:adjustRightInd/>
        <w:spacing w:line="300" w:lineRule="exact"/>
        <w:ind w:firstLine="560" w:firstLineChars="200"/>
        <w:jc w:val="both"/>
        <w:rPr>
          <w:rFonts w:hint="default" w:ascii="仿宋" w:hAnsi="仿宋" w:eastAsia="仿宋"/>
          <w:kern w:val="2"/>
          <w:sz w:val="28"/>
          <w:szCs w:val="28"/>
        </w:rPr>
      </w:pPr>
      <w:r>
        <w:rPr>
          <w:rFonts w:ascii="仿宋" w:hAnsi="仿宋" w:eastAsia="仿宋" w:cs="仿宋"/>
          <w:bCs/>
          <w:kern w:val="2"/>
          <w:sz w:val="28"/>
          <w:szCs w:val="28"/>
        </w:rPr>
        <w:t>2.</w:t>
      </w:r>
      <w:r>
        <w:rPr>
          <w:rFonts w:hint="default" w:ascii="仿宋" w:hAnsi="仿宋" w:eastAsia="仿宋" w:cs="仿宋"/>
          <w:bCs/>
          <w:kern w:val="2"/>
          <w:sz w:val="28"/>
          <w:szCs w:val="28"/>
        </w:rPr>
        <w:t>各行政事业单位从事基本建设管理的领导和</w:t>
      </w:r>
      <w:r>
        <w:rPr>
          <w:rFonts w:ascii="仿宋" w:hAnsi="仿宋" w:eastAsia="仿宋" w:cs="仿宋"/>
          <w:bCs/>
          <w:kern w:val="2"/>
          <w:sz w:val="28"/>
          <w:szCs w:val="28"/>
        </w:rPr>
        <w:t>政府专项债券相关的交通能源、生态环境、产业园区、融资平台、科研院所、建投、施工、资产管理、资本经营、</w:t>
      </w:r>
      <w:r>
        <w:rPr>
          <w:rFonts w:hint="default" w:ascii="仿宋" w:hAnsi="仿宋" w:eastAsia="仿宋" w:cs="仿宋"/>
          <w:bCs/>
          <w:kern w:val="2"/>
          <w:sz w:val="28"/>
          <w:szCs w:val="28"/>
        </w:rPr>
        <w:t>SPV公司</w:t>
      </w:r>
      <w:r>
        <w:rPr>
          <w:rFonts w:ascii="仿宋" w:hAnsi="仿宋" w:eastAsia="仿宋" w:cs="仿宋"/>
          <w:bCs/>
          <w:kern w:val="2"/>
          <w:sz w:val="28"/>
          <w:szCs w:val="28"/>
        </w:rPr>
        <w:t>等相关负责人。</w:t>
      </w:r>
    </w:p>
    <w:p>
      <w:pPr>
        <w:spacing w:line="300" w:lineRule="exact"/>
        <w:ind w:firstLine="560" w:firstLineChars="200"/>
        <w:rPr>
          <w:rFonts w:hint="default" w:ascii="仿宋" w:hAnsi="仿宋" w:eastAsia="仿宋"/>
          <w:color w:val="000000"/>
          <w:sz w:val="28"/>
          <w:szCs w:val="28"/>
        </w:rPr>
      </w:pPr>
      <w:r>
        <w:rPr>
          <w:rFonts w:ascii="黑体" w:hAnsi="黑体" w:eastAsia="黑体" w:cs="黑体"/>
          <w:kern w:val="2"/>
          <w:sz w:val="28"/>
          <w:szCs w:val="28"/>
        </w:rPr>
        <w:t>四、授课专家</w:t>
      </w:r>
      <w:r>
        <w:rPr>
          <w:rFonts w:ascii="仿宋" w:hAnsi="仿宋" w:eastAsia="仿宋"/>
          <w:color w:val="000000"/>
          <w:sz w:val="28"/>
          <w:szCs w:val="28"/>
        </w:rPr>
        <w:t xml:space="preserve">                </w:t>
      </w:r>
    </w:p>
    <w:p>
      <w:pPr>
        <w:spacing w:line="300"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拟邀请国家发展改革委、财政部、PPP项目相关领域专家授课，拟由证券公司、咨询公司、律师事务所、会计师事务所实操专家以专题讲座、案例分析、方案咨询、研讨交流等形式进行讲解。</w:t>
      </w:r>
    </w:p>
    <w:p>
      <w:pPr>
        <w:spacing w:line="300" w:lineRule="exact"/>
        <w:ind w:firstLine="560" w:firstLineChars="200"/>
        <w:rPr>
          <w:rFonts w:hint="default" w:ascii="黑体" w:hAnsi="黑体" w:eastAsia="黑体" w:cs="黑体"/>
          <w:kern w:val="2"/>
          <w:sz w:val="28"/>
          <w:szCs w:val="28"/>
        </w:rPr>
      </w:pPr>
      <w:r>
        <w:rPr>
          <w:rFonts w:ascii="黑体" w:hAnsi="黑体" w:eastAsia="黑体" w:cs="黑体"/>
          <w:kern w:val="2"/>
          <w:sz w:val="28"/>
          <w:szCs w:val="28"/>
        </w:rPr>
        <w:t>五、时间地点</w:t>
      </w:r>
    </w:p>
    <w:p>
      <w:pPr>
        <w:spacing w:line="300"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2020年</w:t>
      </w:r>
      <w:r>
        <w:rPr>
          <w:rFonts w:hint="eastAsia" w:ascii="仿宋" w:hAnsi="仿宋" w:eastAsia="仿宋"/>
          <w:color w:val="000000"/>
          <w:sz w:val="28"/>
          <w:szCs w:val="28"/>
          <w:lang w:val="en-US" w:eastAsia="zh-CN"/>
        </w:rPr>
        <w:t>0</w:t>
      </w:r>
      <w:r>
        <w:rPr>
          <w:rFonts w:ascii="仿宋" w:hAnsi="仿宋" w:eastAsia="仿宋"/>
          <w:color w:val="000000"/>
          <w:sz w:val="28"/>
          <w:szCs w:val="28"/>
        </w:rPr>
        <w:t>6月26日—</w:t>
      </w:r>
      <w:r>
        <w:rPr>
          <w:rFonts w:hint="eastAsia" w:ascii="仿宋" w:hAnsi="仿宋" w:eastAsia="仿宋"/>
          <w:color w:val="000000"/>
          <w:sz w:val="28"/>
          <w:szCs w:val="28"/>
          <w:lang w:val="en-US" w:eastAsia="zh-CN"/>
        </w:rPr>
        <w:t>0</w:t>
      </w:r>
      <w:r>
        <w:rPr>
          <w:rFonts w:ascii="仿宋" w:hAnsi="仿宋" w:eastAsia="仿宋"/>
          <w:color w:val="000000"/>
          <w:sz w:val="28"/>
          <w:szCs w:val="28"/>
        </w:rPr>
        <w:t xml:space="preserve">6月30日   成都市（26日全天报到） </w:t>
      </w:r>
    </w:p>
    <w:p>
      <w:pPr>
        <w:spacing w:line="300"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2020年</w:t>
      </w:r>
      <w:r>
        <w:rPr>
          <w:rFonts w:hint="eastAsia" w:ascii="仿宋" w:hAnsi="仿宋" w:eastAsia="仿宋"/>
          <w:color w:val="000000"/>
          <w:sz w:val="28"/>
          <w:szCs w:val="28"/>
          <w:lang w:val="en-US" w:eastAsia="zh-CN"/>
        </w:rPr>
        <w:t>0</w:t>
      </w:r>
      <w:r>
        <w:rPr>
          <w:rFonts w:ascii="仿宋" w:hAnsi="仿宋" w:eastAsia="仿宋"/>
          <w:color w:val="000000"/>
          <w:sz w:val="28"/>
          <w:szCs w:val="28"/>
        </w:rPr>
        <w:t>7月24日—</w:t>
      </w:r>
      <w:r>
        <w:rPr>
          <w:rFonts w:hint="eastAsia" w:ascii="仿宋" w:hAnsi="仿宋" w:eastAsia="仿宋"/>
          <w:color w:val="000000"/>
          <w:sz w:val="28"/>
          <w:szCs w:val="28"/>
          <w:lang w:val="en-US" w:eastAsia="zh-CN"/>
        </w:rPr>
        <w:t>0</w:t>
      </w:r>
      <w:r>
        <w:rPr>
          <w:rFonts w:ascii="仿宋" w:hAnsi="仿宋" w:eastAsia="仿宋"/>
          <w:color w:val="000000"/>
          <w:sz w:val="28"/>
          <w:szCs w:val="28"/>
        </w:rPr>
        <w:t xml:space="preserve">7月28日   贵阳市（24日全天报到） </w:t>
      </w:r>
    </w:p>
    <w:p>
      <w:pPr>
        <w:spacing w:line="300"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2020年</w:t>
      </w:r>
      <w:r>
        <w:rPr>
          <w:rFonts w:hint="eastAsia" w:ascii="仿宋" w:hAnsi="仿宋" w:eastAsia="仿宋"/>
          <w:color w:val="000000"/>
          <w:sz w:val="28"/>
          <w:szCs w:val="28"/>
          <w:lang w:val="en-US" w:eastAsia="zh-CN"/>
        </w:rPr>
        <w:t>0</w:t>
      </w:r>
      <w:r>
        <w:rPr>
          <w:rFonts w:ascii="仿宋" w:hAnsi="仿宋" w:eastAsia="仿宋"/>
          <w:color w:val="000000"/>
          <w:sz w:val="28"/>
          <w:szCs w:val="28"/>
        </w:rPr>
        <w:t>8月27日—</w:t>
      </w:r>
      <w:r>
        <w:rPr>
          <w:rFonts w:hint="eastAsia" w:ascii="仿宋" w:hAnsi="仿宋" w:eastAsia="仿宋"/>
          <w:color w:val="000000"/>
          <w:sz w:val="28"/>
          <w:szCs w:val="28"/>
          <w:lang w:val="en-US" w:eastAsia="zh-CN"/>
        </w:rPr>
        <w:t>0</w:t>
      </w:r>
      <w:r>
        <w:rPr>
          <w:rFonts w:ascii="仿宋" w:hAnsi="仿宋" w:eastAsia="仿宋"/>
          <w:color w:val="000000"/>
          <w:sz w:val="28"/>
          <w:szCs w:val="28"/>
        </w:rPr>
        <w:t>8月31日   昆明市（27日全天报到）</w:t>
      </w:r>
    </w:p>
    <w:p>
      <w:pPr>
        <w:spacing w:line="300"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2020年</w:t>
      </w:r>
      <w:r>
        <w:rPr>
          <w:rFonts w:hint="eastAsia" w:ascii="仿宋" w:hAnsi="仿宋" w:eastAsia="仿宋"/>
          <w:color w:val="000000"/>
          <w:sz w:val="28"/>
          <w:szCs w:val="28"/>
          <w:lang w:val="en-US" w:eastAsia="zh-CN"/>
        </w:rPr>
        <w:t>0</w:t>
      </w:r>
      <w:r>
        <w:rPr>
          <w:rFonts w:ascii="仿宋" w:hAnsi="仿宋" w:eastAsia="仿宋"/>
          <w:color w:val="000000"/>
          <w:sz w:val="28"/>
          <w:szCs w:val="28"/>
        </w:rPr>
        <w:t>9月17日—</w:t>
      </w:r>
      <w:r>
        <w:rPr>
          <w:rFonts w:hint="eastAsia" w:ascii="仿宋" w:hAnsi="仿宋" w:eastAsia="仿宋"/>
          <w:color w:val="000000"/>
          <w:sz w:val="28"/>
          <w:szCs w:val="28"/>
          <w:lang w:val="en-US" w:eastAsia="zh-CN"/>
        </w:rPr>
        <w:t>0</w:t>
      </w:r>
      <w:r>
        <w:rPr>
          <w:rFonts w:ascii="仿宋" w:hAnsi="仿宋" w:eastAsia="仿宋"/>
          <w:color w:val="000000"/>
          <w:sz w:val="28"/>
          <w:szCs w:val="28"/>
        </w:rPr>
        <w:t>9月21日   厦门市（17日全天报到）</w:t>
      </w:r>
    </w:p>
    <w:p>
      <w:pPr>
        <w:spacing w:line="300" w:lineRule="exact"/>
        <w:ind w:firstLine="560" w:firstLineChars="200"/>
        <w:rPr>
          <w:rFonts w:hint="default" w:ascii="黑体" w:hAnsi="黑体" w:eastAsia="黑体" w:cs="黑体"/>
          <w:sz w:val="28"/>
          <w:szCs w:val="28"/>
        </w:rPr>
      </w:pPr>
      <w:r>
        <w:rPr>
          <w:rFonts w:ascii="仿宋" w:hAnsi="仿宋" w:eastAsia="仿宋"/>
          <w:color w:val="000000"/>
          <w:sz w:val="28"/>
          <w:szCs w:val="28"/>
        </w:rPr>
        <w:t xml:space="preserve">2020年10月22日—10月26日 </w:t>
      </w:r>
      <w:r>
        <w:rPr>
          <w:rFonts w:hint="eastAsia" w:ascii="仿宋" w:hAnsi="仿宋" w:eastAsia="仿宋"/>
          <w:color w:val="000000"/>
          <w:sz w:val="28"/>
          <w:szCs w:val="28"/>
          <w:lang w:val="en-US" w:eastAsia="zh-CN"/>
        </w:rPr>
        <w:t xml:space="preserve">  </w:t>
      </w:r>
      <w:r>
        <w:rPr>
          <w:rFonts w:ascii="仿宋" w:hAnsi="仿宋" w:eastAsia="仿宋"/>
          <w:color w:val="000000"/>
          <w:sz w:val="28"/>
          <w:szCs w:val="28"/>
        </w:rPr>
        <w:t>西安市（22日全天报到）</w:t>
      </w:r>
    </w:p>
    <w:p>
      <w:pPr>
        <w:spacing w:line="300" w:lineRule="exact"/>
        <w:ind w:firstLine="560" w:firstLineChars="200"/>
        <w:rPr>
          <w:rFonts w:hint="default" w:ascii="黑体" w:hAnsi="黑体" w:eastAsia="黑体" w:cs="黑体"/>
          <w:kern w:val="2"/>
          <w:sz w:val="28"/>
          <w:szCs w:val="28"/>
        </w:rPr>
      </w:pPr>
      <w:r>
        <w:rPr>
          <w:rFonts w:ascii="黑体" w:hAnsi="黑体" w:eastAsia="黑体" w:cs="黑体"/>
          <w:kern w:val="2"/>
          <w:sz w:val="28"/>
          <w:szCs w:val="28"/>
        </w:rPr>
        <w:t>六、相关事宜</w:t>
      </w:r>
    </w:p>
    <w:p>
      <w:pPr>
        <w:spacing w:line="300" w:lineRule="exact"/>
        <w:ind w:firstLine="560" w:firstLineChars="200"/>
        <w:rPr>
          <w:rFonts w:hint="default" w:ascii="仿宋" w:hAnsi="仿宋" w:eastAsia="仿宋"/>
          <w:b/>
          <w:color w:val="000000"/>
          <w:sz w:val="28"/>
          <w:szCs w:val="28"/>
        </w:rPr>
      </w:pPr>
      <w:r>
        <w:rPr>
          <w:rFonts w:ascii="仿宋" w:hAnsi="仿宋" w:eastAsia="仿宋"/>
          <w:b/>
          <w:color w:val="000000"/>
          <w:sz w:val="28"/>
          <w:szCs w:val="28"/>
        </w:rPr>
        <w:t>（一）培训费用</w:t>
      </w:r>
    </w:p>
    <w:p>
      <w:pPr>
        <w:spacing w:line="300" w:lineRule="exact"/>
        <w:ind w:firstLine="560" w:firstLineChars="200"/>
        <w:rPr>
          <w:rFonts w:hint="default" w:ascii="仿宋" w:hAnsi="仿宋" w:eastAsia="仿宋"/>
          <w:color w:val="000000"/>
          <w:sz w:val="28"/>
          <w:szCs w:val="28"/>
        </w:rPr>
      </w:pPr>
      <w:r>
        <w:rPr>
          <w:rFonts w:hint="default" w:ascii="仿宋" w:hAnsi="仿宋" w:eastAsia="仿宋"/>
          <w:color w:val="000000"/>
          <w:sz w:val="28"/>
          <w:szCs w:val="28"/>
        </w:rPr>
        <w:t>A.2980元/人（含培训费、资料费、电子课件、场地、会议期间午餐），住宿统一安排，费用自理。</w:t>
      </w:r>
    </w:p>
    <w:p>
      <w:pPr>
        <w:spacing w:line="300" w:lineRule="exact"/>
        <w:ind w:firstLine="560" w:firstLineChars="200"/>
        <w:rPr>
          <w:rFonts w:hint="default" w:ascii="仿宋" w:hAnsi="仿宋" w:eastAsia="仿宋"/>
          <w:color w:val="000000"/>
          <w:sz w:val="28"/>
          <w:szCs w:val="28"/>
        </w:rPr>
      </w:pPr>
      <w:r>
        <w:rPr>
          <w:rFonts w:hint="default" w:ascii="仿宋" w:hAnsi="仿宋" w:eastAsia="仿宋"/>
          <w:color w:val="000000"/>
          <w:sz w:val="28"/>
          <w:szCs w:val="28"/>
        </w:rPr>
        <w:t>B.3980元/人（含证书、培训费、资料费、电子课件、场地、会议期间午餐），住宿统一安排，费用自理。</w:t>
      </w:r>
    </w:p>
    <w:p>
      <w:pPr>
        <w:spacing w:line="300" w:lineRule="exact"/>
        <w:ind w:firstLine="560" w:firstLineChars="200"/>
        <w:rPr>
          <w:rFonts w:hint="default" w:ascii="仿宋" w:hAnsi="仿宋" w:eastAsia="仿宋"/>
          <w:color w:val="000000"/>
          <w:sz w:val="28"/>
          <w:szCs w:val="28"/>
        </w:rPr>
      </w:pPr>
      <w:r>
        <w:rPr>
          <w:rFonts w:hint="default" w:ascii="仿宋" w:hAnsi="仿宋" w:eastAsia="仿宋"/>
          <w:color w:val="000000"/>
          <w:sz w:val="28"/>
          <w:szCs w:val="28"/>
        </w:rPr>
        <w:t>C.5980元/人（含证书、培训费、资料费、电子课件、场地、会议期间食宿）。</w:t>
      </w:r>
    </w:p>
    <w:p>
      <w:pPr>
        <w:spacing w:line="300"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备注：证书由中国国家人事人才培训网、北京企业管理咨询协会共同颁发《</w:t>
      </w:r>
      <w:r>
        <w:rPr>
          <w:rFonts w:hint="default" w:ascii="仿宋" w:hAnsi="仿宋" w:eastAsia="仿宋"/>
          <w:color w:val="000000"/>
          <w:sz w:val="28"/>
          <w:szCs w:val="28"/>
        </w:rPr>
        <w:t>PPP项目管理师》《债券咨询师》，证书可在国培网网站人才数据库查询。需提供报名材料：报名表、2寸电子照片（白底免冠彩照）、身份证复印件、学历证书复印件各一份。</w:t>
      </w:r>
    </w:p>
    <w:p>
      <w:pPr>
        <w:spacing w:line="300" w:lineRule="exact"/>
        <w:ind w:firstLine="560" w:firstLineChars="200"/>
        <w:rPr>
          <w:rFonts w:hint="default" w:ascii="仿宋" w:hAnsi="仿宋" w:eastAsia="仿宋" w:cs="仿宋"/>
          <w:b/>
          <w:bCs/>
          <w:sz w:val="28"/>
          <w:szCs w:val="28"/>
        </w:rPr>
      </w:pPr>
      <w:r>
        <w:rPr>
          <w:rFonts w:ascii="仿宋" w:hAnsi="仿宋" w:eastAsia="仿宋" w:cs="仿宋"/>
          <w:b/>
          <w:bCs/>
          <w:sz w:val="28"/>
          <w:szCs w:val="28"/>
        </w:rPr>
        <w:t>（二）联系方式</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报名负责人：聂红军主</w:t>
      </w:r>
      <w:r>
        <w:rPr>
          <w:rFonts w:hint="eastAsia"/>
          <w:bCs/>
          <w:kern w:val="2"/>
          <w:sz w:val="28"/>
          <w:szCs w:val="28"/>
          <w:lang w:val="en-US" w:eastAsia="zh-CN" w:bidi="ar-SA"/>
        </w:rPr>
        <w:t>任</w:t>
      </w:r>
      <w:r>
        <w:rPr>
          <w:rFonts w:hint="eastAsia"/>
          <w:bCs/>
          <w:kern w:val="2"/>
          <w:sz w:val="28"/>
          <w:szCs w:val="28"/>
          <w:lang w:val="en-US" w:bidi="ar-SA"/>
        </w:rPr>
        <w:t>18211071700（微信</w:t>
      </w:r>
      <w:r>
        <w:rPr>
          <w:rFonts w:hint="eastAsia"/>
          <w:bCs/>
          <w:kern w:val="2"/>
          <w:sz w:val="28"/>
          <w:szCs w:val="28"/>
          <w:lang w:val="en-US" w:eastAsia="zh-CN" w:bidi="ar-SA"/>
        </w:rPr>
        <w:t>）</w:t>
      </w:r>
      <w:r>
        <w:rPr>
          <w:rFonts w:hint="eastAsia"/>
          <w:bCs/>
          <w:kern w:val="2"/>
          <w:sz w:val="28"/>
          <w:szCs w:val="28"/>
          <w:lang w:val="en-US" w:bidi="ar-SA"/>
        </w:rPr>
        <w:t>qq咨询：3177524020</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电话（传真）：010-87697580                </w:t>
      </w:r>
      <w:r>
        <w:rPr>
          <w:rFonts w:hint="eastAsia"/>
          <w:bCs/>
          <w:kern w:val="2"/>
          <w:sz w:val="28"/>
          <w:szCs w:val="28"/>
          <w:lang w:val="en-US" w:eastAsia="zh-CN" w:bidi="ar-SA"/>
        </w:rPr>
        <w:t>邮</w:t>
      </w:r>
      <w:r>
        <w:rPr>
          <w:rFonts w:hint="eastAsia"/>
          <w:bCs/>
          <w:kern w:val="2"/>
          <w:sz w:val="28"/>
          <w:szCs w:val="28"/>
          <w:lang w:val="en-US" w:bidi="ar-SA"/>
        </w:rPr>
        <w:t xml:space="preserve">箱：zqgphwz@126.com   </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网址查询：http://www.zqgpchina.cn/  </w:t>
      </w:r>
    </w:p>
    <w:p>
      <w:pPr>
        <w:spacing w:line="300" w:lineRule="exact"/>
        <w:ind w:firstLine="560" w:firstLineChars="200"/>
        <w:rPr>
          <w:rFonts w:hint="default" w:ascii="黑体" w:hAnsi="黑体" w:eastAsia="黑体" w:cs="黑体"/>
          <w:bCs/>
          <w:color w:val="000000"/>
          <w:kern w:val="2"/>
          <w:sz w:val="28"/>
          <w:szCs w:val="28"/>
        </w:rPr>
      </w:pPr>
      <w:r>
        <w:rPr>
          <w:rFonts w:ascii="黑体" w:hAnsi="黑体" w:eastAsia="黑体" w:cs="黑体"/>
          <w:bCs/>
          <w:color w:val="000000"/>
          <w:kern w:val="2"/>
          <w:sz w:val="28"/>
          <w:szCs w:val="28"/>
        </w:rPr>
        <w:t>附件：</w:t>
      </w:r>
    </w:p>
    <w:p>
      <w:pPr>
        <w:spacing w:line="300"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1.培训内容</w:t>
      </w:r>
    </w:p>
    <w:p>
      <w:pPr>
        <w:spacing w:line="300"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drawing>
          <wp:anchor distT="0" distB="0" distL="114300" distR="114300" simplePos="0" relativeHeight="251658240" behindDoc="1" locked="0" layoutInCell="1" allowOverlap="1">
            <wp:simplePos x="0" y="0"/>
            <wp:positionH relativeFrom="column">
              <wp:posOffset>2324100</wp:posOffset>
            </wp:positionH>
            <wp:positionV relativeFrom="paragraph">
              <wp:posOffset>323215</wp:posOffset>
            </wp:positionV>
            <wp:extent cx="2851150" cy="1491615"/>
            <wp:effectExtent l="0" t="0" r="6350" b="0"/>
            <wp:wrapNone/>
            <wp:docPr id="3" name="图片 3" descr="C:\Users\Administrator\Desktop\8ed0f2164d0834590063f9aa4802726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8ed0f2164d0834590063f9aa4802726_副本.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851150" cy="1491633"/>
                    </a:xfrm>
                    <a:prstGeom prst="rect">
                      <a:avLst/>
                    </a:prstGeom>
                    <a:noFill/>
                    <a:ln>
                      <a:noFill/>
                    </a:ln>
                  </pic:spPr>
                </pic:pic>
              </a:graphicData>
            </a:graphic>
          </wp:anchor>
        </w:drawing>
      </w:r>
      <w:r>
        <w:rPr>
          <w:rFonts w:ascii="仿宋" w:hAnsi="仿宋" w:eastAsia="仿宋"/>
          <w:color w:val="000000"/>
          <w:sz w:val="28"/>
          <w:szCs w:val="28"/>
        </w:rPr>
        <w:t>2.</w:t>
      </w:r>
      <w:r>
        <w:rPr>
          <w:rFonts w:hint="default" w:ascii="仿宋" w:hAnsi="仿宋" w:eastAsia="仿宋" w:cs="仿宋"/>
          <w:bCs/>
          <w:kern w:val="2"/>
          <w:sz w:val="28"/>
          <w:szCs w:val="28"/>
        </w:rPr>
        <w:t>地方政府专项债券</w:t>
      </w:r>
      <w:r>
        <w:rPr>
          <w:rFonts w:ascii="仿宋" w:hAnsi="仿宋" w:eastAsia="仿宋" w:cs="仿宋"/>
          <w:bCs/>
          <w:kern w:val="2"/>
          <w:sz w:val="28"/>
          <w:szCs w:val="28"/>
        </w:rPr>
        <w:t>+</w:t>
      </w:r>
      <w:r>
        <w:rPr>
          <w:rFonts w:hint="default" w:ascii="仿宋" w:hAnsi="仿宋" w:eastAsia="仿宋" w:cs="仿宋"/>
          <w:bCs/>
          <w:kern w:val="2"/>
          <w:sz w:val="28"/>
          <w:szCs w:val="28"/>
        </w:rPr>
        <w:t>PPP项目创新实务及PPP项目运营、税务筹划、财务测算与审计专题培训班</w:t>
      </w:r>
      <w:r>
        <w:rPr>
          <w:rFonts w:ascii="仿宋_GB2312" w:hAnsi="仿宋_GB2312" w:eastAsia="仿宋_GB2312" w:cs="仿宋_GB2312"/>
          <w:bCs/>
          <w:color w:val="000000"/>
          <w:kern w:val="2"/>
          <w:sz w:val="28"/>
          <w:szCs w:val="28"/>
        </w:rPr>
        <w:t>《</w:t>
      </w:r>
      <w:r>
        <w:rPr>
          <w:rFonts w:ascii="仿宋" w:hAnsi="仿宋" w:eastAsia="仿宋"/>
          <w:color w:val="000000"/>
          <w:sz w:val="28"/>
          <w:szCs w:val="28"/>
        </w:rPr>
        <w:t>报名回执表》</w:t>
      </w:r>
    </w:p>
    <w:p>
      <w:pPr>
        <w:spacing w:line="360" w:lineRule="auto"/>
        <w:ind w:firstLine="560" w:firstLineChars="200"/>
        <w:rPr>
          <w:rFonts w:hint="default" w:ascii="仿宋" w:hAnsi="仿宋" w:eastAsia="仿宋" w:cs="仿宋"/>
          <w:b/>
          <w:bCs/>
          <w:kern w:val="2"/>
          <w:sz w:val="28"/>
          <w:szCs w:val="28"/>
        </w:rPr>
      </w:pPr>
      <w:r>
        <w:rPr>
          <w:rFonts w:ascii="仿宋" w:hAnsi="仿宋" w:eastAsia="仿宋"/>
          <w:color w:val="000000"/>
          <w:sz w:val="28"/>
          <w:szCs w:val="28"/>
        </w:rPr>
        <w:t xml:space="preserve">   </w:t>
      </w:r>
    </w:p>
    <w:p>
      <w:pPr>
        <w:autoSpaceDE/>
        <w:autoSpaceDN/>
        <w:adjustRightInd/>
        <w:spacing w:line="340" w:lineRule="exact"/>
        <w:jc w:val="both"/>
        <w:rPr>
          <w:rFonts w:hint="default" w:ascii="仿宋" w:hAnsi="仿宋" w:eastAsia="仿宋" w:cs="仿宋"/>
          <w:kern w:val="2"/>
          <w:sz w:val="28"/>
          <w:szCs w:val="28"/>
        </w:rPr>
      </w:pPr>
    </w:p>
    <w:p>
      <w:pPr>
        <w:autoSpaceDE/>
        <w:autoSpaceDN/>
        <w:adjustRightInd/>
        <w:spacing w:line="340" w:lineRule="exact"/>
        <w:jc w:val="both"/>
        <w:rPr>
          <w:rFonts w:hint="default" w:ascii="仿宋" w:hAnsi="仿宋" w:eastAsia="仿宋" w:cs="仿宋"/>
          <w:kern w:val="2"/>
          <w:sz w:val="28"/>
          <w:szCs w:val="28"/>
        </w:rPr>
      </w:pPr>
    </w:p>
    <w:p>
      <w:pPr>
        <w:autoSpaceDE/>
        <w:autoSpaceDN/>
        <w:adjustRightInd/>
        <w:spacing w:line="340" w:lineRule="exact"/>
        <w:jc w:val="both"/>
        <w:rPr>
          <w:rFonts w:hint="default" w:ascii="黑体" w:hAnsi="黑体" w:eastAsia="黑体" w:cs="黑体"/>
          <w:kern w:val="2"/>
          <w:sz w:val="28"/>
          <w:szCs w:val="28"/>
          <w:lang w:bidi="zh-CN"/>
        </w:rPr>
      </w:pPr>
    </w:p>
    <w:p>
      <w:pPr>
        <w:autoSpaceDE/>
        <w:autoSpaceDN/>
        <w:adjustRightInd/>
        <w:spacing w:line="340" w:lineRule="exact"/>
        <w:jc w:val="both"/>
        <w:rPr>
          <w:rFonts w:hint="default" w:ascii="黑体" w:hAnsi="黑体" w:eastAsia="黑体" w:cs="黑体"/>
          <w:kern w:val="2"/>
          <w:sz w:val="28"/>
          <w:szCs w:val="28"/>
          <w:lang w:bidi="zh-CN"/>
        </w:rPr>
      </w:pPr>
    </w:p>
    <w:p>
      <w:pPr>
        <w:autoSpaceDE/>
        <w:autoSpaceDN/>
        <w:adjustRightInd/>
        <w:spacing w:line="340" w:lineRule="exact"/>
        <w:jc w:val="both"/>
        <w:rPr>
          <w:rFonts w:hint="default" w:ascii="黑体" w:hAnsi="黑体" w:eastAsia="黑体" w:cs="黑体"/>
          <w:kern w:val="2"/>
          <w:sz w:val="28"/>
          <w:szCs w:val="28"/>
          <w:lang w:bidi="zh-CN"/>
        </w:rPr>
      </w:pPr>
    </w:p>
    <w:p>
      <w:pPr>
        <w:autoSpaceDE/>
        <w:autoSpaceDN/>
        <w:adjustRightInd/>
        <w:spacing w:line="340" w:lineRule="exact"/>
        <w:jc w:val="both"/>
        <w:rPr>
          <w:rFonts w:hint="default" w:ascii="黑体" w:hAnsi="黑体" w:eastAsia="黑体" w:cs="黑体"/>
          <w:kern w:val="2"/>
          <w:sz w:val="28"/>
          <w:szCs w:val="28"/>
          <w:lang w:bidi="zh-CN"/>
        </w:rPr>
      </w:pPr>
    </w:p>
    <w:p>
      <w:pPr>
        <w:autoSpaceDE/>
        <w:autoSpaceDN/>
        <w:adjustRightInd/>
        <w:spacing w:line="340" w:lineRule="exact"/>
        <w:jc w:val="both"/>
        <w:rPr>
          <w:rFonts w:hint="default" w:ascii="黑体" w:hAnsi="黑体" w:eastAsia="黑体" w:cs="黑体"/>
          <w:kern w:val="2"/>
          <w:sz w:val="28"/>
          <w:szCs w:val="28"/>
          <w:lang w:bidi="zh-CN"/>
        </w:rPr>
      </w:pPr>
      <w:r>
        <w:rPr>
          <w:rFonts w:ascii="黑体" w:hAnsi="黑体" w:eastAsia="黑体" w:cs="黑体"/>
          <w:kern w:val="2"/>
          <w:sz w:val="28"/>
          <w:szCs w:val="28"/>
          <w:lang w:bidi="zh-CN"/>
        </w:rPr>
        <w:t xml:space="preserve">附件一.培训内容 </w:t>
      </w:r>
    </w:p>
    <w:p>
      <w:pPr>
        <w:autoSpaceDE/>
        <w:autoSpaceDN/>
        <w:adjustRightInd/>
        <w:spacing w:line="340" w:lineRule="exact"/>
        <w:jc w:val="both"/>
        <w:rPr>
          <w:rFonts w:hint="default" w:ascii="楷体" w:hAnsi="楷体" w:eastAsia="楷体" w:cs="楷体"/>
          <w:b/>
          <w:bCs/>
          <w:kern w:val="2"/>
          <w:sz w:val="28"/>
          <w:szCs w:val="28"/>
        </w:rPr>
      </w:pPr>
      <w:r>
        <w:rPr>
          <w:rFonts w:ascii="楷体" w:hAnsi="楷体" w:eastAsia="楷体" w:cs="楷体"/>
          <w:b/>
          <w:bCs/>
          <w:kern w:val="2"/>
          <w:sz w:val="28"/>
          <w:szCs w:val="28"/>
        </w:rPr>
        <w:t>模块一</w:t>
      </w:r>
      <w:r>
        <w:rPr>
          <w:rFonts w:hint="default" w:ascii="楷体" w:hAnsi="楷体" w:eastAsia="楷体" w:cs="楷体"/>
          <w:b/>
          <w:bCs/>
          <w:kern w:val="2"/>
          <w:sz w:val="28"/>
          <w:szCs w:val="28"/>
        </w:rPr>
        <w:t>: 地方政府专项债券全流程</w:t>
      </w:r>
      <w:r>
        <w:rPr>
          <w:rFonts w:ascii="楷体" w:hAnsi="楷体" w:eastAsia="楷体" w:cs="楷体"/>
          <w:b/>
          <w:bCs/>
          <w:kern w:val="2"/>
          <w:sz w:val="28"/>
          <w:szCs w:val="28"/>
        </w:rPr>
        <w:t>实务</w:t>
      </w:r>
    </w:p>
    <w:p>
      <w:pPr>
        <w:autoSpaceDE/>
        <w:autoSpaceDN/>
        <w:adjustRightInd/>
        <w:spacing w:line="34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（一）地方政府专项债券政策背景</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1.地方政府专项债券政策梳理</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2.地方政府专项债券特点和优势</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3.地方政府专项债券整体发行情况和趋势</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4.地方政府债券的分类：置换专项债券、新增专项债券、再融资专项债券、自求平衡类型专项债券的指引讲解</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5.其他项目收益专项债现状分析</w:t>
      </w:r>
    </w:p>
    <w:p>
      <w:pPr>
        <w:autoSpaceDE/>
        <w:autoSpaceDN/>
        <w:adjustRightInd/>
        <w:spacing w:line="34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（二）地方政府专项债券法律管理制度体系</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1.顶层设计与管理制度</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2.项目收益专项债券的发行与偿还</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3.项目收益专项债券的管理机制</w:t>
      </w:r>
    </w:p>
    <w:p>
      <w:pPr>
        <w:autoSpaceDE/>
        <w:autoSpaceDN/>
        <w:adjustRightInd/>
        <w:spacing w:line="34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（三）地方政府专项债操作实务</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1.项目收益专项债券整体发行的特点</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2.项目收益专项债券发行整体流程</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3.项目收益专项债券发行主要参与主体及其工作</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4.地方政府专项债券操作指引</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5.地方政府专项债券发行咨询服务</w:t>
      </w:r>
    </w:p>
    <w:p>
      <w:pPr>
        <w:autoSpaceDE/>
        <w:autoSpaceDN/>
        <w:adjustRightInd/>
        <w:spacing w:line="34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（四）项目收益平衡评价</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1.编制项目投资估算及资金筹措方案</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2.测算项目预期收益</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3.测算项目资金平衡情况</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4.项目投资效益评价</w:t>
      </w:r>
    </w:p>
    <w:p>
      <w:pPr>
        <w:autoSpaceDE/>
        <w:autoSpaceDN/>
        <w:adjustRightInd/>
        <w:spacing w:line="34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（五）专项债券的全面风险管理体系</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1.判断项目存在的风险：发行、建设、运营、资金使用等</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2.建立债务应急处置机制</w:t>
      </w:r>
    </w:p>
    <w:p>
      <w:pPr>
        <w:autoSpaceDE/>
        <w:autoSpaceDN/>
        <w:adjustRightInd/>
        <w:spacing w:line="34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（六）项目收益专项债券发行计划和信息披露</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1.制定发行计划和条款以及招标发行安排</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2.项目收益专项债券信息披露的原则和制度体系</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3.项目收益专项债券发行、存续、终结阶段的信息披露</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4.违反信息披露规定的刑事、行政和民事等法律责任</w:t>
      </w:r>
    </w:p>
    <w:p>
      <w:pPr>
        <w:autoSpaceDE/>
        <w:autoSpaceDN/>
        <w:adjustRightInd/>
        <w:spacing w:line="34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（七）项目收益专项债券的典型案例</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重大区域发展类、生态环保类、公立医院类、公立高校类、交通水利类、市政基础设施类、乡村振兴类</w:t>
      </w:r>
    </w:p>
    <w:p>
      <w:pPr>
        <w:autoSpaceDE/>
        <w:autoSpaceDN/>
        <w:adjustRightInd/>
        <w:spacing w:line="34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模块二</w:t>
      </w:r>
      <w:r>
        <w:rPr>
          <w:rFonts w:hint="default" w:ascii="仿宋" w:hAnsi="仿宋" w:eastAsia="仿宋" w:cs="仿宋"/>
          <w:b/>
          <w:bCs/>
          <w:kern w:val="2"/>
          <w:sz w:val="28"/>
          <w:szCs w:val="28"/>
        </w:rPr>
        <w:t>:如何活用专项债——专项债的组合式应用</w:t>
      </w:r>
    </w:p>
    <w:p>
      <w:pPr>
        <w:autoSpaceDE/>
        <w:autoSpaceDN/>
        <w:adjustRightInd/>
        <w:spacing w:line="34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（一）使用专项债的思路</w:t>
      </w:r>
      <w:r>
        <w:rPr>
          <w:rFonts w:hint="default" w:ascii="仿宋" w:hAnsi="仿宋" w:eastAsia="仿宋" w:cs="仿宋"/>
          <w:b/>
          <w:bCs/>
          <w:kern w:val="2"/>
          <w:sz w:val="28"/>
          <w:szCs w:val="28"/>
        </w:rPr>
        <w:t xml:space="preserve"> </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1.最新形式下的专项债政策 </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2.专项债的适用面 </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3.禁止土地类专项债2020的专项债怎么走</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4.多层次的地方投融资体系 </w:t>
      </w:r>
    </w:p>
    <w:p>
      <w:pPr>
        <w:autoSpaceDE/>
        <w:autoSpaceDN/>
        <w:adjustRightInd/>
        <w:spacing w:line="34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（二）专项债与</w:t>
      </w:r>
      <w:r>
        <w:rPr>
          <w:rFonts w:hint="default" w:ascii="仿宋" w:hAnsi="仿宋" w:eastAsia="仿宋" w:cs="仿宋"/>
          <w:b/>
          <w:bCs/>
          <w:kern w:val="2"/>
          <w:sz w:val="28"/>
          <w:szCs w:val="28"/>
        </w:rPr>
        <w:t xml:space="preserve">PPP的组合应用 </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1.专项债如何与PPP模式结合使用 </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2.PPP模式的趋势与转向 </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3.新形势下的PPP要点 </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4.专项债用作资本金的探究 </w:t>
      </w:r>
    </w:p>
    <w:p>
      <w:pPr>
        <w:autoSpaceDE/>
        <w:autoSpaceDN/>
        <w:adjustRightInd/>
        <w:spacing w:line="34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（三）巧用专项债化解隐性债务</w:t>
      </w:r>
      <w:r>
        <w:rPr>
          <w:rFonts w:hint="default" w:ascii="仿宋" w:hAnsi="仿宋" w:eastAsia="仿宋" w:cs="仿宋"/>
          <w:b/>
          <w:bCs/>
          <w:kern w:val="2"/>
          <w:sz w:val="28"/>
          <w:szCs w:val="28"/>
        </w:rPr>
        <w:t xml:space="preserve"> </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1.化解隐性债务势在必行</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2.盘活存量资产 </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3.专项债与TOT的组合使用</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4.非标债务的置换与处置 </w:t>
      </w:r>
    </w:p>
    <w:p>
      <w:pPr>
        <w:autoSpaceDE/>
        <w:autoSpaceDN/>
        <w:adjustRightInd/>
        <w:spacing w:line="34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（四）以片区开发为例，如何活用多种投融资工具</w:t>
      </w:r>
      <w:r>
        <w:rPr>
          <w:rFonts w:hint="default" w:ascii="仿宋" w:hAnsi="仿宋" w:eastAsia="仿宋" w:cs="仿宋"/>
          <w:b/>
          <w:bCs/>
          <w:kern w:val="2"/>
          <w:sz w:val="28"/>
          <w:szCs w:val="28"/>
        </w:rPr>
        <w:t xml:space="preserve"> </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1.以专项债为切入点 </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2.政企合作的路径与边界 </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3.土地的开发与收益</w:t>
      </w:r>
    </w:p>
    <w:p>
      <w:pPr>
        <w:autoSpaceDE/>
        <w:autoSpaceDN/>
        <w:adjustRightInd/>
        <w:spacing w:line="34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4.发展可持续的产业体系</w:t>
      </w:r>
    </w:p>
    <w:p>
      <w:pPr>
        <w:autoSpaceDE/>
        <w:autoSpaceDN/>
        <w:adjustRightInd/>
        <w:spacing w:line="34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模块三：</w:t>
      </w:r>
      <w:r>
        <w:rPr>
          <w:rFonts w:hint="default" w:ascii="仿宋" w:hAnsi="仿宋" w:eastAsia="仿宋" w:cs="仿宋"/>
          <w:b/>
          <w:bCs/>
          <w:kern w:val="2"/>
          <w:sz w:val="28"/>
          <w:szCs w:val="28"/>
        </w:rPr>
        <w:t>PPP项目运营、税务筹划、财务测算与审计</w:t>
      </w:r>
      <w:r>
        <w:rPr>
          <w:rFonts w:ascii="仿宋" w:hAnsi="仿宋" w:eastAsia="仿宋" w:cs="仿宋"/>
          <w:b/>
          <w:bCs/>
          <w:kern w:val="2"/>
          <w:sz w:val="28"/>
          <w:szCs w:val="28"/>
        </w:rPr>
        <w:t>实务</w:t>
      </w:r>
    </w:p>
    <w:p>
      <w:pPr>
        <w:autoSpaceDE/>
        <w:autoSpaceDN/>
        <w:adjustRightInd/>
        <w:spacing w:line="34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（一）</w:t>
      </w:r>
      <w:r>
        <w:rPr>
          <w:rFonts w:hint="default" w:ascii="仿宋" w:hAnsi="仿宋" w:eastAsia="仿宋" w:cs="仿宋"/>
          <w:b/>
          <w:bCs/>
          <w:kern w:val="2"/>
          <w:sz w:val="28"/>
          <w:szCs w:val="28"/>
        </w:rPr>
        <w:t>PPP项目运营</w:t>
      </w:r>
    </w:p>
    <w:p>
      <w:pPr>
        <w:autoSpaceDE/>
        <w:autoSpaceDN/>
        <w:adjustRightInd/>
        <w:spacing w:line="34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1.SPV公司规范经营管理工作对标2：绩效考核</w:t>
      </w:r>
    </w:p>
    <w:p>
      <w:pPr>
        <w:autoSpaceDE/>
        <w:autoSpaceDN/>
        <w:adjustRightInd/>
        <w:spacing w:line="34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2.绩效考核解析，结合案例</w:t>
      </w:r>
    </w:p>
    <w:p>
      <w:pPr>
        <w:autoSpaceDE/>
        <w:autoSpaceDN/>
        <w:adjustRightInd/>
        <w:spacing w:line="34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3.运营类型剖析</w:t>
      </w:r>
    </w:p>
    <w:p>
      <w:pPr>
        <w:autoSpaceDE/>
        <w:autoSpaceDN/>
        <w:adjustRightInd/>
        <w:spacing w:line="34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4.目前运营存在的问题和思路</w:t>
      </w:r>
    </w:p>
    <w:p>
      <w:pPr>
        <w:autoSpaceDE/>
        <w:autoSpaceDN/>
        <w:adjustRightInd/>
        <w:spacing w:line="34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5.解决思路与方案</w:t>
      </w:r>
    </w:p>
    <w:p>
      <w:pPr>
        <w:autoSpaceDE/>
        <w:autoSpaceDN/>
        <w:adjustRightInd/>
        <w:spacing w:line="34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（二）</w:t>
      </w:r>
      <w:r>
        <w:rPr>
          <w:rFonts w:hint="default" w:ascii="仿宋" w:hAnsi="仿宋" w:eastAsia="仿宋" w:cs="仿宋"/>
          <w:b/>
          <w:bCs/>
          <w:kern w:val="2"/>
          <w:sz w:val="28"/>
          <w:szCs w:val="28"/>
        </w:rPr>
        <w:t>PPP项目竣工验收与审计</w:t>
      </w:r>
    </w:p>
    <w:p>
      <w:pPr>
        <w:autoSpaceDE/>
        <w:autoSpaceDN/>
        <w:adjustRightInd/>
        <w:spacing w:line="34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1.SPV公司规范经营管理工作对标1：审计</w:t>
      </w:r>
    </w:p>
    <w:p>
      <w:pPr>
        <w:autoSpaceDE/>
        <w:autoSpaceDN/>
        <w:adjustRightInd/>
        <w:spacing w:line="34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2.新《审计法》重点提炼</w:t>
      </w:r>
    </w:p>
    <w:p>
      <w:pPr>
        <w:autoSpaceDE/>
        <w:autoSpaceDN/>
        <w:adjustRightInd/>
        <w:spacing w:line="34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3.审计的现状：社会审计、行政审计（审计局、财政评审），结合案例</w:t>
      </w:r>
    </w:p>
    <w:p>
      <w:pPr>
        <w:autoSpaceDE/>
        <w:autoSpaceDN/>
        <w:adjustRightInd/>
        <w:spacing w:line="34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4.SPV公司面对审计工作的弱项解析及应对</w:t>
      </w:r>
    </w:p>
    <w:p>
      <w:pPr>
        <w:autoSpaceDE/>
        <w:autoSpaceDN/>
        <w:adjustRightInd/>
        <w:spacing w:line="34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5.审计重点解析</w:t>
      </w:r>
    </w:p>
    <w:p>
      <w:pPr>
        <w:autoSpaceDE/>
        <w:autoSpaceDN/>
        <w:adjustRightInd/>
        <w:spacing w:line="34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6.建议：完整证据链思维</w:t>
      </w:r>
    </w:p>
    <w:p>
      <w:pPr>
        <w:autoSpaceDE/>
        <w:autoSpaceDN/>
        <w:adjustRightInd/>
        <w:spacing w:line="34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（三）</w:t>
      </w:r>
      <w:r>
        <w:rPr>
          <w:rFonts w:hint="default" w:ascii="仿宋" w:hAnsi="仿宋" w:eastAsia="仿宋" w:cs="仿宋"/>
          <w:b/>
          <w:bCs/>
          <w:kern w:val="2"/>
          <w:sz w:val="28"/>
          <w:szCs w:val="28"/>
        </w:rPr>
        <w:t>PPP项目税务筹划</w:t>
      </w:r>
    </w:p>
    <w:p>
      <w:pPr>
        <w:autoSpaceDE/>
        <w:autoSpaceDN/>
        <w:adjustRightInd/>
        <w:spacing w:line="34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1.PPP税务理论</w:t>
      </w:r>
    </w:p>
    <w:p>
      <w:pPr>
        <w:autoSpaceDE/>
        <w:autoSpaceDN/>
        <w:adjustRightInd/>
        <w:spacing w:line="34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2.PPP全生命周期税务风险</w:t>
      </w:r>
    </w:p>
    <w:p>
      <w:pPr>
        <w:autoSpaceDE/>
        <w:autoSpaceDN/>
        <w:adjustRightInd/>
        <w:spacing w:line="34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3.PPP全生命周期税务筹划</w:t>
      </w:r>
    </w:p>
    <w:p>
      <w:pPr>
        <w:autoSpaceDE/>
        <w:autoSpaceDN/>
        <w:adjustRightInd/>
        <w:spacing w:line="34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4.政府视角的PPP片区项目税收筹划</w:t>
      </w:r>
    </w:p>
    <w:p>
      <w:pPr>
        <w:autoSpaceDE/>
        <w:autoSpaceDN/>
        <w:adjustRightInd/>
        <w:spacing w:line="34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（四）</w:t>
      </w:r>
      <w:r>
        <w:rPr>
          <w:rFonts w:hint="default" w:ascii="仿宋" w:hAnsi="仿宋" w:eastAsia="仿宋" w:cs="仿宋"/>
          <w:b/>
          <w:bCs/>
          <w:kern w:val="2"/>
          <w:sz w:val="28"/>
          <w:szCs w:val="28"/>
        </w:rPr>
        <w:t>PPP项目各利益相关主体财务热点问题</w:t>
      </w:r>
    </w:p>
    <w:p>
      <w:pPr>
        <w:autoSpaceDE/>
        <w:autoSpaceDN/>
        <w:adjustRightInd/>
        <w:spacing w:line="34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1.PPP“一案两评”财务理论上的要求</w:t>
      </w:r>
    </w:p>
    <w:p>
      <w:pPr>
        <w:autoSpaceDE/>
        <w:autoSpaceDN/>
        <w:adjustRightInd/>
        <w:spacing w:line="34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2.金融机构放款条件对PPP项目财务测算要求</w:t>
      </w:r>
    </w:p>
    <w:p>
      <w:pPr>
        <w:autoSpaceDE/>
        <w:autoSpaceDN/>
        <w:adjustRightInd/>
        <w:spacing w:line="34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3.社会资本关注的财务热点问题分析</w:t>
      </w:r>
    </w:p>
    <w:p>
      <w:pPr>
        <w:autoSpaceDE/>
        <w:autoSpaceDN/>
        <w:adjustRightInd/>
        <w:spacing w:line="34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4.PPP项目落地前合同谈判阶段财务细节问题</w:t>
      </w:r>
    </w:p>
    <w:p>
      <w:pPr>
        <w:autoSpaceDE/>
        <w:autoSpaceDN/>
        <w:adjustRightInd/>
        <w:spacing w:line="34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5.PPP行业财务测算风险分析</w:t>
      </w:r>
    </w:p>
    <w:tbl>
      <w:tblPr>
        <w:tblStyle w:val="6"/>
        <w:tblpPr w:leftFromText="180" w:rightFromText="180" w:vertAnchor="page" w:horzAnchor="margin" w:tblpXSpec="center" w:tblpY="226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847"/>
        <w:gridCol w:w="1282"/>
        <w:gridCol w:w="1702"/>
        <w:gridCol w:w="438"/>
        <w:gridCol w:w="687"/>
        <w:gridCol w:w="309"/>
        <w:gridCol w:w="541"/>
        <w:gridCol w:w="292"/>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4"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单位名称</w:t>
            </w:r>
          </w:p>
        </w:tc>
        <w:tc>
          <w:tcPr>
            <w:tcW w:w="4956" w:type="dxa"/>
            <w:gridSpan w:val="5"/>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p>
        </w:tc>
        <w:tc>
          <w:tcPr>
            <w:tcW w:w="850"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邮编</w:t>
            </w:r>
          </w:p>
        </w:tc>
        <w:tc>
          <w:tcPr>
            <w:tcW w:w="2419" w:type="dxa"/>
            <w:gridSpan w:val="2"/>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4"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单位地址</w:t>
            </w:r>
          </w:p>
        </w:tc>
        <w:tc>
          <w:tcPr>
            <w:tcW w:w="8225" w:type="dxa"/>
            <w:gridSpan w:val="9"/>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联系人</w:t>
            </w:r>
          </w:p>
        </w:tc>
        <w:tc>
          <w:tcPr>
            <w:tcW w:w="2129" w:type="dxa"/>
            <w:gridSpan w:val="2"/>
            <w:vAlign w:val="center"/>
          </w:tcPr>
          <w:p>
            <w:pPr>
              <w:autoSpaceDE/>
              <w:autoSpaceDN/>
              <w:adjustRightInd/>
              <w:spacing w:line="360" w:lineRule="exact"/>
              <w:ind w:right="-168" w:rightChars="-70" w:firstLine="960"/>
              <w:jc w:val="both"/>
              <w:rPr>
                <w:rFonts w:hint="default" w:ascii="仿宋_GB2312" w:hAnsi="Times New Roman" w:eastAsia="仿宋_GB2312"/>
                <w:kern w:val="2"/>
                <w:szCs w:val="22"/>
              </w:rPr>
            </w:pPr>
          </w:p>
        </w:tc>
        <w:tc>
          <w:tcPr>
            <w:tcW w:w="2827"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职位/岗位</w:t>
            </w:r>
          </w:p>
        </w:tc>
        <w:tc>
          <w:tcPr>
            <w:tcW w:w="3269" w:type="dxa"/>
            <w:gridSpan w:val="4"/>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4"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办公电话</w:t>
            </w:r>
          </w:p>
        </w:tc>
        <w:tc>
          <w:tcPr>
            <w:tcW w:w="2129"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827"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    机</w:t>
            </w:r>
          </w:p>
        </w:tc>
        <w:tc>
          <w:tcPr>
            <w:tcW w:w="3269" w:type="dxa"/>
            <w:gridSpan w:val="4"/>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传   真</w:t>
            </w:r>
          </w:p>
        </w:tc>
        <w:tc>
          <w:tcPr>
            <w:tcW w:w="2129"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827"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电子信箱</w:t>
            </w:r>
          </w:p>
        </w:tc>
        <w:tc>
          <w:tcPr>
            <w:tcW w:w="3269" w:type="dxa"/>
            <w:gridSpan w:val="4"/>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4"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参加培训人员</w:t>
            </w:r>
          </w:p>
        </w:tc>
        <w:tc>
          <w:tcPr>
            <w:tcW w:w="847"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性别</w:t>
            </w:r>
          </w:p>
        </w:tc>
        <w:tc>
          <w:tcPr>
            <w:tcW w:w="1282"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职务</w:t>
            </w:r>
          </w:p>
        </w:tc>
        <w:tc>
          <w:tcPr>
            <w:tcW w:w="1702"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电话</w:t>
            </w:r>
          </w:p>
        </w:tc>
        <w:tc>
          <w:tcPr>
            <w:tcW w:w="2267" w:type="dxa"/>
            <w:gridSpan w:val="5"/>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手机</w:t>
            </w:r>
          </w:p>
        </w:tc>
        <w:tc>
          <w:tcPr>
            <w:tcW w:w="2127"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70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267"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12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70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267"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12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70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267"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12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70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267"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12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70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267"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12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70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267"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12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4" w:type="dxa"/>
            <w:vAlign w:val="center"/>
          </w:tcPr>
          <w:p>
            <w:pPr>
              <w:autoSpaceDE/>
              <w:autoSpaceDN/>
              <w:adjustRightInd/>
              <w:spacing w:line="360" w:lineRule="exact"/>
              <w:ind w:right="-168" w:rightChars="-70" w:firstLine="241" w:firstLineChars="100"/>
              <w:rPr>
                <w:rFonts w:hint="default" w:ascii="仿宋_GB2312" w:hAnsi="Times New Roman" w:eastAsia="仿宋_GB2312"/>
                <w:color w:val="FF0000"/>
                <w:kern w:val="2"/>
                <w:szCs w:val="22"/>
              </w:rPr>
            </w:pPr>
            <w:r>
              <w:rPr>
                <w:rFonts w:ascii="仿宋_GB2312" w:hAnsi="Times New Roman" w:eastAsia="仿宋_GB2312"/>
                <w:b/>
                <w:color w:val="000000"/>
                <w:kern w:val="2"/>
                <w:szCs w:val="22"/>
              </w:rPr>
              <w:t>参会地点</w:t>
            </w:r>
          </w:p>
        </w:tc>
        <w:tc>
          <w:tcPr>
            <w:tcW w:w="2129" w:type="dxa"/>
            <w:gridSpan w:val="2"/>
            <w:vAlign w:val="center"/>
          </w:tcPr>
          <w:p>
            <w:pPr>
              <w:autoSpaceDE/>
              <w:autoSpaceDN/>
              <w:adjustRightInd/>
              <w:spacing w:line="360" w:lineRule="exact"/>
              <w:ind w:right="-168" w:rightChars="-70" w:firstLine="840" w:firstLineChars="350"/>
              <w:rPr>
                <w:rFonts w:hint="default" w:ascii="仿宋_GB2312" w:hAnsi="Times New Roman" w:eastAsia="仿宋_GB2312"/>
                <w:color w:val="FF0000"/>
                <w:kern w:val="2"/>
                <w:szCs w:val="22"/>
              </w:rPr>
            </w:pPr>
          </w:p>
        </w:tc>
        <w:tc>
          <w:tcPr>
            <w:tcW w:w="1702" w:type="dxa"/>
            <w:vAlign w:val="center"/>
          </w:tcPr>
          <w:p>
            <w:pPr>
              <w:widowControl/>
              <w:autoSpaceDE/>
              <w:autoSpaceDN/>
              <w:adjustRightInd/>
              <w:spacing w:line="360" w:lineRule="exact"/>
              <w:ind w:right="-168" w:rightChars="-70" w:firstLine="360" w:firstLineChars="150"/>
              <w:rPr>
                <w:rFonts w:hint="default" w:ascii="仿宋" w:hAnsi="仿宋" w:eastAsia="仿宋"/>
                <w:b/>
                <w:color w:val="000000"/>
                <w:szCs w:val="24"/>
              </w:rPr>
            </w:pPr>
            <w:r>
              <w:rPr>
                <w:rFonts w:ascii="仿宋" w:hAnsi="仿宋" w:eastAsia="仿宋"/>
                <w:b/>
                <w:color w:val="000000"/>
                <w:szCs w:val="24"/>
              </w:rPr>
              <w:t>证书申报</w:t>
            </w:r>
          </w:p>
        </w:tc>
        <w:tc>
          <w:tcPr>
            <w:tcW w:w="4394" w:type="dxa"/>
            <w:gridSpan w:val="6"/>
            <w:vAlign w:val="center"/>
          </w:tcPr>
          <w:p>
            <w:pPr>
              <w:widowControl/>
              <w:autoSpaceDE/>
              <w:autoSpaceDN/>
              <w:adjustRightInd/>
              <w:spacing w:line="360" w:lineRule="exact"/>
              <w:ind w:right="-168" w:rightChars="-70"/>
              <w:rPr>
                <w:rFonts w:hint="default" w:ascii="仿宋" w:hAnsi="仿宋" w:eastAsia="仿宋"/>
                <w:color w:val="000000"/>
                <w:szCs w:val="24"/>
              </w:rPr>
            </w:pPr>
            <w:r>
              <w:rPr>
                <w:rFonts w:ascii="仿宋" w:hAnsi="仿宋" w:eastAsia="仿宋"/>
                <w:color w:val="000000"/>
                <w:szCs w:val="24"/>
              </w:rPr>
              <w:t>《PPP项目管理师》□《债券咨询师》□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4"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标准选项</w:t>
            </w:r>
          </w:p>
        </w:tc>
        <w:tc>
          <w:tcPr>
            <w:tcW w:w="8225" w:type="dxa"/>
            <w:gridSpan w:val="9"/>
            <w:vAlign w:val="center"/>
          </w:tcPr>
          <w:p>
            <w:pPr>
              <w:autoSpaceDE/>
              <w:autoSpaceDN/>
              <w:adjustRightInd/>
              <w:spacing w:line="360" w:lineRule="exact"/>
              <w:ind w:right="-168" w:rightChars="-70" w:firstLine="422" w:firstLineChars="150"/>
              <w:rPr>
                <w:rFonts w:hint="default" w:ascii="仿宋_GB2312" w:hAnsi="Times New Roman" w:eastAsia="仿宋_GB2312"/>
                <w:color w:val="000000"/>
                <w:kern w:val="2"/>
                <w:szCs w:val="22"/>
              </w:rPr>
            </w:pPr>
            <w:r>
              <w:rPr>
                <w:rFonts w:hint="default" w:ascii="仿宋_GB2312" w:eastAsia="仿宋_GB2312" w:cs="宋体"/>
                <w:b/>
                <w:color w:val="000000"/>
                <w:sz w:val="28"/>
                <w:szCs w:val="28"/>
              </w:rPr>
              <w:t>A</w:t>
            </w:r>
            <w:r>
              <w:rPr>
                <w:rFonts w:ascii="仿宋_GB2312" w:eastAsia="仿宋_GB2312" w:cs="宋体"/>
                <w:b/>
                <w:color w:val="000000"/>
                <w:sz w:val="28"/>
                <w:szCs w:val="28"/>
              </w:rPr>
              <w:t>.</w:t>
            </w:r>
            <w:r>
              <w:rPr>
                <w:rFonts w:hint="default" w:ascii="仿宋_GB2312" w:eastAsia="仿宋_GB2312" w:cs="宋体"/>
                <w:b/>
                <w:color w:val="000000"/>
                <w:sz w:val="28"/>
                <w:szCs w:val="28"/>
              </w:rPr>
              <w:t>2980元□       B</w:t>
            </w:r>
            <w:r>
              <w:rPr>
                <w:rFonts w:ascii="仿宋_GB2312" w:eastAsia="仿宋_GB2312" w:cs="宋体"/>
                <w:b/>
                <w:color w:val="000000"/>
                <w:sz w:val="28"/>
                <w:szCs w:val="28"/>
              </w:rPr>
              <w:t>.</w:t>
            </w:r>
            <w:r>
              <w:rPr>
                <w:rFonts w:hint="default" w:ascii="仿宋_GB2312" w:eastAsia="仿宋_GB2312" w:cs="宋体"/>
                <w:b/>
                <w:color w:val="000000"/>
                <w:sz w:val="28"/>
                <w:szCs w:val="28"/>
              </w:rPr>
              <w:t>3980元□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4" w:type="dxa"/>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付款方式</w:t>
            </w:r>
          </w:p>
        </w:tc>
        <w:tc>
          <w:tcPr>
            <w:tcW w:w="4269" w:type="dxa"/>
            <w:gridSpan w:val="4"/>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 xml:space="preserve">□银行     □网银 </w:t>
            </w:r>
          </w:p>
        </w:tc>
        <w:tc>
          <w:tcPr>
            <w:tcW w:w="996" w:type="dxa"/>
            <w:gridSpan w:val="2"/>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金额</w:t>
            </w:r>
          </w:p>
        </w:tc>
        <w:tc>
          <w:tcPr>
            <w:tcW w:w="2960" w:type="dxa"/>
            <w:gridSpan w:val="3"/>
          </w:tcPr>
          <w:p>
            <w:pPr>
              <w:widowControl/>
              <w:autoSpaceDE/>
              <w:autoSpaceDN/>
              <w:adjustRightInd/>
              <w:spacing w:line="360" w:lineRule="exact"/>
              <w:ind w:right="-168" w:rightChars="-70"/>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4"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需要与专家</w:t>
            </w:r>
          </w:p>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沟通的问题</w:t>
            </w:r>
          </w:p>
        </w:tc>
        <w:tc>
          <w:tcPr>
            <w:tcW w:w="8225" w:type="dxa"/>
            <w:gridSpan w:val="9"/>
          </w:tcPr>
          <w:p>
            <w:pPr>
              <w:widowControl/>
              <w:autoSpaceDE/>
              <w:autoSpaceDN/>
              <w:adjustRightInd/>
              <w:spacing w:line="360" w:lineRule="exact"/>
              <w:ind w:right="-168" w:rightChars="-7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4"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b/>
                <w:bCs/>
                <w:kern w:val="2"/>
                <w:szCs w:val="22"/>
              </w:rPr>
              <w:t>收款账户</w:t>
            </w:r>
          </w:p>
        </w:tc>
        <w:tc>
          <w:tcPr>
            <w:tcW w:w="8225" w:type="dxa"/>
            <w:gridSpan w:val="9"/>
            <w:vAlign w:val="center"/>
          </w:tcPr>
          <w:p>
            <w:pPr>
              <w:widowControl/>
              <w:spacing w:line="360" w:lineRule="exact"/>
              <w:jc w:val="both"/>
              <w:rPr>
                <w:rFonts w:hint="default" w:ascii="仿宋" w:hAnsi="仿宋" w:eastAsia="仿宋" w:cs="仿宋"/>
                <w:szCs w:val="22"/>
                <w:lang w:val="zh-CN"/>
              </w:rPr>
            </w:pPr>
            <w:r>
              <w:rPr>
                <w:rFonts w:ascii="仿宋" w:hAnsi="仿宋" w:eastAsia="仿宋" w:cs="仿宋"/>
                <w:lang w:val="zh-CN"/>
              </w:rPr>
              <w:t>单位名称</w:t>
            </w:r>
            <w:r>
              <w:rPr>
                <w:rFonts w:ascii="仿宋" w:hAnsi="仿宋" w:eastAsia="仿宋" w:cs="仿宋"/>
                <w:szCs w:val="22"/>
                <w:lang w:val="zh-CN"/>
              </w:rPr>
              <w:t>：北京中科善若教育咨询有限公司</w:t>
            </w:r>
          </w:p>
          <w:p>
            <w:pPr>
              <w:widowControl/>
              <w:spacing w:line="360" w:lineRule="exact"/>
              <w:jc w:val="both"/>
              <w:rPr>
                <w:rFonts w:hint="default" w:ascii="仿宋" w:hAnsi="仿宋" w:eastAsia="仿宋" w:cs="仿宋"/>
                <w:szCs w:val="22"/>
                <w:lang w:val="zh-CN"/>
              </w:rPr>
            </w:pPr>
            <w:r>
              <w:rPr>
                <w:rFonts w:ascii="仿宋" w:hAnsi="仿宋" w:eastAsia="仿宋" w:cs="仿宋"/>
                <w:szCs w:val="22"/>
                <w:lang w:val="zh-CN"/>
              </w:rPr>
              <w:t>开 户 行：中国工商银行股份有限公司北京</w:t>
            </w:r>
            <w:r>
              <w:rPr>
                <w:rFonts w:ascii="仿宋" w:hAnsi="仿宋" w:eastAsia="仿宋" w:cs="仿宋"/>
                <w:szCs w:val="22"/>
              </w:rPr>
              <w:t>永定路</w:t>
            </w:r>
            <w:r>
              <w:rPr>
                <w:rFonts w:ascii="仿宋" w:hAnsi="仿宋" w:eastAsia="仿宋" w:cs="仿宋"/>
                <w:szCs w:val="22"/>
                <w:lang w:val="zh-CN"/>
              </w:rPr>
              <w:t xml:space="preserve">支行 </w:t>
            </w:r>
          </w:p>
          <w:p>
            <w:pPr>
              <w:widowControl/>
              <w:spacing w:line="360" w:lineRule="exact"/>
              <w:jc w:val="both"/>
              <w:rPr>
                <w:rFonts w:hint="default" w:ascii="仿宋" w:hAnsi="仿宋" w:eastAsia="仿宋" w:cs="仿宋"/>
                <w:szCs w:val="22"/>
              </w:rPr>
            </w:pPr>
            <w:r>
              <w:rPr>
                <w:rFonts w:ascii="仿宋" w:hAnsi="仿宋" w:eastAsia="仿宋" w:cs="仿宋"/>
                <w:szCs w:val="22"/>
                <w:lang w:val="zh-CN"/>
              </w:rPr>
              <w:t>账    号：02002470092000</w:t>
            </w:r>
            <w:r>
              <w:rPr>
                <w:rFonts w:ascii="仿宋" w:hAnsi="仿宋" w:eastAsia="仿宋" w:cs="仿宋"/>
                <w:szCs w:val="22"/>
              </w:rPr>
              <w:t>77514</w:t>
            </w:r>
          </w:p>
          <w:p>
            <w:pPr>
              <w:widowControl/>
              <w:spacing w:line="360" w:lineRule="exact"/>
              <w:jc w:val="both"/>
              <w:rPr>
                <w:rFonts w:hint="default" w:ascii="仿宋_GB2312" w:hAnsi="Times New Roman" w:eastAsia="仿宋_GB2312"/>
                <w:b/>
                <w:bCs/>
                <w:kern w:val="2"/>
                <w:sz w:val="28"/>
                <w:szCs w:val="28"/>
              </w:rPr>
            </w:pPr>
            <w:r>
              <w:rPr>
                <w:rFonts w:ascii="仿宋" w:hAnsi="仿宋" w:eastAsia="仿宋" w:cs="仿宋"/>
                <w:szCs w:val="22"/>
                <w:lang w:val="zh-CN"/>
              </w:rPr>
              <w:t>行</w:t>
            </w:r>
            <w:r>
              <w:rPr>
                <w:rFonts w:ascii="仿宋" w:hAnsi="仿宋" w:eastAsia="仿宋" w:cs="仿宋"/>
                <w:szCs w:val="22"/>
              </w:rPr>
              <w:t xml:space="preserve">    </w:t>
            </w:r>
            <w:r>
              <w:rPr>
                <w:rFonts w:ascii="仿宋" w:hAnsi="仿宋" w:eastAsia="仿宋" w:cs="仿宋"/>
                <w:szCs w:val="22"/>
                <w:lang w:val="zh-CN"/>
              </w:rPr>
              <w:t>号：102100024703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1664"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备注</w:t>
            </w:r>
          </w:p>
        </w:tc>
        <w:tc>
          <w:tcPr>
            <w:tcW w:w="4956" w:type="dxa"/>
            <w:gridSpan w:val="5"/>
            <w:vAlign w:val="center"/>
          </w:tcPr>
          <w:p>
            <w:pPr>
              <w:autoSpaceDE/>
              <w:autoSpaceDN/>
              <w:adjustRightInd/>
              <w:spacing w:line="360" w:lineRule="exact"/>
              <w:ind w:right="-168" w:rightChars="-70"/>
              <w:rPr>
                <w:rFonts w:hint="default" w:ascii="仿宋_GB2312" w:hAnsi="Times New Roman" w:eastAsia="仿宋_GB2312"/>
                <w:kern w:val="2"/>
                <w:szCs w:val="22"/>
              </w:rPr>
            </w:pPr>
            <w:r>
              <w:rPr>
                <w:rFonts w:ascii="仿宋_GB2312" w:eastAsia="仿宋_GB2312"/>
                <w:szCs w:val="22"/>
              </w:rPr>
              <w:t>请将《报名回执表》回传至会务组，并在报名3日内办理培训费，会务组确认到款后即发《参会凭证》，详细说明培训具体安排事项。</w:t>
            </w:r>
          </w:p>
        </w:tc>
        <w:tc>
          <w:tcPr>
            <w:tcW w:w="3269" w:type="dxa"/>
            <w:gridSpan w:val="4"/>
            <w:vAlign w:val="center"/>
          </w:tcPr>
          <w:p>
            <w:pPr>
              <w:autoSpaceDE/>
              <w:autoSpaceDN/>
              <w:adjustRightInd/>
              <w:spacing w:line="360" w:lineRule="exact"/>
              <w:ind w:right="-168" w:rightChars="-70" w:firstLine="1080" w:firstLineChars="450"/>
              <w:jc w:val="both"/>
              <w:rPr>
                <w:rFonts w:hint="default" w:ascii="仿宋_GB2312" w:hAnsi="Times New Roman" w:eastAsia="仿宋_GB2312"/>
                <w:kern w:val="2"/>
                <w:szCs w:val="22"/>
              </w:rPr>
            </w:pPr>
            <w:r>
              <w:rPr>
                <w:rFonts w:ascii="仿宋_GB2312" w:hAnsi="Times New Roman" w:eastAsia="仿宋_GB2312"/>
                <w:kern w:val="2"/>
                <w:szCs w:val="22"/>
              </w:rPr>
              <w:t>单位印章</w:t>
            </w:r>
          </w:p>
          <w:p>
            <w:pPr>
              <w:autoSpaceDE/>
              <w:autoSpaceDN/>
              <w:adjustRightInd/>
              <w:spacing w:line="360" w:lineRule="exact"/>
              <w:ind w:right="-168" w:rightChars="-70" w:firstLine="720" w:firstLineChars="300"/>
              <w:jc w:val="both"/>
              <w:rPr>
                <w:rFonts w:hint="default" w:ascii="仿宋_GB2312" w:hAnsi="Times New Roman" w:eastAsia="仿宋_GB2312"/>
                <w:kern w:val="2"/>
                <w:szCs w:val="22"/>
              </w:rPr>
            </w:pPr>
            <w:r>
              <w:rPr>
                <w:rFonts w:ascii="仿宋_GB2312" w:hAnsi="Times New Roman" w:eastAsia="仿宋_GB2312"/>
                <w:kern w:val="2"/>
                <w:szCs w:val="22"/>
              </w:rPr>
              <w:t>2020年  月  日</w:t>
            </w:r>
          </w:p>
        </w:tc>
      </w:tr>
    </w:tbl>
    <w:p>
      <w:pPr>
        <w:spacing w:line="300" w:lineRule="exact"/>
        <w:jc w:val="center"/>
        <w:rPr>
          <w:rStyle w:val="8"/>
          <w:rFonts w:hint="default" w:ascii="黑体" w:hAnsi="黑体" w:eastAsia="黑体" w:cs="黑体"/>
          <w:b w:val="0"/>
          <w:bCs w:val="0"/>
          <w:color w:val="000000"/>
          <w:sz w:val="28"/>
          <w:szCs w:val="28"/>
          <w:lang w:val="zh-CN"/>
        </w:rPr>
      </w:pPr>
      <w:r>
        <w:rPr>
          <w:rStyle w:val="8"/>
          <w:rFonts w:ascii="黑体" w:hAnsi="黑体" w:eastAsia="黑体" w:cs="黑体"/>
          <w:b w:val="0"/>
          <w:bCs w:val="0"/>
          <w:color w:val="000000"/>
          <w:sz w:val="28"/>
          <w:szCs w:val="28"/>
        </w:rPr>
        <w:t>附件二.</w:t>
      </w:r>
      <w:r>
        <w:t xml:space="preserve"> </w:t>
      </w:r>
      <w:r>
        <w:rPr>
          <w:rStyle w:val="8"/>
          <w:rFonts w:hint="default" w:ascii="黑体" w:hAnsi="黑体" w:eastAsia="黑体" w:cs="黑体"/>
          <w:b w:val="0"/>
          <w:bCs w:val="0"/>
          <w:color w:val="000000"/>
          <w:sz w:val="28"/>
          <w:szCs w:val="28"/>
          <w:lang w:val="zh-CN"/>
        </w:rPr>
        <w:t>地方政府专项债券+PPP项目创新实务及PPP项目运营、税务筹划、财务测算与审计专题培训班</w:t>
      </w:r>
      <w:r>
        <w:rPr>
          <w:rStyle w:val="8"/>
          <w:rFonts w:ascii="黑体" w:hAnsi="黑体" w:eastAsia="黑体" w:cs="黑体"/>
          <w:b w:val="0"/>
          <w:bCs w:val="0"/>
          <w:color w:val="000000"/>
          <w:sz w:val="28"/>
          <w:szCs w:val="28"/>
          <w:lang w:val="zh-CN"/>
        </w:rPr>
        <w:t>报名回执表</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报名负责人：聂红军主</w:t>
      </w:r>
      <w:r>
        <w:rPr>
          <w:rFonts w:hint="eastAsia"/>
          <w:bCs/>
          <w:kern w:val="2"/>
          <w:sz w:val="28"/>
          <w:szCs w:val="28"/>
          <w:lang w:val="en-US" w:eastAsia="zh-CN" w:bidi="ar-SA"/>
        </w:rPr>
        <w:t>任</w:t>
      </w:r>
      <w:r>
        <w:rPr>
          <w:rFonts w:hint="eastAsia"/>
          <w:bCs/>
          <w:kern w:val="2"/>
          <w:sz w:val="28"/>
          <w:szCs w:val="28"/>
          <w:lang w:val="en-US" w:bidi="ar-SA"/>
        </w:rPr>
        <w:t>18211071700（微信</w:t>
      </w:r>
      <w:r>
        <w:rPr>
          <w:rFonts w:hint="eastAsia"/>
          <w:bCs/>
          <w:kern w:val="2"/>
          <w:sz w:val="28"/>
          <w:szCs w:val="28"/>
          <w:lang w:val="en-US" w:eastAsia="zh-CN" w:bidi="ar-SA"/>
        </w:rPr>
        <w:t>）</w:t>
      </w:r>
      <w:r>
        <w:rPr>
          <w:rFonts w:hint="eastAsia"/>
          <w:bCs/>
          <w:kern w:val="2"/>
          <w:sz w:val="28"/>
          <w:szCs w:val="28"/>
          <w:lang w:val="en-US" w:bidi="ar-SA"/>
        </w:rPr>
        <w:t>qq咨询：3177524020</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电话（传真）：010-87697580                </w:t>
      </w:r>
      <w:bookmarkStart w:id="0" w:name="_GoBack"/>
      <w:bookmarkEnd w:id="0"/>
      <w:r>
        <w:rPr>
          <w:rFonts w:hint="eastAsia"/>
          <w:bCs/>
          <w:kern w:val="2"/>
          <w:sz w:val="28"/>
          <w:szCs w:val="28"/>
          <w:lang w:val="en-US" w:eastAsia="zh-CN" w:bidi="ar-SA"/>
        </w:rPr>
        <w:t>邮</w:t>
      </w:r>
      <w:r>
        <w:rPr>
          <w:rFonts w:hint="eastAsia"/>
          <w:bCs/>
          <w:kern w:val="2"/>
          <w:sz w:val="28"/>
          <w:szCs w:val="28"/>
          <w:lang w:val="en-US" w:bidi="ar-SA"/>
        </w:rPr>
        <w:t xml:space="preserve">箱：zqgphwz@126.com   </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网址查询：http://www.zqgpchina.cn/  </w:t>
      </w:r>
    </w:p>
    <w:p>
      <w:pPr>
        <w:widowControl/>
        <w:autoSpaceDE/>
        <w:autoSpaceDN/>
        <w:spacing w:line="360" w:lineRule="exact"/>
        <w:jc w:val="center"/>
        <w:rPr>
          <w:rStyle w:val="8"/>
          <w:rFonts w:hint="default" w:ascii="黑体" w:hAnsi="黑体" w:eastAsia="黑体" w:cs="黑体"/>
          <w:b w:val="0"/>
          <w:bCs w:val="0"/>
          <w:color w:val="00000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eastAsia="宋体"/>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rPr>
                        <w:rFonts w:eastAsia="宋体"/>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F"/>
    <w:rsid w:val="00134951"/>
    <w:rsid w:val="001B15FC"/>
    <w:rsid w:val="001D4E4F"/>
    <w:rsid w:val="00364877"/>
    <w:rsid w:val="004F0155"/>
    <w:rsid w:val="00514830"/>
    <w:rsid w:val="00635310"/>
    <w:rsid w:val="00691650"/>
    <w:rsid w:val="006E04D9"/>
    <w:rsid w:val="007F06C5"/>
    <w:rsid w:val="008F5E58"/>
    <w:rsid w:val="0096667F"/>
    <w:rsid w:val="0097399B"/>
    <w:rsid w:val="009A75EF"/>
    <w:rsid w:val="00A4068D"/>
    <w:rsid w:val="00B8611B"/>
    <w:rsid w:val="00C96EFB"/>
    <w:rsid w:val="00CC4896"/>
    <w:rsid w:val="00DB411C"/>
    <w:rsid w:val="02C11B11"/>
    <w:rsid w:val="03A22B71"/>
    <w:rsid w:val="04097323"/>
    <w:rsid w:val="05EC15E9"/>
    <w:rsid w:val="06405261"/>
    <w:rsid w:val="097B4154"/>
    <w:rsid w:val="09830641"/>
    <w:rsid w:val="0A4E63B6"/>
    <w:rsid w:val="0AC402AC"/>
    <w:rsid w:val="0C663998"/>
    <w:rsid w:val="0D636D9F"/>
    <w:rsid w:val="0EE27FB1"/>
    <w:rsid w:val="0FB2655B"/>
    <w:rsid w:val="16104D61"/>
    <w:rsid w:val="189D545E"/>
    <w:rsid w:val="18CA3072"/>
    <w:rsid w:val="197A09FD"/>
    <w:rsid w:val="1AEE6A7C"/>
    <w:rsid w:val="1FC55C98"/>
    <w:rsid w:val="200C5D1C"/>
    <w:rsid w:val="20FF2E16"/>
    <w:rsid w:val="224225B5"/>
    <w:rsid w:val="263C038C"/>
    <w:rsid w:val="2706321F"/>
    <w:rsid w:val="28214475"/>
    <w:rsid w:val="285D19F1"/>
    <w:rsid w:val="2DBC33DE"/>
    <w:rsid w:val="2E8C7DB4"/>
    <w:rsid w:val="2EDF0819"/>
    <w:rsid w:val="302A6F7C"/>
    <w:rsid w:val="304D5E89"/>
    <w:rsid w:val="33C510F2"/>
    <w:rsid w:val="34B477CD"/>
    <w:rsid w:val="367E4D2C"/>
    <w:rsid w:val="392D788E"/>
    <w:rsid w:val="3BB65D7E"/>
    <w:rsid w:val="3F4D2115"/>
    <w:rsid w:val="3F9071A2"/>
    <w:rsid w:val="3FBB3440"/>
    <w:rsid w:val="401C1209"/>
    <w:rsid w:val="42FC0222"/>
    <w:rsid w:val="463E08FA"/>
    <w:rsid w:val="467A0678"/>
    <w:rsid w:val="46FC336F"/>
    <w:rsid w:val="47067731"/>
    <w:rsid w:val="49625532"/>
    <w:rsid w:val="4A1A4961"/>
    <w:rsid w:val="4CEF5AE7"/>
    <w:rsid w:val="4F2E3604"/>
    <w:rsid w:val="4FC0109F"/>
    <w:rsid w:val="4FED2607"/>
    <w:rsid w:val="51CD03DC"/>
    <w:rsid w:val="525F27AA"/>
    <w:rsid w:val="529E0DE8"/>
    <w:rsid w:val="533F31D3"/>
    <w:rsid w:val="5383297A"/>
    <w:rsid w:val="56AA0CC4"/>
    <w:rsid w:val="56D0306B"/>
    <w:rsid w:val="5EA507E4"/>
    <w:rsid w:val="5F3D3FD8"/>
    <w:rsid w:val="625A5EDF"/>
    <w:rsid w:val="63FF5A6E"/>
    <w:rsid w:val="6778253A"/>
    <w:rsid w:val="678935BC"/>
    <w:rsid w:val="69A1240D"/>
    <w:rsid w:val="71006618"/>
    <w:rsid w:val="71A902B1"/>
    <w:rsid w:val="721F1571"/>
    <w:rsid w:val="724B5515"/>
    <w:rsid w:val="740941D7"/>
    <w:rsid w:val="74B0505B"/>
    <w:rsid w:val="781D4D29"/>
    <w:rsid w:val="7B994910"/>
    <w:rsid w:val="7C131DB0"/>
    <w:rsid w:val="7C8B48F9"/>
    <w:rsid w:val="7DD12167"/>
    <w:rsid w:val="7F784001"/>
    <w:rsid w:val="7F98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autoSpaceDE/>
      <w:autoSpaceDN/>
      <w:adjustRightInd/>
      <w:snapToGrid w:val="0"/>
    </w:pPr>
    <w:rPr>
      <w:rFonts w:hint="default" w:asciiTheme="minorHAnsi" w:hAnsiTheme="minorHAnsi" w:eastAsiaTheme="minorEastAsia" w:cstheme="minorBidi"/>
      <w:kern w:val="2"/>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autoSpaceDE/>
      <w:autoSpaceDN/>
      <w:adjustRightInd/>
      <w:snapToGrid w:val="0"/>
      <w:jc w:val="center"/>
    </w:pPr>
    <w:rPr>
      <w:rFonts w:hint="default" w:asciiTheme="minorHAnsi" w:hAnsiTheme="minorHAnsi" w:eastAsiaTheme="minorEastAsia" w:cstheme="minorBidi"/>
      <w:kern w:val="2"/>
      <w:sz w:val="18"/>
      <w:szCs w:val="18"/>
    </w:rPr>
  </w:style>
  <w:style w:type="paragraph" w:styleId="5">
    <w:name w:val="Title"/>
    <w:basedOn w:val="1"/>
    <w:next w:val="1"/>
    <w:link w:val="12"/>
    <w:qFormat/>
    <w:uiPriority w:val="10"/>
    <w:pPr>
      <w:spacing w:before="240" w:after="60"/>
      <w:jc w:val="center"/>
      <w:outlineLvl w:val="0"/>
    </w:pPr>
    <w:rPr>
      <w:rFonts w:asciiTheme="majorHAnsi" w:hAnsiTheme="majorHAnsi" w:cstheme="majorBidi"/>
      <w:b/>
      <w:bCs/>
      <w:sz w:val="32"/>
      <w:szCs w:val="32"/>
    </w:rPr>
  </w:style>
  <w:style w:type="character" w:styleId="8">
    <w:name w:val="Strong"/>
    <w:basedOn w:val="7"/>
    <w:qFormat/>
    <w:uiPriority w:val="99"/>
    <w:rPr>
      <w:rFonts w:cs="Times New Roman"/>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标题 Char"/>
    <w:basedOn w:val="7"/>
    <w:link w:val="5"/>
    <w:qFormat/>
    <w:uiPriority w:val="10"/>
    <w:rPr>
      <w:rFonts w:eastAsia="宋体" w:asciiTheme="majorHAnsi" w:hAnsiTheme="majorHAnsi" w:cstheme="majorBidi"/>
      <w:b/>
      <w:bCs/>
      <w:kern w:val="0"/>
      <w:sz w:val="32"/>
      <w:szCs w:val="32"/>
    </w:rPr>
  </w:style>
  <w:style w:type="paragraph" w:customStyle="1" w:styleId="13">
    <w:name w:val="列出段落1"/>
    <w:basedOn w:val="1"/>
    <w:qFormat/>
    <w:uiPriority w:val="99"/>
    <w:pPr>
      <w:ind w:firstLine="420" w:firstLineChars="200"/>
    </w:pPr>
    <w:rPr>
      <w:szCs w:val="22"/>
    </w:rPr>
  </w:style>
  <w:style w:type="character" w:customStyle="1" w:styleId="14">
    <w:name w:val="批注框文本 Char"/>
    <w:basedOn w:val="7"/>
    <w:link w:val="2"/>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541</Words>
  <Characters>3085</Characters>
  <Lines>25</Lines>
  <Paragraphs>7</Paragraphs>
  <TotalTime>1</TotalTime>
  <ScaleCrop>false</ScaleCrop>
  <LinksUpToDate>false</LinksUpToDate>
  <CharactersWithSpaces>3619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2020-04-21T08:36:00Z</dcterms:created>
  <dc:creator>微软用户</dc:creator>
  <cp:lastModifiedBy>Administrator</cp:lastModifiedBy>
  <cp:lastPrinted>2020-04-22T07:40:00Z</cp:lastPrinted>
  <dcterms:modified xsi:type="dcterms:W3CDTF">2020-05-25T02:22:49Z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