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cs="宋体"/>
                <w:color w:val="FF0000"/>
                <w:sz w:val="70"/>
                <w:szCs w:val="70"/>
                <w:lang w:val="zh-CN" w:bidi="zh-CN"/>
              </w:rPr>
            </w:pPr>
            <w:r>
              <w:rPr>
                <w:rFonts w:ascii="楷体" w:hAnsi="楷体" w:eastAsia="楷体" w:cs="宋体"/>
                <w:color w:val="000000" w:themeColor="text1"/>
                <w:szCs w:val="24"/>
                <w:lang w:val="zh-CN"/>
                <w14:textFill>
                  <w14:solidFill>
                    <w14:schemeClr w14:val="tx1"/>
                  </w14:solidFill>
                </w14:textFill>
              </w:rPr>
              <w:t xml:space="preserve"> </w:t>
            </w:r>
            <w:r>
              <w:rPr>
                <w:rFonts w:hint="eastAsia" w:cs="宋体"/>
                <w:color w:val="FF0000"/>
                <w:sz w:val="70"/>
                <w:szCs w:val="70"/>
                <w:lang w:val="zh-CN" w:bidi="zh-CN"/>
              </w:rPr>
              <w:t>中 国 投 资 协 会</w:t>
            </w:r>
          </w:p>
          <w:p>
            <w:pPr>
              <w:autoSpaceDE/>
              <w:autoSpaceDN/>
              <w:adjustRightInd/>
              <w:jc w:val="distribute"/>
              <w:rPr>
                <w:rFonts w:ascii="楷体" w:hAnsi="楷体" w:eastAsia="楷体"/>
                <w:color w:val="FF0000"/>
                <w:sz w:val="66"/>
                <w:szCs w:val="66"/>
              </w:rPr>
            </w:pPr>
            <w:r>
              <w:rPr>
                <w:rFonts w:hint="eastAsia" w:cs="宋体"/>
                <w:color w:val="FF0000"/>
                <w:sz w:val="70"/>
                <w:szCs w:val="70"/>
                <w:lang w:val="zh-CN" w:bidi="zh-CN"/>
              </w:rPr>
              <w:t>项目投融资专业委员会文件</w:t>
            </w:r>
          </w:p>
          <w:p>
            <w:pPr>
              <w:autoSpaceDE/>
              <w:autoSpaceDN/>
              <w:jc w:val="center"/>
              <w:rPr>
                <w:rFonts w:ascii="楷体" w:hAnsi="楷体" w:eastAsia="楷体"/>
                <w:color w:val="000000" w:themeColor="text1"/>
                <w:sz w:val="66"/>
                <w:szCs w:val="66"/>
                <w14:textFill>
                  <w14:solidFill>
                    <w14:schemeClr w14:val="tx1"/>
                  </w14:solidFill>
                </w14:textFill>
              </w:rPr>
            </w:pPr>
            <w:r>
              <w:rPr>
                <w:rFonts w:hint="eastAsia" w:cs="宋体"/>
                <w:sz w:val="30"/>
                <w:szCs w:val="30"/>
                <w:lang w:bidi="zh-CN"/>
              </w:rPr>
              <w:t>投融培</w:t>
            </w:r>
            <w:r>
              <w:rPr>
                <w:rFonts w:hint="eastAsia" w:cs="宋体"/>
                <w:sz w:val="30"/>
                <w:szCs w:val="30"/>
                <w:lang w:val="zh-CN" w:bidi="zh-CN"/>
              </w:rPr>
              <w:t>字〔2020〕</w:t>
            </w:r>
            <w:r>
              <w:rPr>
                <w:rFonts w:hint="eastAsia" w:cs="宋体"/>
                <w:sz w:val="30"/>
                <w:szCs w:val="30"/>
                <w:lang w:bidi="zh-CN"/>
              </w:rPr>
              <w:t>16</w:t>
            </w:r>
            <w:r>
              <w:rPr>
                <w:rFonts w:hint="eastAsia" w:cs="宋体"/>
                <w:sz w:val="30"/>
                <w:szCs w:val="30"/>
                <w:lang w:val="zh-CN" w:bidi="zh-CN"/>
              </w:rPr>
              <w:t>号</w:t>
            </w:r>
          </w:p>
        </w:tc>
      </w:tr>
    </w:tbl>
    <w:p>
      <w:pPr>
        <w:spacing w:line="360" w:lineRule="exact"/>
        <w:jc w:val="center"/>
        <w:rPr>
          <w:rFonts w:ascii="黑体" w:hAnsi="黑体" w:eastAsia="黑体" w:cs="黑体"/>
          <w:color w:val="000000"/>
          <w:sz w:val="34"/>
          <w:szCs w:val="34"/>
        </w:rPr>
      </w:pPr>
    </w:p>
    <w:p>
      <w:pPr>
        <w:autoSpaceDE/>
        <w:autoSpaceDN/>
        <w:adjustRightInd/>
        <w:spacing w:line="380" w:lineRule="exact"/>
        <w:jc w:val="center"/>
        <w:rPr>
          <w:rFonts w:cs="宋体"/>
          <w:b/>
          <w:bCs/>
          <w:kern w:val="2"/>
          <w:sz w:val="36"/>
          <w:szCs w:val="36"/>
        </w:rPr>
      </w:pPr>
      <w:r>
        <w:rPr>
          <w:rFonts w:hint="eastAsia" w:cs="宋体"/>
          <w:b/>
          <w:bCs/>
          <w:kern w:val="2"/>
          <w:sz w:val="36"/>
          <w:szCs w:val="36"/>
          <w:lang w:val="zh-CN"/>
        </w:rPr>
        <w:t>关于举办国企“十四五”战略规划编制</w:t>
      </w:r>
      <w:r>
        <w:rPr>
          <w:rFonts w:hint="eastAsia" w:cs="宋体"/>
          <w:b/>
          <w:bCs/>
          <w:kern w:val="2"/>
          <w:sz w:val="36"/>
          <w:szCs w:val="36"/>
        </w:rPr>
        <w:t xml:space="preserve"> </w:t>
      </w:r>
      <w:r>
        <w:rPr>
          <w:rFonts w:hint="eastAsia" w:cs="宋体"/>
          <w:b/>
          <w:bCs/>
          <w:kern w:val="2"/>
          <w:sz w:val="36"/>
          <w:szCs w:val="36"/>
          <w:lang w:val="zh-CN"/>
        </w:rPr>
        <w:t>集团管控</w:t>
      </w:r>
      <w:r>
        <w:rPr>
          <w:rFonts w:hint="eastAsia" w:cs="宋体"/>
          <w:b/>
          <w:bCs/>
          <w:kern w:val="2"/>
          <w:sz w:val="36"/>
          <w:szCs w:val="36"/>
        </w:rPr>
        <w:t xml:space="preserve"> </w:t>
      </w:r>
    </w:p>
    <w:p>
      <w:pPr>
        <w:autoSpaceDE/>
        <w:autoSpaceDN/>
        <w:adjustRightInd/>
        <w:spacing w:line="380" w:lineRule="exact"/>
        <w:jc w:val="center"/>
        <w:rPr>
          <w:rFonts w:cs="宋体"/>
          <w:b/>
          <w:bCs/>
          <w:kern w:val="2"/>
          <w:sz w:val="36"/>
          <w:szCs w:val="36"/>
          <w:lang w:val="zh-CN"/>
        </w:rPr>
      </w:pPr>
      <w:r>
        <w:rPr>
          <w:rFonts w:hint="eastAsia" w:cs="宋体"/>
          <w:b/>
          <w:bCs/>
          <w:kern w:val="2"/>
          <w:sz w:val="36"/>
          <w:szCs w:val="36"/>
          <w:lang w:val="zh-CN"/>
        </w:rPr>
        <w:t>三项制度改革（劳动</w:t>
      </w:r>
      <w:r>
        <w:rPr>
          <w:rFonts w:hint="eastAsia" w:cs="宋体"/>
          <w:b/>
          <w:bCs/>
          <w:kern w:val="2"/>
          <w:sz w:val="36"/>
          <w:szCs w:val="36"/>
        </w:rPr>
        <w:t xml:space="preserve"> </w:t>
      </w:r>
      <w:r>
        <w:rPr>
          <w:rFonts w:hint="eastAsia" w:cs="宋体"/>
          <w:b/>
          <w:bCs/>
          <w:kern w:val="2"/>
          <w:sz w:val="36"/>
          <w:szCs w:val="36"/>
          <w:lang w:val="zh-CN"/>
        </w:rPr>
        <w:t>人事</w:t>
      </w:r>
      <w:r>
        <w:rPr>
          <w:rFonts w:hint="eastAsia" w:cs="宋体"/>
          <w:b/>
          <w:bCs/>
          <w:kern w:val="2"/>
          <w:sz w:val="36"/>
          <w:szCs w:val="36"/>
        </w:rPr>
        <w:t xml:space="preserve"> </w:t>
      </w:r>
      <w:r>
        <w:rPr>
          <w:rFonts w:hint="eastAsia" w:cs="宋体"/>
          <w:b/>
          <w:bCs/>
          <w:kern w:val="2"/>
          <w:sz w:val="36"/>
          <w:szCs w:val="36"/>
          <w:lang w:val="zh-CN"/>
        </w:rPr>
        <w:t>分配制度）</w:t>
      </w:r>
      <w:r>
        <w:rPr>
          <w:rFonts w:hint="eastAsia" w:cs="宋体"/>
          <w:b/>
          <w:bCs/>
          <w:kern w:val="2"/>
          <w:sz w:val="36"/>
          <w:szCs w:val="36"/>
        </w:rPr>
        <w:t>与</w:t>
      </w:r>
      <w:r>
        <w:rPr>
          <w:rFonts w:hint="eastAsia" w:cs="宋体"/>
          <w:b/>
          <w:bCs/>
          <w:kern w:val="2"/>
          <w:sz w:val="36"/>
          <w:szCs w:val="36"/>
          <w:lang w:val="zh-CN"/>
        </w:rPr>
        <w:t>国有企业</w:t>
      </w:r>
    </w:p>
    <w:p>
      <w:pPr>
        <w:autoSpaceDE/>
        <w:autoSpaceDN/>
        <w:adjustRightInd/>
        <w:spacing w:line="380" w:lineRule="exact"/>
        <w:jc w:val="center"/>
        <w:rPr>
          <w:rFonts w:cs="宋体"/>
          <w:b/>
          <w:bCs/>
          <w:kern w:val="2"/>
          <w:sz w:val="36"/>
          <w:szCs w:val="36"/>
          <w:lang w:val="zh-CN"/>
        </w:rPr>
      </w:pPr>
      <w:r>
        <w:rPr>
          <w:rFonts w:hint="eastAsia" w:cs="宋体"/>
          <w:b/>
          <w:bCs/>
          <w:kern w:val="2"/>
          <w:sz w:val="36"/>
          <w:szCs w:val="36"/>
          <w:lang w:val="zh-CN"/>
        </w:rPr>
        <w:t>授权经营机制改革专题培训班的通知</w:t>
      </w:r>
    </w:p>
    <w:p>
      <w:pPr>
        <w:autoSpaceDE/>
        <w:autoSpaceDN/>
        <w:adjustRightInd/>
        <w:spacing w:line="380" w:lineRule="exact"/>
        <w:jc w:val="center"/>
        <w:rPr>
          <w:rFonts w:cs="宋体"/>
          <w:b/>
          <w:bCs/>
          <w:kern w:val="2"/>
          <w:sz w:val="36"/>
          <w:szCs w:val="36"/>
          <w:lang w:val="zh-CN"/>
        </w:rPr>
      </w:pPr>
    </w:p>
    <w:p>
      <w:pPr>
        <w:autoSpaceDE/>
        <w:autoSpaceDN/>
        <w:adjustRightInd/>
        <w:spacing w:line="340" w:lineRule="exact"/>
        <w:jc w:val="both"/>
        <w:rPr>
          <w:rFonts w:ascii="仿宋" w:hAnsi="仿宋" w:eastAsia="仿宋" w:cs="仿宋"/>
          <w:kern w:val="2"/>
          <w:sz w:val="28"/>
          <w:szCs w:val="28"/>
        </w:rPr>
      </w:pPr>
      <w:r>
        <w:rPr>
          <w:rFonts w:ascii="仿宋" w:hAnsi="仿宋" w:eastAsia="仿宋" w:cs="仿宋"/>
          <w:kern w:val="2"/>
          <w:sz w:val="28"/>
          <w:szCs w:val="28"/>
        </w:rPr>
        <w:t>各有关单位:</w:t>
      </w:r>
    </w:p>
    <w:p>
      <w:pPr>
        <w:autoSpaceDE/>
        <w:autoSpaceDN/>
        <w:adjustRightInd/>
        <w:spacing w:line="340" w:lineRule="exact"/>
        <w:ind w:firstLine="560" w:firstLineChars="200"/>
        <w:jc w:val="both"/>
        <w:rPr>
          <w:rFonts w:ascii="仿宋" w:hAnsi="仿宋" w:eastAsia="仿宋" w:cs="宋体"/>
          <w:color w:val="000000"/>
          <w:sz w:val="28"/>
          <w:szCs w:val="28"/>
        </w:rPr>
      </w:pPr>
      <w:r>
        <w:rPr>
          <w:rFonts w:ascii="仿宋" w:hAnsi="仿宋" w:eastAsia="仿宋" w:cs="仿宋"/>
          <w:bCs/>
          <w:kern w:val="2"/>
          <w:sz w:val="28"/>
          <w:szCs w:val="28"/>
        </w:rPr>
        <w:t>2020年是研究编制国有企业“十四五”战略规划的关键时期，要深入贯彻</w:t>
      </w:r>
      <w:r>
        <w:rPr>
          <w:rFonts w:ascii="仿宋" w:hAnsi="仿宋" w:eastAsia="仿宋" w:cs="宋体"/>
          <w:color w:val="000000"/>
          <w:sz w:val="28"/>
          <w:szCs w:val="28"/>
        </w:rPr>
        <w:t>落实党中央、国务院关于国有企业改革的各项</w:t>
      </w:r>
      <w:r>
        <w:rPr>
          <w:rFonts w:hint="eastAsia" w:ascii="仿宋" w:hAnsi="仿宋" w:eastAsia="仿宋" w:cs="宋体"/>
          <w:color w:val="000000"/>
          <w:sz w:val="28"/>
          <w:szCs w:val="28"/>
        </w:rPr>
        <w:t>决策</w:t>
      </w:r>
      <w:r>
        <w:rPr>
          <w:rFonts w:ascii="仿宋" w:hAnsi="仿宋" w:eastAsia="仿宋" w:cs="宋体"/>
          <w:color w:val="000000"/>
          <w:sz w:val="28"/>
          <w:szCs w:val="28"/>
        </w:rPr>
        <w:t>部署，研究新历史时期的发展目标与方向，扎实推进各项经营管理工作的开展，</w:t>
      </w:r>
      <w:r>
        <w:rPr>
          <w:rFonts w:hint="eastAsia" w:ascii="仿宋" w:hAnsi="仿宋" w:eastAsia="仿宋" w:cs="宋体"/>
          <w:color w:val="000000"/>
          <w:sz w:val="28"/>
          <w:szCs w:val="28"/>
        </w:rPr>
        <w:t>面对</w:t>
      </w:r>
      <w:r>
        <w:rPr>
          <w:rFonts w:ascii="仿宋" w:hAnsi="仿宋" w:eastAsia="仿宋" w:cs="宋体"/>
          <w:color w:val="000000"/>
          <w:sz w:val="28"/>
          <w:szCs w:val="28"/>
        </w:rPr>
        <w:t>新问题、新机遇、新挑战</w:t>
      </w:r>
      <w:r>
        <w:rPr>
          <w:rFonts w:hint="eastAsia" w:ascii="仿宋" w:hAnsi="仿宋" w:eastAsia="仿宋" w:cs="宋体"/>
          <w:color w:val="000000"/>
          <w:sz w:val="28"/>
          <w:szCs w:val="28"/>
        </w:rPr>
        <w:t>，</w:t>
      </w:r>
      <w:r>
        <w:rPr>
          <w:rFonts w:ascii="仿宋" w:hAnsi="仿宋" w:eastAsia="仿宋" w:cs="宋体"/>
          <w:color w:val="000000"/>
          <w:sz w:val="28"/>
          <w:szCs w:val="28"/>
        </w:rPr>
        <w:t>提高企业的可持续发展能力。</w:t>
      </w:r>
    </w:p>
    <w:p>
      <w:pPr>
        <w:autoSpaceDE/>
        <w:autoSpaceDN/>
        <w:adjustRightInd/>
        <w:spacing w:line="340" w:lineRule="exact"/>
        <w:ind w:firstLine="560" w:firstLineChars="200"/>
        <w:jc w:val="both"/>
        <w:rPr>
          <w:rFonts w:ascii="仿宋" w:hAnsi="仿宋" w:eastAsia="仿宋" w:cs="Arial"/>
          <w:sz w:val="28"/>
          <w:szCs w:val="28"/>
        </w:rPr>
      </w:pPr>
      <w:r>
        <w:rPr>
          <w:rFonts w:hint="eastAsia" w:ascii="仿宋" w:hAnsi="仿宋" w:eastAsia="仿宋" w:cs="Arial"/>
          <w:sz w:val="28"/>
          <w:szCs w:val="28"/>
        </w:rPr>
        <w:t>为贯彻落实</w:t>
      </w:r>
      <w:r>
        <w:rPr>
          <w:rFonts w:ascii="仿宋" w:hAnsi="仿宋" w:eastAsia="仿宋" w:cs="Arial"/>
          <w:sz w:val="28"/>
          <w:szCs w:val="28"/>
        </w:rPr>
        <w:t>国务院《改革国有资本授权经营体制方案》（国发〔2019〕9号）《国务院国资委授权放权清单（2019年版）》</w:t>
      </w:r>
      <w:r>
        <w:rPr>
          <w:rFonts w:hint="eastAsia" w:ascii="仿宋" w:hAnsi="仿宋" w:eastAsia="仿宋" w:cs="Arial"/>
          <w:sz w:val="28"/>
          <w:szCs w:val="28"/>
        </w:rPr>
        <w:t>关于</w:t>
      </w:r>
      <w:r>
        <w:rPr>
          <w:rFonts w:ascii="仿宋" w:hAnsi="仿宋" w:eastAsia="仿宋" w:cs="Arial"/>
          <w:sz w:val="28"/>
          <w:szCs w:val="28"/>
        </w:rPr>
        <w:t>“重在改革体制、加大授权放权、强化监督监管、放活与管好相统一”的</w:t>
      </w:r>
      <w:r>
        <w:rPr>
          <w:rFonts w:hint="eastAsia" w:ascii="仿宋" w:hAnsi="仿宋" w:eastAsia="仿宋" w:cs="Arial"/>
          <w:sz w:val="28"/>
          <w:szCs w:val="28"/>
        </w:rPr>
        <w:t>要求，</w:t>
      </w:r>
      <w:r>
        <w:rPr>
          <w:rFonts w:ascii="仿宋" w:hAnsi="仿宋" w:eastAsia="仿宋" w:cs="Arial"/>
          <w:sz w:val="28"/>
          <w:szCs w:val="28"/>
        </w:rPr>
        <w:t>制定授权放权清单，赋予企业更多自主权，促进激发微观主体活力与管住管好国有资本有机结合</w:t>
      </w:r>
      <w:r>
        <w:rPr>
          <w:rFonts w:hint="eastAsia" w:ascii="仿宋" w:hAnsi="仿宋" w:eastAsia="仿宋" w:cs="Arial"/>
          <w:sz w:val="28"/>
          <w:szCs w:val="28"/>
        </w:rPr>
        <w:t>，</w:t>
      </w:r>
      <w:r>
        <w:rPr>
          <w:rFonts w:hint="eastAsia" w:ascii="仿宋_GB2312" w:hAnsi="仿宋_GB2312" w:eastAsia="仿宋_GB2312" w:cs="仿宋_GB2312"/>
          <w:bCs/>
          <w:color w:val="000000"/>
          <w:kern w:val="2"/>
          <w:sz w:val="28"/>
          <w:szCs w:val="28"/>
        </w:rPr>
        <w:t>中国投资协会项目投融资专业委员会会同北京中科善若教育咨询有限公司举办国企</w:t>
      </w:r>
      <w:r>
        <w:rPr>
          <w:rFonts w:hint="eastAsia" w:ascii="仿宋" w:hAnsi="仿宋" w:eastAsia="仿宋" w:cs="仿宋"/>
          <w:bCs/>
          <w:kern w:val="2"/>
          <w:sz w:val="28"/>
          <w:szCs w:val="28"/>
        </w:rPr>
        <w:t>“十四五”战略规划编制、集团管控、三项制度改革（劳动、人事、分配制度）与国有企业授权经营机制改革专题培训班。</w:t>
      </w:r>
    </w:p>
    <w:p>
      <w:pPr>
        <w:autoSpaceDE/>
        <w:autoSpaceDN/>
        <w:adjustRightInd/>
        <w:spacing w:line="340" w:lineRule="exact"/>
        <w:ind w:firstLine="560" w:firstLineChars="200"/>
        <w:jc w:val="both"/>
        <w:rPr>
          <w:rFonts w:ascii="仿宋" w:hAnsi="仿宋" w:eastAsia="仿宋" w:cs="仿宋"/>
          <w:bCs/>
          <w:kern w:val="2"/>
          <w:sz w:val="28"/>
          <w:szCs w:val="28"/>
        </w:rPr>
      </w:pPr>
      <w:r>
        <w:rPr>
          <w:rFonts w:hint="eastAsia" w:ascii="仿宋" w:hAnsi="仿宋" w:eastAsia="仿宋" w:cs="Arial"/>
          <w:sz w:val="28"/>
          <w:szCs w:val="28"/>
        </w:rPr>
        <w:t>本次培训旨在帮助相关单位深刻理解党和国家国企改革的精神，更好地编制国企改革方案，推动国企改革各项工作的健康开展、有序推进、取得实效。</w:t>
      </w:r>
      <w:r>
        <w:rPr>
          <w:rFonts w:ascii="仿宋" w:hAnsi="仿宋" w:eastAsia="仿宋" w:cs="仿宋"/>
          <w:bCs/>
          <w:kern w:val="2"/>
          <w:sz w:val="28"/>
          <w:szCs w:val="28"/>
        </w:rPr>
        <w:t>现将有关培训事项通知如下：</w:t>
      </w:r>
    </w:p>
    <w:p>
      <w:pPr>
        <w:autoSpaceDE/>
        <w:autoSpaceDN/>
        <w:adjustRightInd/>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一、组织机构</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主办单位：中国投资协会项目投融资专业委员会</w:t>
      </w:r>
    </w:p>
    <w:p>
      <w:pPr>
        <w:autoSpaceDE/>
        <w:autoSpaceDN/>
        <w:spacing w:line="340" w:lineRule="exact"/>
        <w:ind w:firstLine="560" w:firstLineChars="200"/>
        <w:rPr>
          <w:rFonts w:ascii="仿宋_GB2312" w:hAnsi="仿宋_GB2312" w:eastAsia="仿宋_GB2312" w:cs="仿宋_GB2312"/>
          <w:bCs/>
          <w:color w:val="000000"/>
          <w:kern w:val="2"/>
          <w:sz w:val="28"/>
          <w:szCs w:val="28"/>
        </w:rPr>
      </w:pPr>
      <w:r>
        <w:rPr>
          <w:rFonts w:hint="eastAsia" w:ascii="仿宋" w:hAnsi="仿宋" w:eastAsia="仿宋"/>
          <w:kern w:val="2"/>
          <w:sz w:val="28"/>
          <w:szCs w:val="28"/>
        </w:rPr>
        <w:t>承办单位：</w:t>
      </w:r>
      <w:r>
        <w:rPr>
          <w:rFonts w:hint="eastAsia" w:ascii="仿宋_GB2312" w:hAnsi="仿宋_GB2312" w:eastAsia="仿宋_GB2312" w:cs="仿宋_GB2312"/>
          <w:bCs/>
          <w:color w:val="000000"/>
          <w:kern w:val="2"/>
          <w:sz w:val="28"/>
          <w:szCs w:val="28"/>
        </w:rPr>
        <w:t>北京中科善若教育咨询有限公司</w:t>
      </w:r>
    </w:p>
    <w:p>
      <w:pPr>
        <w:spacing w:line="340" w:lineRule="exact"/>
        <w:ind w:firstLine="560" w:firstLineChars="200"/>
        <w:rPr>
          <w:rFonts w:ascii="楷体" w:hAnsi="楷体" w:eastAsia="楷体" w:cs="楷体"/>
          <w:kern w:val="2"/>
          <w:sz w:val="28"/>
          <w:szCs w:val="28"/>
        </w:rPr>
      </w:pPr>
      <w:r>
        <w:rPr>
          <w:rFonts w:hint="eastAsia" w:ascii="黑体" w:hAnsi="黑体" w:eastAsia="黑体" w:cs="黑体"/>
          <w:kern w:val="2"/>
          <w:sz w:val="28"/>
          <w:szCs w:val="28"/>
        </w:rPr>
        <w:t>二、培训内容</w:t>
      </w:r>
      <w:r>
        <w:rPr>
          <w:rFonts w:hint="eastAsia" w:ascii="楷体" w:hAnsi="楷体" w:eastAsia="楷体" w:cs="楷体"/>
          <w:kern w:val="2"/>
          <w:sz w:val="28"/>
          <w:szCs w:val="28"/>
        </w:rPr>
        <w:t>（详细内容见附件）</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1.国有企业“十四五”战略规划编制</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2.国有企业集团管控</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3.国有资本投资公司、运营公司</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4.国有企业三项制度改革</w:t>
      </w:r>
    </w:p>
    <w:p>
      <w:pPr>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三、培训对象</w:t>
      </w:r>
    </w:p>
    <w:p>
      <w:pPr>
        <w:autoSpaceDE/>
        <w:autoSpaceDN/>
        <w:adjustRightInd/>
        <w:spacing w:line="34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1.地方政府相关部门管理人员；</w:t>
      </w:r>
    </w:p>
    <w:p>
      <w:pPr>
        <w:autoSpaceDE/>
        <w:autoSpaceDN/>
        <w:adjustRightInd/>
        <w:spacing w:line="340" w:lineRule="exact"/>
        <w:ind w:firstLine="560" w:firstLineChars="200"/>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Cs/>
          <w:kern w:val="2"/>
          <w:sz w:val="28"/>
          <w:szCs w:val="28"/>
        </w:rPr>
        <w:t>2.</w:t>
      </w:r>
      <w:r>
        <w:rPr>
          <w:rFonts w:ascii="仿宋" w:hAnsi="仿宋" w:eastAsia="仿宋" w:cs="仿宋"/>
          <w:bCs/>
          <w:kern w:val="2"/>
          <w:sz w:val="28"/>
          <w:szCs w:val="28"/>
        </w:rPr>
        <w:t>国有企业人力资源、战略</w:t>
      </w:r>
      <w:r>
        <w:rPr>
          <w:rFonts w:hint="eastAsia" w:ascii="仿宋" w:hAnsi="仿宋" w:eastAsia="仿宋" w:cs="仿宋"/>
          <w:bCs/>
          <w:kern w:val="2"/>
          <w:sz w:val="28"/>
          <w:szCs w:val="28"/>
        </w:rPr>
        <w:t>规划</w:t>
      </w:r>
      <w:r>
        <w:rPr>
          <w:rFonts w:ascii="仿宋" w:hAnsi="仿宋" w:eastAsia="仿宋" w:cs="仿宋"/>
          <w:bCs/>
          <w:kern w:val="2"/>
          <w:sz w:val="28"/>
          <w:szCs w:val="28"/>
        </w:rPr>
        <w:t>、综合管理</w:t>
      </w:r>
      <w:r>
        <w:rPr>
          <w:rFonts w:hint="eastAsia" w:ascii="仿宋" w:hAnsi="仿宋" w:eastAsia="仿宋" w:cs="仿宋"/>
          <w:bCs/>
          <w:kern w:val="2"/>
          <w:sz w:val="28"/>
          <w:szCs w:val="28"/>
        </w:rPr>
        <w:t>等相关部门管理人员。</w:t>
      </w:r>
    </w:p>
    <w:p>
      <w:pPr>
        <w:spacing w:line="340" w:lineRule="exact"/>
        <w:ind w:firstLine="560" w:firstLineChars="200"/>
        <w:rPr>
          <w:rFonts w:ascii="仿宋" w:hAnsi="仿宋" w:eastAsia="仿宋"/>
          <w:color w:val="000000"/>
          <w:sz w:val="28"/>
          <w:szCs w:val="28"/>
        </w:rPr>
      </w:pPr>
      <w:r>
        <w:rPr>
          <w:rFonts w:hint="eastAsia" w:ascii="黑体" w:hAnsi="黑体" w:eastAsia="黑体" w:cs="黑体"/>
          <w:kern w:val="2"/>
          <w:sz w:val="28"/>
          <w:szCs w:val="28"/>
        </w:rPr>
        <w:t>四、授课专家</w:t>
      </w:r>
      <w:r>
        <w:rPr>
          <w:rFonts w:hint="eastAsia" w:ascii="仿宋" w:hAnsi="仿宋" w:eastAsia="仿宋"/>
          <w:color w:val="000000"/>
          <w:sz w:val="28"/>
          <w:szCs w:val="28"/>
        </w:rPr>
        <w:t xml:space="preserve">                </w:t>
      </w:r>
    </w:p>
    <w:p>
      <w:pPr>
        <w:autoSpaceDE/>
        <w:autoSpaceDN/>
        <w:adjustRightInd/>
        <w:spacing w:line="34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拟邀请国务院国资委主管部门所属单位</w:t>
      </w:r>
      <w:r>
        <w:rPr>
          <w:rFonts w:hint="eastAsia" w:ascii="仿宋" w:hAnsi="仿宋" w:eastAsia="仿宋" w:cs="仿宋"/>
          <w:bCs/>
          <w:kern w:val="2"/>
          <w:sz w:val="28"/>
          <w:szCs w:val="28"/>
        </w:rPr>
        <w:t>、</w:t>
      </w:r>
      <w:r>
        <w:rPr>
          <w:rFonts w:ascii="仿宋" w:hAnsi="仿宋" w:eastAsia="仿宋" w:cs="仿宋"/>
          <w:bCs/>
          <w:kern w:val="2"/>
          <w:sz w:val="28"/>
          <w:szCs w:val="28"/>
        </w:rPr>
        <w:t>中国人事科学研究院、中国财政科学研究院等单位的领导及国企改革专家</w:t>
      </w:r>
      <w:r>
        <w:rPr>
          <w:rFonts w:hint="eastAsia" w:ascii="仿宋" w:hAnsi="仿宋" w:eastAsia="仿宋" w:cs="仿宋"/>
          <w:bCs/>
          <w:kern w:val="2"/>
          <w:sz w:val="28"/>
          <w:szCs w:val="28"/>
        </w:rPr>
        <w:t>学者</w:t>
      </w:r>
      <w:r>
        <w:rPr>
          <w:rFonts w:ascii="仿宋" w:hAnsi="仿宋" w:eastAsia="仿宋" w:cs="仿宋"/>
          <w:bCs/>
          <w:kern w:val="2"/>
          <w:sz w:val="28"/>
          <w:szCs w:val="28"/>
        </w:rPr>
        <w:t>授课, 并组织交流与研讨</w:t>
      </w:r>
      <w:r>
        <w:rPr>
          <w:rFonts w:hint="eastAsia" w:ascii="仿宋" w:hAnsi="仿宋" w:eastAsia="仿宋" w:cs="仿宋"/>
          <w:bCs/>
          <w:kern w:val="2"/>
          <w:sz w:val="28"/>
          <w:szCs w:val="28"/>
        </w:rPr>
        <w:t>。</w:t>
      </w:r>
    </w:p>
    <w:p>
      <w:pPr>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五、时间地点</w:t>
      </w:r>
    </w:p>
    <w:p>
      <w:pPr>
        <w:spacing w:line="32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6月26日—</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 xml:space="preserve">6月30日   成都市（26日全天报到） </w:t>
      </w:r>
    </w:p>
    <w:p>
      <w:pPr>
        <w:spacing w:line="32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7月24日—</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 xml:space="preserve">7月28日   贵阳市（24日全天报到） </w:t>
      </w:r>
    </w:p>
    <w:p>
      <w:pPr>
        <w:spacing w:line="32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8月27日—</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8月31日   昆明市（27日全天报到）</w:t>
      </w:r>
    </w:p>
    <w:p>
      <w:pPr>
        <w:spacing w:line="32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9月17日—</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9月21日   厦门市（17日全天报到）</w:t>
      </w:r>
    </w:p>
    <w:p>
      <w:pPr>
        <w:spacing w:line="32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2020年10月22日—10月26日 </w:t>
      </w:r>
      <w:r>
        <w:rPr>
          <w:rFonts w:hint="eastAsia" w:ascii="仿宋" w:hAnsi="仿宋" w:eastAsia="仿宋" w:cs="宋体"/>
          <w:snapToGrid w:val="0"/>
          <w:color w:val="000000"/>
          <w:kern w:val="20"/>
          <w:position w:val="-4"/>
          <w:sz w:val="28"/>
          <w:szCs w:val="28"/>
          <w:lang w:val="en-US" w:eastAsia="zh-CN"/>
        </w:rPr>
        <w:t xml:space="preserve">  </w:t>
      </w:r>
      <w:r>
        <w:rPr>
          <w:rFonts w:hint="eastAsia" w:ascii="仿宋" w:hAnsi="仿宋" w:eastAsia="仿宋" w:cs="宋体"/>
          <w:snapToGrid w:val="0"/>
          <w:color w:val="000000"/>
          <w:kern w:val="20"/>
          <w:position w:val="-4"/>
          <w:sz w:val="28"/>
          <w:szCs w:val="28"/>
        </w:rPr>
        <w:t>西安市（22日全天报到）</w:t>
      </w:r>
    </w:p>
    <w:p>
      <w:pPr>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六、相关事宜</w:t>
      </w:r>
    </w:p>
    <w:p>
      <w:pPr>
        <w:spacing w:line="340" w:lineRule="exact"/>
        <w:ind w:firstLine="560" w:firstLineChars="200"/>
        <w:rPr>
          <w:rFonts w:ascii="仿宋" w:hAnsi="仿宋" w:eastAsia="仿宋"/>
          <w:color w:val="000000"/>
          <w:sz w:val="28"/>
          <w:szCs w:val="28"/>
        </w:rPr>
      </w:pPr>
      <w:r>
        <w:rPr>
          <w:rFonts w:hint="eastAsia" w:ascii="楷体" w:hAnsi="楷体" w:eastAsia="楷体" w:cs="楷体"/>
          <w:bCs/>
          <w:color w:val="000000"/>
          <w:kern w:val="2"/>
          <w:sz w:val="28"/>
          <w:szCs w:val="28"/>
        </w:rPr>
        <w:t>（一）培训费用</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A项.2980元/人（含培训费、资料费、电子课件、场地、会议期间午餐），住宿统一安排，费用自理。</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B项.3980元/人（含证书、培训费、资料费、电子课件、场地、会议期间午餐），住宿统一安排，费用自理。</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C项.5980元/人（含证书、培训费、资料费、电子课件、场地、会议期间食宿、交流等）。</w:t>
      </w:r>
    </w:p>
    <w:p>
      <w:pPr>
        <w:autoSpaceDE/>
        <w:autoSpaceDN/>
        <w:adjustRightInd/>
        <w:spacing w:line="34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备注：证书由中国国家人事人才培训网、北京企业管理咨询协会共同颁发《高级人力资源经理》《战略规划师》，证书查询网址</w:t>
      </w:r>
      <w:r>
        <w:fldChar w:fldCharType="begin"/>
      </w:r>
      <w:r>
        <w:instrText xml:space="preserve"> HYPERLINK "http://www.chinanet.gov.cn/" </w:instrText>
      </w:r>
      <w:r>
        <w:fldChar w:fldCharType="separate"/>
      </w:r>
      <w:r>
        <w:rPr>
          <w:rFonts w:ascii="仿宋" w:hAnsi="仿宋" w:eastAsia="仿宋" w:cs="仿宋"/>
          <w:bCs/>
          <w:kern w:val="2"/>
          <w:sz w:val="28"/>
          <w:szCs w:val="28"/>
        </w:rPr>
        <w:t>http://www.chinanet.gov.cn/</w:t>
      </w:r>
      <w:r>
        <w:rPr>
          <w:rFonts w:ascii="仿宋" w:hAnsi="仿宋" w:eastAsia="仿宋" w:cs="仿宋"/>
          <w:bCs/>
          <w:kern w:val="2"/>
          <w:sz w:val="28"/>
          <w:szCs w:val="28"/>
        </w:rPr>
        <w:fldChar w:fldCharType="end"/>
      </w:r>
      <w:r>
        <w:rPr>
          <w:rFonts w:hint="eastAsia" w:ascii="仿宋" w:hAnsi="仿宋" w:eastAsia="仿宋" w:cs="仿宋"/>
          <w:bCs/>
          <w:kern w:val="2"/>
          <w:sz w:val="28"/>
          <w:szCs w:val="28"/>
        </w:rPr>
        <w:t>，需提供报名材料：报名表、2寸电子照片（白底免冠彩照）、身份证复印件、学历证书复印件各一份。</w:t>
      </w:r>
    </w:p>
    <w:p>
      <w:pPr>
        <w:spacing w:line="340" w:lineRule="exact"/>
        <w:ind w:firstLine="560" w:firstLineChars="200"/>
        <w:rPr>
          <w:rFonts w:ascii="仿宋" w:hAnsi="仿宋" w:eastAsia="仿宋"/>
          <w:color w:val="000000"/>
          <w:sz w:val="28"/>
          <w:szCs w:val="28"/>
        </w:rPr>
      </w:pPr>
      <w:r>
        <w:rPr>
          <w:rFonts w:hint="eastAsia" w:ascii="楷体" w:hAnsi="楷体" w:eastAsia="楷体" w:cs="楷体"/>
          <w:bCs/>
          <w:color w:val="000000"/>
          <w:kern w:val="2"/>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30" w:lineRule="exact"/>
        <w:ind w:firstLine="560" w:firstLineChars="200"/>
        <w:rPr>
          <w:rFonts w:ascii="仿宋_GB2312" w:hAnsi="仿宋_GB2312" w:eastAsia="仿宋_GB2312" w:cs="仿宋_GB2312"/>
          <w:bCs/>
          <w:color w:val="000000"/>
          <w:kern w:val="2"/>
          <w:sz w:val="28"/>
          <w:szCs w:val="28"/>
        </w:rPr>
      </w:pPr>
    </w:p>
    <w:p>
      <w:pPr>
        <w:spacing w:line="340" w:lineRule="exact"/>
        <w:ind w:firstLine="560" w:firstLineChars="200"/>
        <w:rPr>
          <w:rFonts w:ascii="黑体" w:hAnsi="黑体" w:eastAsia="黑体" w:cs="黑体"/>
          <w:bCs/>
          <w:color w:val="000000"/>
          <w:kern w:val="2"/>
          <w:sz w:val="28"/>
          <w:szCs w:val="28"/>
        </w:rPr>
      </w:pPr>
      <w:r>
        <w:rPr>
          <w:rFonts w:hint="eastAsia" w:ascii="黑体" w:hAnsi="黑体" w:eastAsia="黑体" w:cs="黑体"/>
          <w:bCs/>
          <w:color w:val="000000"/>
          <w:kern w:val="2"/>
          <w:sz w:val="28"/>
          <w:szCs w:val="28"/>
        </w:rPr>
        <w:t>附件：</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1.培训内容</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2.国企</w:t>
      </w:r>
      <w:r>
        <w:rPr>
          <w:rFonts w:hint="eastAsia" w:ascii="仿宋_GB2312" w:hAnsi="仿宋_GB2312" w:eastAsia="仿宋_GB2312" w:cs="仿宋_GB2312"/>
          <w:bCs/>
          <w:color w:val="000000"/>
          <w:kern w:val="2"/>
          <w:sz w:val="28"/>
          <w:szCs w:val="28"/>
        </w:rPr>
        <w:t>“</w:t>
      </w:r>
      <w:r>
        <w:rPr>
          <w:rFonts w:hint="eastAsia" w:ascii="仿宋" w:hAnsi="仿宋" w:eastAsia="仿宋" w:cs="仿宋"/>
          <w:bCs/>
          <w:kern w:val="2"/>
          <w:sz w:val="28"/>
          <w:szCs w:val="28"/>
        </w:rPr>
        <w:t>十四五”战略规划编制、集团管控、三项制度改革（劳动、人事、分配制度）与国有企业授权经营机制改革专题培训班</w:t>
      </w:r>
      <w:r>
        <w:rPr>
          <w:rFonts w:hint="eastAsia" w:ascii="仿宋_GB2312" w:hAnsi="仿宋_GB2312" w:eastAsia="仿宋_GB2312" w:cs="仿宋_GB2312"/>
          <w:bCs/>
          <w:color w:val="000000"/>
          <w:kern w:val="2"/>
          <w:sz w:val="28"/>
          <w:szCs w:val="28"/>
        </w:rPr>
        <w:t>《</w:t>
      </w:r>
      <w:r>
        <w:rPr>
          <w:rFonts w:hint="eastAsia" w:ascii="仿宋" w:hAnsi="仿宋" w:eastAsia="仿宋"/>
          <w:color w:val="000000"/>
          <w:sz w:val="28"/>
          <w:szCs w:val="28"/>
        </w:rPr>
        <w:t xml:space="preserve">报名回执表》      </w:t>
      </w:r>
    </w:p>
    <w:p>
      <w:pPr>
        <w:autoSpaceDE/>
        <w:autoSpaceDN/>
        <w:adjustRightInd/>
        <w:spacing w:line="340" w:lineRule="exact"/>
        <w:jc w:val="both"/>
        <w:rPr>
          <w:rFonts w:ascii="仿宋" w:hAnsi="仿宋" w:eastAsia="仿宋" w:cs="仿宋"/>
          <w:bCs/>
          <w:kern w:val="2"/>
          <w:sz w:val="28"/>
          <w:szCs w:val="28"/>
        </w:rPr>
      </w:pPr>
      <w:r>
        <w:rPr>
          <w:rFonts w:ascii="仿宋" w:hAnsi="仿宋" w:eastAsia="仿宋" w:cs="仿宋"/>
          <w:bCs/>
          <w:kern w:val="2"/>
          <w:sz w:val="28"/>
          <w:szCs w:val="28"/>
        </w:rPr>
        <w:drawing>
          <wp:anchor distT="0" distB="0" distL="114300" distR="114300" simplePos="0" relativeHeight="251658240" behindDoc="1" locked="0" layoutInCell="1" allowOverlap="1">
            <wp:simplePos x="0" y="0"/>
            <wp:positionH relativeFrom="column">
              <wp:posOffset>2336800</wp:posOffset>
            </wp:positionH>
            <wp:positionV relativeFrom="paragraph">
              <wp:posOffset>158750</wp:posOffset>
            </wp:positionV>
            <wp:extent cx="3222625" cy="1675130"/>
            <wp:effectExtent l="0" t="0" r="0" b="1905"/>
            <wp:wrapNone/>
            <wp:docPr id="1" name="图片 1" descr="C:\Users\ADMINI~1\AppData\Local\Temp\WeChat Files\3d9062f919516ba0ae50baf31ac2a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3d9062f919516ba0ae50baf31ac2a3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23150" cy="1675428"/>
                    </a:xfrm>
                    <a:prstGeom prst="rect">
                      <a:avLst/>
                    </a:prstGeom>
                    <a:noFill/>
                    <a:ln>
                      <a:noFill/>
                    </a:ln>
                  </pic:spPr>
                </pic:pic>
              </a:graphicData>
            </a:graphic>
          </wp:anchor>
        </w:drawing>
      </w:r>
    </w:p>
    <w:p>
      <w:pPr>
        <w:autoSpaceDE/>
        <w:autoSpaceDN/>
        <w:adjustRightInd/>
        <w:spacing w:line="340" w:lineRule="exact"/>
        <w:ind w:firstLine="560" w:firstLineChars="200"/>
        <w:jc w:val="both"/>
        <w:rPr>
          <w:rFonts w:ascii="仿宋" w:hAnsi="仿宋" w:eastAsia="仿宋" w:cs="仿宋"/>
          <w:bCs/>
          <w:kern w:val="2"/>
          <w:sz w:val="28"/>
          <w:szCs w:val="28"/>
        </w:rPr>
      </w:pPr>
    </w:p>
    <w:p>
      <w:pPr>
        <w:autoSpaceDE/>
        <w:autoSpaceDN/>
        <w:adjustRightInd/>
        <w:spacing w:line="340" w:lineRule="exact"/>
        <w:ind w:firstLine="560" w:firstLineChars="200"/>
        <w:jc w:val="both"/>
        <w:rPr>
          <w:rFonts w:ascii="仿宋" w:hAnsi="仿宋" w:eastAsia="仿宋" w:cs="仿宋"/>
          <w:bCs/>
          <w:kern w:val="2"/>
          <w:sz w:val="28"/>
          <w:szCs w:val="28"/>
        </w:rPr>
      </w:pPr>
    </w:p>
    <w:p>
      <w:pPr>
        <w:autoSpaceDE/>
        <w:autoSpaceDN/>
        <w:adjustRightInd/>
        <w:spacing w:line="340" w:lineRule="exact"/>
        <w:ind w:firstLine="560" w:firstLineChars="200"/>
        <w:jc w:val="both"/>
        <w:rPr>
          <w:rFonts w:ascii="仿宋" w:hAnsi="仿宋" w:eastAsia="仿宋" w:cs="仿宋"/>
          <w:bCs/>
          <w:kern w:val="2"/>
          <w:sz w:val="28"/>
          <w:szCs w:val="28"/>
        </w:rPr>
      </w:pPr>
    </w:p>
    <w:p>
      <w:pPr>
        <w:autoSpaceDE/>
        <w:autoSpaceDN/>
        <w:adjustRightInd/>
        <w:spacing w:line="380" w:lineRule="exact"/>
        <w:ind w:firstLine="560" w:firstLineChars="200"/>
        <w:jc w:val="both"/>
        <w:rPr>
          <w:rFonts w:hint="eastAsia" w:ascii="仿宋_GB2312" w:hAnsi="仿宋_GB2312" w:eastAsia="仿宋_GB2312" w:cs="仿宋_GB2312"/>
          <w:color w:val="000000"/>
          <w:sz w:val="28"/>
          <w:szCs w:val="28"/>
          <w:lang w:bidi="ar"/>
        </w:rPr>
      </w:pPr>
    </w:p>
    <w:p>
      <w:pPr>
        <w:autoSpaceDE/>
        <w:autoSpaceDN/>
        <w:adjustRightInd/>
        <w:spacing w:line="380" w:lineRule="exact"/>
        <w:ind w:firstLine="560" w:firstLineChars="200"/>
        <w:jc w:val="both"/>
        <w:rPr>
          <w:rFonts w:hint="eastAsia" w:ascii="仿宋_GB2312" w:hAnsi="仿宋_GB2312" w:eastAsia="仿宋_GB2312" w:cs="仿宋_GB2312"/>
          <w:color w:val="000000"/>
          <w:sz w:val="28"/>
          <w:szCs w:val="28"/>
          <w:lang w:bidi="ar"/>
        </w:rPr>
      </w:pPr>
    </w:p>
    <w:p>
      <w:pPr>
        <w:autoSpaceDE/>
        <w:autoSpaceDN/>
        <w:adjustRightInd/>
        <w:spacing w:line="380" w:lineRule="exact"/>
        <w:ind w:firstLine="560" w:firstLineChars="200"/>
        <w:jc w:val="both"/>
        <w:rPr>
          <w:rFonts w:hint="eastAsia" w:ascii="仿宋_GB2312" w:hAnsi="仿宋_GB2312" w:eastAsia="仿宋_GB2312" w:cs="仿宋_GB2312"/>
          <w:color w:val="000000"/>
          <w:sz w:val="28"/>
          <w:szCs w:val="28"/>
          <w:lang w:bidi="ar"/>
        </w:rPr>
      </w:pPr>
    </w:p>
    <w:p>
      <w:pPr>
        <w:autoSpaceDE/>
        <w:autoSpaceDN/>
        <w:adjustRightInd/>
        <w:spacing w:line="380" w:lineRule="exact"/>
        <w:ind w:firstLine="560" w:firstLineChars="200"/>
        <w:jc w:val="both"/>
        <w:rPr>
          <w:rFonts w:ascii="仿宋" w:hAnsi="仿宋" w:eastAsia="仿宋" w:cs="仿宋"/>
          <w:bCs/>
          <w:kern w:val="2"/>
          <w:sz w:val="28"/>
          <w:szCs w:val="28"/>
        </w:rPr>
      </w:pPr>
    </w:p>
    <w:p>
      <w:pPr>
        <w:autoSpaceDE/>
        <w:autoSpaceDN/>
        <w:adjustRightInd/>
        <w:spacing w:line="400" w:lineRule="exact"/>
        <w:jc w:val="both"/>
        <w:rPr>
          <w:rFonts w:hint="eastAsia" w:ascii="华文中宋" w:hAnsi="华文中宋" w:eastAsia="华文中宋" w:cs="仿宋"/>
          <w:b/>
          <w:bCs/>
          <w:kern w:val="2"/>
          <w:sz w:val="28"/>
          <w:szCs w:val="28"/>
        </w:rPr>
      </w:pPr>
    </w:p>
    <w:p>
      <w:pPr>
        <w:autoSpaceDE/>
        <w:autoSpaceDN/>
        <w:adjustRightInd/>
        <w:spacing w:line="400" w:lineRule="exact"/>
        <w:jc w:val="both"/>
        <w:rPr>
          <w:rFonts w:hint="eastAsia" w:ascii="华文中宋" w:hAnsi="华文中宋" w:eastAsia="华文中宋" w:cs="仿宋"/>
          <w:b/>
          <w:bCs/>
          <w:kern w:val="2"/>
          <w:sz w:val="28"/>
          <w:szCs w:val="28"/>
        </w:rPr>
      </w:pPr>
    </w:p>
    <w:p>
      <w:pPr>
        <w:autoSpaceDE/>
        <w:autoSpaceDN/>
        <w:adjustRightInd/>
        <w:spacing w:line="400" w:lineRule="exact"/>
        <w:jc w:val="both"/>
        <w:rPr>
          <w:rFonts w:ascii="华文中宋" w:hAnsi="华文中宋" w:eastAsia="华文中宋" w:cs="仿宋"/>
          <w:b/>
          <w:bCs/>
          <w:kern w:val="2"/>
          <w:sz w:val="28"/>
          <w:szCs w:val="28"/>
        </w:rPr>
      </w:pPr>
      <w:r>
        <w:rPr>
          <w:rFonts w:hint="eastAsia" w:ascii="华文中宋" w:hAnsi="华文中宋" w:eastAsia="华文中宋" w:cs="仿宋"/>
          <w:b/>
          <w:bCs/>
          <w:kern w:val="2"/>
          <w:sz w:val="28"/>
          <w:szCs w:val="28"/>
        </w:rPr>
        <w:t>附件一.培训内容</w:t>
      </w:r>
    </w:p>
    <w:p>
      <w:pPr>
        <w:spacing w:line="400" w:lineRule="exact"/>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（一）国有企业“十四五”战略规划</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“十四五”战略规划的历史地位与意义</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国有企业“十四五”战略规划的环境分析</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国有企业“十四五”战略的顶层设计</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国有企业“十四五”战略的实施计划</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国有企业“十四五”战略的实施保障</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.国有企业“十四五”战略规划的操作要点</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.国有企业战略规划典型案例解析</w:t>
      </w:r>
    </w:p>
    <w:p>
      <w:pPr>
        <w:spacing w:line="400" w:lineRule="exact"/>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（二）国有企业集团管控</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认识集团管控</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集团管控模式的模式选择</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集团管控的治理结构设计</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集团管控与国有企业授权分权机制改革</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集团核心职能管控体系的构建</w:t>
      </w:r>
    </w:p>
    <w:p>
      <w:pPr>
        <w:tabs>
          <w:tab w:val="left" w:pos="1560"/>
        </w:tabs>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国有企业对不同子公司的管控要点</w:t>
      </w:r>
    </w:p>
    <w:p>
      <w:pPr>
        <w:widowControl/>
        <w:autoSpaceDE/>
        <w:adjustRightInd/>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7.</w:t>
      </w:r>
      <w:r>
        <w:rPr>
          <w:rFonts w:hint="eastAsia" w:ascii="仿宋" w:hAnsi="仿宋" w:eastAsia="仿宋"/>
          <w:color w:val="000000" w:themeColor="text1"/>
          <w:sz w:val="28"/>
          <w:szCs w:val="28"/>
          <w14:textFill>
            <w14:solidFill>
              <w14:schemeClr w14:val="tx1"/>
            </w14:solidFill>
          </w14:textFill>
        </w:rPr>
        <w:t>国有企业的集团管控操作要点</w:t>
      </w:r>
    </w:p>
    <w:p>
      <w:pPr>
        <w:spacing w:line="400" w:lineRule="exact"/>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（三）国有资本投资公司、运营公司</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1.国有资本投资公司、国有资本运营公司的定位及职责</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2.国有资本投资公司、国有资本运营公司的组建方式</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3.国有资本投资公司、国有资本运营公司的授权机制</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4.国有资本投资公司、国有资本运营公司的治理结构</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5.国有资本投资公司、国有资本运营公司的运行模式</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6.国有资本投资公司、国有资本运营公司的监督与约束机制</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7.国有资本投资公司、国有资本运营公司的推进难点问题解析</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8.国有资本投资公司、国有资本运营公司的典型案例解析</w:t>
      </w:r>
    </w:p>
    <w:p>
      <w:pPr>
        <w:autoSpaceDE/>
        <w:adjustRightInd/>
        <w:spacing w:line="400" w:lineRule="exact"/>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（四）国有企业三项制度改革</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国有企业三项制度改革的认识</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国有企业三项制度改革的政策</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分配制度改革——收入能增能减</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人事制度改革——干部能上能下</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劳动制度改革——员工能进能出</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国有企业三项制度改革的实施</w:t>
      </w:r>
    </w:p>
    <w:p>
      <w:pPr>
        <w:autoSpaceDE/>
        <w:adjustRightInd/>
        <w:spacing w:line="400" w:lineRule="exact"/>
        <w:ind w:firstLine="560" w:firstLineChars="200"/>
        <w:jc w:val="both"/>
        <w:rPr>
          <w:rStyle w:val="8"/>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国有企业三项制度改革典型案例解读</w:t>
      </w:r>
    </w:p>
    <w:p>
      <w:pPr>
        <w:widowControl/>
        <w:autoSpaceDE/>
        <w:autoSpaceDN/>
        <w:jc w:val="center"/>
        <w:rPr>
          <w:rStyle w:val="8"/>
          <w:rFonts w:ascii="黑体" w:hAnsi="黑体" w:eastAsia="黑体" w:cs="黑体"/>
          <w:b w:val="0"/>
          <w:bCs w:val="0"/>
          <w:color w:val="000000"/>
          <w:sz w:val="28"/>
          <w:szCs w:val="28"/>
          <w:lang w:val="zh-CN"/>
        </w:rPr>
      </w:pPr>
      <w:r>
        <w:rPr>
          <w:rStyle w:val="8"/>
          <w:rFonts w:ascii="黑体" w:hAnsi="黑体" w:eastAsia="黑体" w:cs="黑体"/>
          <w:b w:val="0"/>
          <w:bCs w:val="0"/>
          <w:color w:val="000000"/>
          <w:sz w:val="28"/>
          <w:szCs w:val="28"/>
        </w:rPr>
        <w:t>附件</w:t>
      </w:r>
      <w:r>
        <w:rPr>
          <w:rStyle w:val="8"/>
          <w:rFonts w:hint="eastAsia" w:ascii="黑体" w:hAnsi="黑体" w:eastAsia="黑体" w:cs="黑体"/>
          <w:b w:val="0"/>
          <w:bCs w:val="0"/>
          <w:color w:val="000000"/>
          <w:sz w:val="28"/>
          <w:szCs w:val="28"/>
        </w:rPr>
        <w:t>二</w:t>
      </w:r>
      <w:r>
        <w:rPr>
          <w:rStyle w:val="8"/>
          <w:rFonts w:ascii="黑体" w:hAnsi="黑体" w:eastAsia="黑体" w:cs="黑体"/>
          <w:b w:val="0"/>
          <w:bCs w:val="0"/>
          <w:color w:val="000000"/>
          <w:sz w:val="28"/>
          <w:szCs w:val="28"/>
        </w:rPr>
        <w:t>.</w:t>
      </w:r>
      <w:r>
        <w:rPr>
          <w:rStyle w:val="8"/>
          <w:rFonts w:hint="eastAsia" w:ascii="黑体" w:hAnsi="黑体" w:eastAsia="黑体" w:cs="黑体"/>
          <w:b w:val="0"/>
          <w:bCs w:val="0"/>
          <w:color w:val="000000"/>
          <w:sz w:val="28"/>
          <w:szCs w:val="28"/>
        </w:rPr>
        <w:t>“十四五”战略规划、集团管控、三项制度改革（劳动、人事、分配制度）与国有企业授权经营机制改革培训班</w:t>
      </w:r>
      <w:r>
        <w:rPr>
          <w:rStyle w:val="8"/>
          <w:rFonts w:hint="eastAsia" w:ascii="黑体" w:hAnsi="黑体" w:eastAsia="黑体" w:cs="黑体"/>
          <w:b w:val="0"/>
          <w:bCs w:val="0"/>
          <w:color w:val="000000"/>
          <w:sz w:val="28"/>
          <w:szCs w:val="28"/>
          <w:lang w:val="zh-CN"/>
        </w:rPr>
        <w:t>报名回</w:t>
      </w:r>
      <w:r>
        <w:rPr>
          <w:rStyle w:val="8"/>
          <w:rFonts w:ascii="黑体" w:hAnsi="黑体" w:eastAsia="黑体" w:cs="黑体"/>
          <w:b w:val="0"/>
          <w:bCs w:val="0"/>
          <w:color w:val="000000"/>
          <w:sz w:val="28"/>
          <w:szCs w:val="28"/>
          <w:lang w:val="zh-CN"/>
        </w:rPr>
        <w:t>执表</w:t>
      </w:r>
    </w:p>
    <w:tbl>
      <w:tblPr>
        <w:tblStyle w:val="6"/>
        <w:tblpPr w:leftFromText="180" w:rightFromText="180" w:vertAnchor="page" w:horzAnchor="margin" w:tblpY="286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440"/>
        <w:gridCol w:w="24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单位名称</w:t>
            </w:r>
          </w:p>
        </w:tc>
        <w:tc>
          <w:tcPr>
            <w:tcW w:w="4959" w:type="dxa"/>
            <w:gridSpan w:val="6"/>
            <w:vAlign w:val="center"/>
          </w:tcPr>
          <w:p>
            <w:pPr>
              <w:autoSpaceDE/>
              <w:autoSpaceDN/>
              <w:adjustRightInd/>
              <w:spacing w:line="360" w:lineRule="exact"/>
              <w:ind w:right="-168" w:rightChars="-70"/>
              <w:jc w:val="center"/>
              <w:rPr>
                <w:rFonts w:ascii="仿宋_GB2312" w:hAnsi="Times New Roman" w:eastAsia="仿宋_GB2312"/>
                <w:kern w:val="2"/>
                <w:szCs w:val="22"/>
              </w:rPr>
            </w:pPr>
          </w:p>
        </w:tc>
        <w:tc>
          <w:tcPr>
            <w:tcW w:w="850" w:type="dxa"/>
            <w:gridSpan w:val="2"/>
            <w:vAlign w:val="center"/>
          </w:tcPr>
          <w:p>
            <w:pPr>
              <w:autoSpaceDE/>
              <w:autoSpaceDN/>
              <w:adjustRightInd/>
              <w:spacing w:line="360" w:lineRule="exact"/>
              <w:ind w:right="-168" w:rightChars="-70"/>
              <w:jc w:val="both"/>
              <w:rPr>
                <w:rFonts w:ascii="仿宋_GB2312" w:hAnsi="Times New Roman" w:eastAsia="仿宋_GB2312"/>
                <w:kern w:val="2"/>
                <w:szCs w:val="22"/>
              </w:rPr>
            </w:pPr>
            <w:r>
              <w:rPr>
                <w:rFonts w:ascii="仿宋_GB2312" w:hAnsi="Times New Roman" w:eastAsia="仿宋_GB2312"/>
                <w:kern w:val="2"/>
                <w:szCs w:val="22"/>
              </w:rPr>
              <w:t>邮编</w:t>
            </w:r>
          </w:p>
        </w:tc>
        <w:tc>
          <w:tcPr>
            <w:tcW w:w="2275" w:type="dxa"/>
            <w:gridSpan w:val="2"/>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单位地址</w:t>
            </w:r>
          </w:p>
        </w:tc>
        <w:tc>
          <w:tcPr>
            <w:tcW w:w="8084" w:type="dxa"/>
            <w:gridSpan w:val="10"/>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联系人</w:t>
            </w:r>
          </w:p>
        </w:tc>
        <w:tc>
          <w:tcPr>
            <w:tcW w:w="2131" w:type="dxa"/>
            <w:gridSpan w:val="2"/>
            <w:vAlign w:val="center"/>
          </w:tcPr>
          <w:p>
            <w:pPr>
              <w:autoSpaceDE/>
              <w:autoSpaceDN/>
              <w:adjustRightInd/>
              <w:spacing w:line="360" w:lineRule="exact"/>
              <w:ind w:right="-168" w:rightChars="-70" w:firstLine="960"/>
              <w:jc w:val="both"/>
              <w:rPr>
                <w:rFonts w:ascii="仿宋_GB2312" w:hAnsi="Times New Roman" w:eastAsia="仿宋_GB2312"/>
                <w:kern w:val="2"/>
                <w:szCs w:val="22"/>
              </w:rPr>
            </w:pPr>
          </w:p>
        </w:tc>
        <w:tc>
          <w:tcPr>
            <w:tcW w:w="2581" w:type="dxa"/>
            <w:gridSpan w:val="3"/>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职位/岗位</w:t>
            </w:r>
          </w:p>
        </w:tc>
        <w:tc>
          <w:tcPr>
            <w:tcW w:w="3372" w:type="dxa"/>
            <w:gridSpan w:val="5"/>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办公电话</w:t>
            </w:r>
          </w:p>
        </w:tc>
        <w:tc>
          <w:tcPr>
            <w:tcW w:w="2131" w:type="dxa"/>
            <w:gridSpan w:val="2"/>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2581" w:type="dxa"/>
            <w:gridSpan w:val="3"/>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手    机</w:t>
            </w:r>
          </w:p>
        </w:tc>
        <w:tc>
          <w:tcPr>
            <w:tcW w:w="3372" w:type="dxa"/>
            <w:gridSpan w:val="5"/>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传   真</w:t>
            </w:r>
          </w:p>
        </w:tc>
        <w:tc>
          <w:tcPr>
            <w:tcW w:w="2131" w:type="dxa"/>
            <w:gridSpan w:val="2"/>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2581" w:type="dxa"/>
            <w:gridSpan w:val="3"/>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电子信箱</w:t>
            </w:r>
          </w:p>
        </w:tc>
        <w:tc>
          <w:tcPr>
            <w:tcW w:w="3372" w:type="dxa"/>
            <w:gridSpan w:val="5"/>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性别</w:t>
            </w:r>
          </w:p>
        </w:tc>
        <w:tc>
          <w:tcPr>
            <w:tcW w:w="1282"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职务</w:t>
            </w:r>
          </w:p>
        </w:tc>
        <w:tc>
          <w:tcPr>
            <w:tcW w:w="1984"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电话</w:t>
            </w:r>
          </w:p>
        </w:tc>
        <w:tc>
          <w:tcPr>
            <w:tcW w:w="1985" w:type="dxa"/>
            <w:gridSpan w:val="6"/>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手机</w:t>
            </w:r>
          </w:p>
        </w:tc>
        <w:tc>
          <w:tcPr>
            <w:tcW w:w="1984"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是否住宿</w:t>
            </w:r>
          </w:p>
        </w:tc>
        <w:tc>
          <w:tcPr>
            <w:tcW w:w="2131" w:type="dxa"/>
            <w:gridSpan w:val="2"/>
            <w:vAlign w:val="center"/>
          </w:tcPr>
          <w:p>
            <w:pPr>
              <w:widowControl/>
              <w:autoSpaceDE/>
              <w:autoSpaceDN/>
              <w:adjustRightInd/>
              <w:spacing w:line="360" w:lineRule="exact"/>
              <w:ind w:right="-168" w:rightChars="-70"/>
              <w:jc w:val="both"/>
              <w:rPr>
                <w:rFonts w:ascii="仿宋_GB2312" w:hAnsi="Times New Roman" w:eastAsia="仿宋_GB2312"/>
                <w:kern w:val="2"/>
                <w:szCs w:val="22"/>
              </w:rPr>
            </w:pPr>
            <w:r>
              <w:rPr>
                <w:rFonts w:ascii="仿宋_GB2312" w:hAnsi="Times New Roman" w:eastAsia="仿宋_GB2312"/>
                <w:kern w:val="2"/>
                <w:szCs w:val="22"/>
              </w:rPr>
              <w:t>□是     □否</w:t>
            </w:r>
          </w:p>
        </w:tc>
        <w:tc>
          <w:tcPr>
            <w:tcW w:w="1984" w:type="dxa"/>
            <w:vAlign w:val="center"/>
          </w:tcPr>
          <w:p>
            <w:pPr>
              <w:widowControl/>
              <w:autoSpaceDE/>
              <w:autoSpaceDN/>
              <w:adjustRightInd/>
              <w:spacing w:line="360" w:lineRule="exact"/>
              <w:ind w:right="-168" w:rightChars="-70" w:firstLine="240" w:firstLineChars="100"/>
              <w:jc w:val="both"/>
              <w:rPr>
                <w:rFonts w:ascii="仿宋_GB2312" w:hAnsi="Times New Roman" w:eastAsia="仿宋_GB2312"/>
                <w:kern w:val="2"/>
                <w:szCs w:val="22"/>
              </w:rPr>
            </w:pPr>
            <w:r>
              <w:rPr>
                <w:rFonts w:ascii="仿宋_GB2312" w:hAnsi="Times New Roman" w:eastAsia="仿宋_GB2312"/>
                <w:kern w:val="2"/>
                <w:szCs w:val="22"/>
              </w:rPr>
              <w:t>住宿标准</w:t>
            </w:r>
          </w:p>
        </w:tc>
        <w:tc>
          <w:tcPr>
            <w:tcW w:w="3969" w:type="dxa"/>
            <w:gridSpan w:val="7"/>
          </w:tcPr>
          <w:p>
            <w:pPr>
              <w:widowControl/>
              <w:autoSpaceDE/>
              <w:autoSpaceDN/>
              <w:adjustRightInd/>
              <w:spacing w:line="360" w:lineRule="exact"/>
              <w:ind w:right="-168" w:rightChars="-70"/>
              <w:jc w:val="both"/>
              <w:rPr>
                <w:rFonts w:ascii="Times New Roman" w:hAnsi="Times New Roman"/>
                <w:kern w:val="2"/>
                <w:sz w:val="21"/>
                <w:szCs w:val="22"/>
              </w:rPr>
            </w:pPr>
            <w:r>
              <w:rPr>
                <w:rFonts w:ascii="仿宋_GB2312" w:hAnsi="Times New Roman" w:eastAsia="仿宋_GB2312"/>
                <w:kern w:val="2"/>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参会地点</w:t>
            </w:r>
          </w:p>
        </w:tc>
        <w:tc>
          <w:tcPr>
            <w:tcW w:w="2131" w:type="dxa"/>
            <w:gridSpan w:val="2"/>
            <w:vAlign w:val="center"/>
          </w:tcPr>
          <w:p>
            <w:pPr>
              <w:autoSpaceDE/>
              <w:autoSpaceDN/>
              <w:adjustRightInd/>
              <w:spacing w:line="360" w:lineRule="exact"/>
              <w:ind w:right="-168" w:rightChars="-70"/>
              <w:rPr>
                <w:rFonts w:ascii="仿宋_GB2312" w:hAnsi="Times New Roman" w:eastAsia="仿宋_GB2312"/>
                <w:color w:val="FF0000"/>
                <w:kern w:val="2"/>
                <w:szCs w:val="22"/>
              </w:rPr>
            </w:pPr>
          </w:p>
        </w:tc>
        <w:tc>
          <w:tcPr>
            <w:tcW w:w="1984" w:type="dxa"/>
            <w:vAlign w:val="center"/>
          </w:tcPr>
          <w:p>
            <w:pPr>
              <w:autoSpaceDE/>
              <w:autoSpaceDN/>
              <w:adjustRightInd/>
              <w:spacing w:line="360" w:lineRule="exact"/>
              <w:ind w:right="-168" w:rightChars="-70" w:firstLine="241" w:firstLineChars="100"/>
              <w:rPr>
                <w:rFonts w:ascii="仿宋_GB2312" w:hAnsi="Times New Roman" w:eastAsia="仿宋_GB2312"/>
                <w:b/>
                <w:color w:val="000000"/>
                <w:kern w:val="2"/>
                <w:szCs w:val="22"/>
              </w:rPr>
            </w:pPr>
            <w:r>
              <w:rPr>
                <w:rFonts w:hint="eastAsia" w:ascii="仿宋_GB2312" w:hAnsi="Times New Roman" w:eastAsia="仿宋_GB2312"/>
                <w:b/>
                <w:color w:val="000000"/>
                <w:kern w:val="2"/>
                <w:szCs w:val="22"/>
              </w:rPr>
              <w:t>证书申报</w:t>
            </w:r>
          </w:p>
        </w:tc>
        <w:tc>
          <w:tcPr>
            <w:tcW w:w="3969" w:type="dxa"/>
            <w:gridSpan w:val="7"/>
            <w:vAlign w:val="center"/>
          </w:tcPr>
          <w:p>
            <w:pPr>
              <w:autoSpaceDE/>
              <w:autoSpaceDN/>
              <w:adjustRightInd/>
              <w:spacing w:line="360" w:lineRule="exact"/>
              <w:ind w:right="-168" w:rightChars="-70"/>
              <w:rPr>
                <w:rFonts w:ascii="仿宋_GB2312" w:hAnsi="Times New Roman" w:eastAsia="仿宋_GB2312"/>
                <w:color w:val="FF000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hint="eastAsia" w:ascii="仿宋_GB2312" w:hAnsi="Times New Roman" w:eastAsia="仿宋_GB2312"/>
                <w:b/>
                <w:bCs/>
                <w:kern w:val="2"/>
                <w:szCs w:val="22"/>
              </w:rPr>
              <w:t>标准选项</w:t>
            </w:r>
          </w:p>
        </w:tc>
        <w:tc>
          <w:tcPr>
            <w:tcW w:w="8084" w:type="dxa"/>
            <w:gridSpan w:val="10"/>
            <w:vAlign w:val="center"/>
          </w:tcPr>
          <w:p>
            <w:pPr>
              <w:autoSpaceDE/>
              <w:autoSpaceDN/>
              <w:adjustRightInd/>
              <w:spacing w:line="360" w:lineRule="exact"/>
              <w:ind w:right="-168" w:rightChars="-70"/>
              <w:rPr>
                <w:rFonts w:ascii="仿宋_GB2312" w:hAnsi="Times New Roman" w:eastAsia="仿宋_GB2312"/>
                <w:color w:val="000000"/>
                <w:kern w:val="2"/>
                <w:szCs w:val="22"/>
              </w:rPr>
            </w:pPr>
            <w:r>
              <w:rPr>
                <w:rFonts w:hint="eastAsia" w:ascii="仿宋_GB2312" w:eastAsia="仿宋_GB2312" w:cs="宋体"/>
                <w:b/>
                <w:color w:val="000000"/>
                <w:sz w:val="28"/>
                <w:szCs w:val="28"/>
              </w:rPr>
              <w:t>A.</w:t>
            </w:r>
            <w:r>
              <w:rPr>
                <w:rFonts w:hint="eastAsia" w:ascii="仿宋_GB2312" w:eastAsia="仿宋_GB2312" w:cs="宋体"/>
                <w:bCs/>
                <w:color w:val="000000"/>
                <w:sz w:val="28"/>
                <w:szCs w:val="28"/>
              </w:rPr>
              <w:t>2980元</w:t>
            </w:r>
            <w:r>
              <w:rPr>
                <w:rFonts w:hint="eastAsia" w:ascii="仿宋_GB2312" w:hAnsi="Times New Roman" w:eastAsia="仿宋_GB2312"/>
                <w:color w:val="000000"/>
                <w:kern w:val="2"/>
                <w:szCs w:val="22"/>
              </w:rPr>
              <w:t xml:space="preserve">□      </w:t>
            </w:r>
            <w:r>
              <w:rPr>
                <w:rFonts w:hint="eastAsia" w:ascii="仿宋_GB2312" w:eastAsia="仿宋_GB2312" w:cs="宋体"/>
                <w:b/>
                <w:bCs/>
                <w:color w:val="000000"/>
                <w:sz w:val="28"/>
                <w:szCs w:val="28"/>
              </w:rPr>
              <w:t xml:space="preserve"> B.</w:t>
            </w:r>
            <w:r>
              <w:rPr>
                <w:rFonts w:hint="eastAsia" w:ascii="仿宋_GB2312" w:eastAsia="仿宋_GB2312" w:cs="宋体"/>
                <w:color w:val="000000"/>
                <w:sz w:val="28"/>
                <w:szCs w:val="28"/>
              </w:rPr>
              <w:t>3980元</w:t>
            </w:r>
            <w:r>
              <w:rPr>
                <w:rFonts w:hint="eastAsia" w:ascii="仿宋_GB2312" w:hAnsi="Times New Roman" w:eastAsia="仿宋_GB2312"/>
                <w:color w:val="000000"/>
                <w:kern w:val="2"/>
                <w:szCs w:val="22"/>
              </w:rPr>
              <w:t xml:space="preserve">□    </w:t>
            </w:r>
            <w:r>
              <w:rPr>
                <w:rFonts w:hint="eastAsia" w:ascii="仿宋_GB2312" w:eastAsia="仿宋_GB2312" w:cs="宋体"/>
                <w:b/>
                <w:bCs/>
                <w:color w:val="000000"/>
                <w:sz w:val="28"/>
                <w:szCs w:val="28"/>
              </w:rPr>
              <w:t xml:space="preserve"> C</w:t>
            </w:r>
            <w:r>
              <w:rPr>
                <w:rFonts w:hint="eastAsia" w:ascii="仿宋_GB2312" w:eastAsia="仿宋_GB2312" w:cs="宋体"/>
                <w:color w:val="000000"/>
                <w:sz w:val="28"/>
                <w:szCs w:val="28"/>
              </w:rPr>
              <w:t>.5980元</w:t>
            </w:r>
            <w:r>
              <w:rPr>
                <w:rFonts w:hint="eastAsia" w:ascii="仿宋_GB2312" w:hAnsi="Times New Roman" w:eastAsia="仿宋_GB2312"/>
                <w:color w:val="000000"/>
                <w:kern w:val="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付款方式</w:t>
            </w:r>
          </w:p>
        </w:tc>
        <w:tc>
          <w:tcPr>
            <w:tcW w:w="4272" w:type="dxa"/>
            <w:gridSpan w:val="4"/>
          </w:tcPr>
          <w:p>
            <w:pPr>
              <w:widowControl/>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 xml:space="preserve">□银行     □网银 </w:t>
            </w:r>
          </w:p>
        </w:tc>
        <w:tc>
          <w:tcPr>
            <w:tcW w:w="996" w:type="dxa"/>
            <w:gridSpan w:val="3"/>
          </w:tcPr>
          <w:p>
            <w:pPr>
              <w:widowControl/>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金额</w:t>
            </w:r>
          </w:p>
        </w:tc>
        <w:tc>
          <w:tcPr>
            <w:tcW w:w="2816" w:type="dxa"/>
            <w:gridSpan w:val="3"/>
          </w:tcPr>
          <w:p>
            <w:pPr>
              <w:widowControl/>
              <w:autoSpaceDE/>
              <w:autoSpaceDN/>
              <w:adjustRightInd/>
              <w:spacing w:line="360" w:lineRule="exact"/>
              <w:ind w:right="-168" w:rightChars="-7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autoSpaceDE/>
              <w:autoSpaceDN/>
              <w:adjustRightInd/>
              <w:spacing w:line="360" w:lineRule="exact"/>
              <w:ind w:right="-168" w:rightChars="-70"/>
              <w:jc w:val="both"/>
              <w:rPr>
                <w:rFonts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both"/>
              <w:rPr>
                <w:rFonts w:ascii="仿宋_GB2312" w:hAnsi="Times New Roman" w:eastAsia="仿宋_GB2312"/>
                <w:b/>
                <w:bCs/>
                <w:kern w:val="2"/>
                <w:szCs w:val="22"/>
              </w:rPr>
            </w:pPr>
            <w:r>
              <w:rPr>
                <w:rFonts w:ascii="仿宋_GB2312" w:hAnsi="Times New Roman" w:eastAsia="仿宋_GB2312"/>
                <w:b/>
                <w:bCs/>
                <w:kern w:val="2"/>
                <w:szCs w:val="22"/>
              </w:rPr>
              <w:t>沟通的问题</w:t>
            </w:r>
          </w:p>
        </w:tc>
        <w:tc>
          <w:tcPr>
            <w:tcW w:w="8084" w:type="dxa"/>
            <w:gridSpan w:val="10"/>
          </w:tcPr>
          <w:p>
            <w:pPr>
              <w:widowControl/>
              <w:autoSpaceDE/>
              <w:autoSpaceDN/>
              <w:adjustRightInd/>
              <w:spacing w:line="360" w:lineRule="exact"/>
              <w:ind w:right="-168" w:rightChars="-7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b/>
                <w:bCs/>
                <w:kern w:val="2"/>
                <w:szCs w:val="22"/>
              </w:rPr>
              <w:t>收款</w:t>
            </w:r>
            <w:r>
              <w:rPr>
                <w:rFonts w:hint="eastAsia" w:ascii="仿宋_GB2312" w:hAnsi="Times New Roman" w:eastAsia="仿宋_GB2312"/>
                <w:b/>
                <w:bCs/>
                <w:kern w:val="2"/>
                <w:szCs w:val="22"/>
              </w:rPr>
              <w:t>账</w:t>
            </w:r>
            <w:r>
              <w:rPr>
                <w:rFonts w:ascii="仿宋_GB2312" w:hAnsi="Times New Roman" w:eastAsia="仿宋_GB2312"/>
                <w:b/>
                <w:bCs/>
                <w:kern w:val="2"/>
                <w:szCs w:val="22"/>
              </w:rPr>
              <w:t>户</w:t>
            </w:r>
          </w:p>
        </w:tc>
        <w:tc>
          <w:tcPr>
            <w:tcW w:w="8084" w:type="dxa"/>
            <w:gridSpan w:val="10"/>
            <w:vAlign w:val="center"/>
          </w:tcPr>
          <w:p>
            <w:pPr>
              <w:widowControl/>
              <w:spacing w:line="360" w:lineRule="exact"/>
              <w:jc w:val="both"/>
              <w:rPr>
                <w:rFonts w:ascii="仿宋" w:hAnsi="仿宋" w:eastAsia="仿宋" w:cs="仿宋"/>
                <w:szCs w:val="22"/>
                <w:lang w:val="zh-CN"/>
              </w:rPr>
            </w:pPr>
            <w:r>
              <w:rPr>
                <w:rFonts w:ascii="仿宋" w:hAnsi="仿宋" w:eastAsia="仿宋" w:cs="仿宋"/>
                <w:szCs w:val="22"/>
                <w:lang w:val="zh-CN"/>
              </w:rPr>
              <w:t>单位名称：</w:t>
            </w:r>
            <w:r>
              <w:rPr>
                <w:rFonts w:hint="eastAsia" w:ascii="仿宋" w:hAnsi="仿宋" w:eastAsia="仿宋" w:cs="仿宋"/>
                <w:szCs w:val="22"/>
                <w:lang w:val="zh-CN"/>
              </w:rPr>
              <w:t>北京中科善若教育咨询有限公司</w:t>
            </w:r>
          </w:p>
          <w:p>
            <w:pPr>
              <w:widowControl/>
              <w:spacing w:line="360" w:lineRule="exact"/>
              <w:jc w:val="both"/>
              <w:rPr>
                <w:rFonts w:ascii="仿宋" w:hAnsi="仿宋" w:eastAsia="仿宋" w:cs="仿宋"/>
                <w:szCs w:val="22"/>
                <w:lang w:val="zh-CN"/>
              </w:rPr>
            </w:pPr>
            <w:r>
              <w:rPr>
                <w:rFonts w:ascii="仿宋" w:hAnsi="仿宋" w:eastAsia="仿宋" w:cs="仿宋"/>
                <w:szCs w:val="22"/>
                <w:lang w:val="zh-CN"/>
              </w:rPr>
              <w:t>开 户 行：中国工商银行股份有限公司北京</w:t>
            </w:r>
            <w:r>
              <w:rPr>
                <w:rFonts w:hint="eastAsia" w:ascii="仿宋" w:hAnsi="仿宋" w:eastAsia="仿宋" w:cs="仿宋"/>
                <w:szCs w:val="22"/>
              </w:rPr>
              <w:t>永定路</w:t>
            </w:r>
            <w:r>
              <w:rPr>
                <w:rFonts w:ascii="仿宋" w:hAnsi="仿宋" w:eastAsia="仿宋" w:cs="仿宋"/>
                <w:szCs w:val="22"/>
                <w:lang w:val="zh-CN"/>
              </w:rPr>
              <w:t xml:space="preserve">支行 </w:t>
            </w:r>
          </w:p>
          <w:p>
            <w:pPr>
              <w:widowControl/>
              <w:spacing w:line="360" w:lineRule="exact"/>
              <w:jc w:val="both"/>
              <w:rPr>
                <w:rFonts w:ascii="仿宋" w:hAnsi="仿宋" w:eastAsia="仿宋" w:cs="仿宋"/>
                <w:szCs w:val="22"/>
              </w:rPr>
            </w:pPr>
            <w:r>
              <w:rPr>
                <w:rFonts w:ascii="仿宋" w:hAnsi="仿宋" w:eastAsia="仿宋" w:cs="仿宋"/>
                <w:szCs w:val="22"/>
                <w:lang w:val="zh-CN"/>
              </w:rPr>
              <w:t>账    号：</w:t>
            </w:r>
            <w:r>
              <w:rPr>
                <w:rFonts w:hint="eastAsia" w:ascii="仿宋" w:hAnsi="仿宋" w:eastAsia="仿宋" w:cs="仿宋"/>
                <w:szCs w:val="22"/>
                <w:lang w:val="zh-CN"/>
              </w:rPr>
              <w:t>02002470092000</w:t>
            </w:r>
            <w:r>
              <w:rPr>
                <w:rFonts w:hint="eastAsia" w:ascii="仿宋" w:hAnsi="仿宋" w:eastAsia="仿宋" w:cs="仿宋"/>
                <w:szCs w:val="22"/>
              </w:rPr>
              <w:t>77514</w:t>
            </w:r>
          </w:p>
          <w:p>
            <w:pPr>
              <w:widowControl/>
              <w:spacing w:line="360" w:lineRule="exact"/>
              <w:jc w:val="both"/>
              <w:rPr>
                <w:rFonts w:ascii="仿宋_GB2312" w:hAnsi="Times New Roman" w:eastAsia="仿宋_GB2312"/>
                <w:b/>
                <w:bCs/>
                <w:kern w:val="2"/>
                <w:sz w:val="28"/>
                <w:szCs w:val="28"/>
              </w:rPr>
            </w:pPr>
            <w:r>
              <w:rPr>
                <w:rFonts w:hint="eastAsia" w:ascii="仿宋" w:hAnsi="仿宋" w:eastAsia="仿宋" w:cs="仿宋"/>
                <w:szCs w:val="22"/>
                <w:lang w:val="zh-CN"/>
              </w:rPr>
              <w:t>行</w:t>
            </w:r>
            <w:r>
              <w:rPr>
                <w:rFonts w:hint="eastAsia" w:ascii="仿宋" w:hAnsi="仿宋" w:eastAsia="仿宋" w:cs="仿宋"/>
                <w:szCs w:val="22"/>
              </w:rPr>
              <w:t xml:space="preserve">    </w:t>
            </w:r>
            <w:r>
              <w:rPr>
                <w:rFonts w:hint="eastAsia" w:ascii="仿宋" w:hAnsi="仿宋" w:eastAsia="仿宋" w:cs="仿宋"/>
                <w:szCs w:val="22"/>
                <w:lang w:val="zh-CN"/>
              </w:rPr>
              <w:t>号：</w:t>
            </w:r>
            <w:r>
              <w:rPr>
                <w:rFonts w:ascii="仿宋" w:hAnsi="仿宋" w:eastAsia="仿宋" w:cs="仿宋"/>
                <w:szCs w:val="22"/>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kern w:val="2"/>
                <w:szCs w:val="22"/>
              </w:rPr>
              <w:t>备注</w:t>
            </w:r>
          </w:p>
        </w:tc>
        <w:tc>
          <w:tcPr>
            <w:tcW w:w="4712" w:type="dxa"/>
            <w:gridSpan w:val="5"/>
            <w:vAlign w:val="center"/>
          </w:tcPr>
          <w:p>
            <w:pPr>
              <w:autoSpaceDE/>
              <w:autoSpaceDN/>
              <w:adjustRightInd/>
              <w:spacing w:line="360" w:lineRule="exact"/>
              <w:ind w:right="-168" w:rightChars="-70"/>
              <w:rPr>
                <w:rFonts w:ascii="仿宋_GB2312" w:hAnsi="Times New Roman" w:eastAsia="仿宋_GB2312"/>
                <w:kern w:val="2"/>
                <w:szCs w:val="22"/>
              </w:rPr>
            </w:pPr>
            <w:r>
              <w:rPr>
                <w:rFonts w:ascii="仿宋_GB2312" w:eastAsia="仿宋_GB2312"/>
                <w:szCs w:val="22"/>
              </w:rPr>
              <w:t>请将《报名回执表》回传至会务组，并在报名3日内办理培训费，会务组确认到款后即发《参会凭证》，详细说明培训具体安排事项。</w:t>
            </w:r>
          </w:p>
        </w:tc>
        <w:tc>
          <w:tcPr>
            <w:tcW w:w="3372" w:type="dxa"/>
            <w:gridSpan w:val="5"/>
            <w:vAlign w:val="center"/>
          </w:tcPr>
          <w:p>
            <w:pPr>
              <w:autoSpaceDE/>
              <w:autoSpaceDN/>
              <w:adjustRightInd/>
              <w:spacing w:line="360" w:lineRule="exact"/>
              <w:ind w:right="-168" w:rightChars="-70" w:firstLine="1080" w:firstLineChars="450"/>
              <w:jc w:val="both"/>
              <w:rPr>
                <w:rFonts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ascii="仿宋_GB2312" w:hAnsi="Times New Roman" w:eastAsia="仿宋_GB2312"/>
                <w:kern w:val="2"/>
                <w:szCs w:val="22"/>
              </w:rPr>
            </w:pPr>
            <w:r>
              <w:rPr>
                <w:rFonts w:hint="eastAsia" w:ascii="仿宋_GB2312" w:hAnsi="Times New Roman" w:eastAsia="仿宋_GB2312"/>
                <w:kern w:val="2"/>
                <w:szCs w:val="22"/>
              </w:rPr>
              <w:t>2020</w:t>
            </w:r>
            <w:r>
              <w:rPr>
                <w:rFonts w:ascii="仿宋_GB2312" w:hAnsi="Times New Roman" w:eastAsia="仿宋_GB2312"/>
                <w:kern w:val="2"/>
                <w:szCs w:val="22"/>
              </w:rPr>
              <w:t>年  月  日</w:t>
            </w:r>
          </w:p>
        </w:tc>
      </w:tr>
    </w:tbl>
    <w:p>
      <w:pPr>
        <w:autoSpaceDE/>
        <w:autoSpaceDN/>
        <w:spacing w:line="310" w:lineRule="exact"/>
        <w:jc w:val="both"/>
        <w:rPr>
          <w:rFonts w:hint="eastAsia"/>
          <w:bCs/>
          <w:kern w:val="2"/>
          <w:sz w:val="28"/>
          <w:szCs w:val="28"/>
          <w:lang w:val="en-US" w:bidi="ar-SA"/>
        </w:rPr>
      </w:pPr>
    </w:p>
    <w:p>
      <w:pPr>
        <w:autoSpaceDE/>
        <w:autoSpaceDN/>
        <w:spacing w:line="310" w:lineRule="exact"/>
        <w:jc w:val="both"/>
        <w:rPr>
          <w:rFonts w:hint="eastAsia"/>
          <w:bCs/>
          <w:kern w:val="2"/>
          <w:sz w:val="28"/>
          <w:szCs w:val="28"/>
          <w:lang w:val="en-US" w:bidi="ar-SA"/>
        </w:rPr>
      </w:pPr>
      <w:bookmarkStart w:id="0" w:name="_GoBack"/>
      <w:bookmarkEnd w:id="0"/>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30" w:lineRule="exact"/>
        <w:ind w:firstLine="560" w:firstLineChars="200"/>
        <w:rPr>
          <w:rFonts w:ascii="仿宋" w:hAnsi="仿宋" w:eastAsia="仿宋"/>
          <w:bCs/>
          <w:sz w:val="28"/>
          <w:szCs w:val="28"/>
        </w:rPr>
      </w:pPr>
    </w:p>
    <w:sectPr>
      <w:footerReference r:id="rId3" w:type="default"/>
      <w:pgSz w:w="11906" w:h="16838"/>
      <w:pgMar w:top="1440" w:right="1417" w:bottom="1440" w:left="141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15793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05"/>
    <w:rsid w:val="00000327"/>
    <w:rsid w:val="00003DD4"/>
    <w:rsid w:val="000100EC"/>
    <w:rsid w:val="00010833"/>
    <w:rsid w:val="0001268E"/>
    <w:rsid w:val="00014EE6"/>
    <w:rsid w:val="00016214"/>
    <w:rsid w:val="00017CC7"/>
    <w:rsid w:val="000252C0"/>
    <w:rsid w:val="00026F57"/>
    <w:rsid w:val="000279CF"/>
    <w:rsid w:val="00037BF6"/>
    <w:rsid w:val="00041485"/>
    <w:rsid w:val="000429C7"/>
    <w:rsid w:val="00042DB2"/>
    <w:rsid w:val="00050C32"/>
    <w:rsid w:val="00053E18"/>
    <w:rsid w:val="000643D6"/>
    <w:rsid w:val="00064605"/>
    <w:rsid w:val="0006699B"/>
    <w:rsid w:val="00072C75"/>
    <w:rsid w:val="00077923"/>
    <w:rsid w:val="00081E71"/>
    <w:rsid w:val="00082107"/>
    <w:rsid w:val="00083F8A"/>
    <w:rsid w:val="000949E2"/>
    <w:rsid w:val="000A58D3"/>
    <w:rsid w:val="000B131E"/>
    <w:rsid w:val="000B43A9"/>
    <w:rsid w:val="000B7A34"/>
    <w:rsid w:val="000C08E9"/>
    <w:rsid w:val="000C7185"/>
    <w:rsid w:val="000D1742"/>
    <w:rsid w:val="000D3112"/>
    <w:rsid w:val="000D3FF5"/>
    <w:rsid w:val="000E08B4"/>
    <w:rsid w:val="000E2BF6"/>
    <w:rsid w:val="000E3553"/>
    <w:rsid w:val="000E4B5B"/>
    <w:rsid w:val="000E54F5"/>
    <w:rsid w:val="000F1BB6"/>
    <w:rsid w:val="000F2F35"/>
    <w:rsid w:val="000F595B"/>
    <w:rsid w:val="000F74DA"/>
    <w:rsid w:val="00103882"/>
    <w:rsid w:val="0010570C"/>
    <w:rsid w:val="00107A25"/>
    <w:rsid w:val="00115228"/>
    <w:rsid w:val="00116209"/>
    <w:rsid w:val="001262A8"/>
    <w:rsid w:val="00131627"/>
    <w:rsid w:val="00140C57"/>
    <w:rsid w:val="00145CDB"/>
    <w:rsid w:val="00150AE2"/>
    <w:rsid w:val="00150E8F"/>
    <w:rsid w:val="00154775"/>
    <w:rsid w:val="00156661"/>
    <w:rsid w:val="00162D70"/>
    <w:rsid w:val="001647D5"/>
    <w:rsid w:val="001664FD"/>
    <w:rsid w:val="00167BFB"/>
    <w:rsid w:val="00167F9F"/>
    <w:rsid w:val="00171F91"/>
    <w:rsid w:val="00175221"/>
    <w:rsid w:val="00180FB2"/>
    <w:rsid w:val="00183003"/>
    <w:rsid w:val="00183D01"/>
    <w:rsid w:val="00184EF2"/>
    <w:rsid w:val="00187123"/>
    <w:rsid w:val="001876A1"/>
    <w:rsid w:val="00190DE6"/>
    <w:rsid w:val="001936B0"/>
    <w:rsid w:val="00194F3C"/>
    <w:rsid w:val="00195E19"/>
    <w:rsid w:val="00195FDE"/>
    <w:rsid w:val="001A2EFF"/>
    <w:rsid w:val="001A6746"/>
    <w:rsid w:val="001A6CEA"/>
    <w:rsid w:val="001B017B"/>
    <w:rsid w:val="001B0EAB"/>
    <w:rsid w:val="001B535A"/>
    <w:rsid w:val="001B7E08"/>
    <w:rsid w:val="001C76AF"/>
    <w:rsid w:val="001D413C"/>
    <w:rsid w:val="001D6944"/>
    <w:rsid w:val="001D7970"/>
    <w:rsid w:val="001E41A6"/>
    <w:rsid w:val="001E7946"/>
    <w:rsid w:val="001E7EDD"/>
    <w:rsid w:val="001F10E4"/>
    <w:rsid w:val="001F162B"/>
    <w:rsid w:val="001F3E3A"/>
    <w:rsid w:val="00202D56"/>
    <w:rsid w:val="00207463"/>
    <w:rsid w:val="00210556"/>
    <w:rsid w:val="002336BA"/>
    <w:rsid w:val="0023563B"/>
    <w:rsid w:val="002404D6"/>
    <w:rsid w:val="002438A3"/>
    <w:rsid w:val="002503A1"/>
    <w:rsid w:val="0026075E"/>
    <w:rsid w:val="00262F31"/>
    <w:rsid w:val="00267EEA"/>
    <w:rsid w:val="002704B7"/>
    <w:rsid w:val="00271CCD"/>
    <w:rsid w:val="0028157A"/>
    <w:rsid w:val="00287445"/>
    <w:rsid w:val="00287F2B"/>
    <w:rsid w:val="002968E8"/>
    <w:rsid w:val="00297AF5"/>
    <w:rsid w:val="002A0729"/>
    <w:rsid w:val="002A43F3"/>
    <w:rsid w:val="002A4E16"/>
    <w:rsid w:val="002A6B34"/>
    <w:rsid w:val="002A75B4"/>
    <w:rsid w:val="002B4746"/>
    <w:rsid w:val="002C1D54"/>
    <w:rsid w:val="002C369B"/>
    <w:rsid w:val="002C688D"/>
    <w:rsid w:val="002C7481"/>
    <w:rsid w:val="002D6DFD"/>
    <w:rsid w:val="002D7854"/>
    <w:rsid w:val="002E0A62"/>
    <w:rsid w:val="002E1BE9"/>
    <w:rsid w:val="002F32E1"/>
    <w:rsid w:val="002F3992"/>
    <w:rsid w:val="002F3E1F"/>
    <w:rsid w:val="002F7F9D"/>
    <w:rsid w:val="00301B9B"/>
    <w:rsid w:val="00301D4B"/>
    <w:rsid w:val="003051BA"/>
    <w:rsid w:val="00306852"/>
    <w:rsid w:val="00307343"/>
    <w:rsid w:val="00307BF2"/>
    <w:rsid w:val="003102A6"/>
    <w:rsid w:val="00310783"/>
    <w:rsid w:val="003110B7"/>
    <w:rsid w:val="003111C3"/>
    <w:rsid w:val="003124CE"/>
    <w:rsid w:val="003162BC"/>
    <w:rsid w:val="0032051C"/>
    <w:rsid w:val="00323543"/>
    <w:rsid w:val="00323791"/>
    <w:rsid w:val="003249AF"/>
    <w:rsid w:val="00325777"/>
    <w:rsid w:val="00334897"/>
    <w:rsid w:val="00340166"/>
    <w:rsid w:val="00340E87"/>
    <w:rsid w:val="0034775A"/>
    <w:rsid w:val="00350094"/>
    <w:rsid w:val="003508A1"/>
    <w:rsid w:val="00351143"/>
    <w:rsid w:val="00354646"/>
    <w:rsid w:val="00355FE8"/>
    <w:rsid w:val="00367C78"/>
    <w:rsid w:val="00370FDF"/>
    <w:rsid w:val="00371871"/>
    <w:rsid w:val="003773CB"/>
    <w:rsid w:val="00380BED"/>
    <w:rsid w:val="003816E7"/>
    <w:rsid w:val="00382CC0"/>
    <w:rsid w:val="00382CDE"/>
    <w:rsid w:val="00397FA4"/>
    <w:rsid w:val="003A4ECA"/>
    <w:rsid w:val="003A5769"/>
    <w:rsid w:val="003B1105"/>
    <w:rsid w:val="003B2618"/>
    <w:rsid w:val="003B6C16"/>
    <w:rsid w:val="003C0310"/>
    <w:rsid w:val="003C2D15"/>
    <w:rsid w:val="003C3DBA"/>
    <w:rsid w:val="003C4863"/>
    <w:rsid w:val="003D0A24"/>
    <w:rsid w:val="003D1CC6"/>
    <w:rsid w:val="003D699B"/>
    <w:rsid w:val="003E2D2A"/>
    <w:rsid w:val="003E4E76"/>
    <w:rsid w:val="003E7279"/>
    <w:rsid w:val="003E7627"/>
    <w:rsid w:val="003F4C99"/>
    <w:rsid w:val="003F591D"/>
    <w:rsid w:val="004017C8"/>
    <w:rsid w:val="0040351F"/>
    <w:rsid w:val="00403DBD"/>
    <w:rsid w:val="00404DAC"/>
    <w:rsid w:val="00404ECF"/>
    <w:rsid w:val="0040685B"/>
    <w:rsid w:val="00412183"/>
    <w:rsid w:val="004137DF"/>
    <w:rsid w:val="00413ED4"/>
    <w:rsid w:val="00422943"/>
    <w:rsid w:val="00423706"/>
    <w:rsid w:val="00436E64"/>
    <w:rsid w:val="0043777C"/>
    <w:rsid w:val="00437CD5"/>
    <w:rsid w:val="00442B68"/>
    <w:rsid w:val="00443A18"/>
    <w:rsid w:val="00445B77"/>
    <w:rsid w:val="004502B2"/>
    <w:rsid w:val="004506D2"/>
    <w:rsid w:val="00452218"/>
    <w:rsid w:val="00454045"/>
    <w:rsid w:val="004648B3"/>
    <w:rsid w:val="004674F0"/>
    <w:rsid w:val="004834E5"/>
    <w:rsid w:val="00485654"/>
    <w:rsid w:val="00490B0E"/>
    <w:rsid w:val="00491C29"/>
    <w:rsid w:val="00492965"/>
    <w:rsid w:val="0049496F"/>
    <w:rsid w:val="004969EA"/>
    <w:rsid w:val="004A28E8"/>
    <w:rsid w:val="004A395A"/>
    <w:rsid w:val="004A5924"/>
    <w:rsid w:val="004B31CD"/>
    <w:rsid w:val="004C0E1F"/>
    <w:rsid w:val="004C1DCC"/>
    <w:rsid w:val="004C22A9"/>
    <w:rsid w:val="004C2CF2"/>
    <w:rsid w:val="004C2FEF"/>
    <w:rsid w:val="004C56BC"/>
    <w:rsid w:val="004D11E5"/>
    <w:rsid w:val="004D2D70"/>
    <w:rsid w:val="004D31AF"/>
    <w:rsid w:val="004D56DE"/>
    <w:rsid w:val="004D7ED2"/>
    <w:rsid w:val="004E66CB"/>
    <w:rsid w:val="004F03CE"/>
    <w:rsid w:val="004F20FF"/>
    <w:rsid w:val="004F41FC"/>
    <w:rsid w:val="004F47E6"/>
    <w:rsid w:val="004F4A80"/>
    <w:rsid w:val="004F4D56"/>
    <w:rsid w:val="004F591C"/>
    <w:rsid w:val="004F5F3D"/>
    <w:rsid w:val="004F6EE1"/>
    <w:rsid w:val="00500925"/>
    <w:rsid w:val="00501D11"/>
    <w:rsid w:val="00502A47"/>
    <w:rsid w:val="0050582E"/>
    <w:rsid w:val="00507E4C"/>
    <w:rsid w:val="00510873"/>
    <w:rsid w:val="005141C2"/>
    <w:rsid w:val="00514CAB"/>
    <w:rsid w:val="00522A63"/>
    <w:rsid w:val="005242BE"/>
    <w:rsid w:val="00524698"/>
    <w:rsid w:val="0052573D"/>
    <w:rsid w:val="0053750B"/>
    <w:rsid w:val="00541D6A"/>
    <w:rsid w:val="005467C3"/>
    <w:rsid w:val="005474E4"/>
    <w:rsid w:val="00555631"/>
    <w:rsid w:val="00561C9E"/>
    <w:rsid w:val="005637F5"/>
    <w:rsid w:val="00564FE8"/>
    <w:rsid w:val="0056539E"/>
    <w:rsid w:val="005659A9"/>
    <w:rsid w:val="00572285"/>
    <w:rsid w:val="005722D8"/>
    <w:rsid w:val="00584FBF"/>
    <w:rsid w:val="00586767"/>
    <w:rsid w:val="005965BF"/>
    <w:rsid w:val="005976E1"/>
    <w:rsid w:val="005A24EE"/>
    <w:rsid w:val="005B443D"/>
    <w:rsid w:val="005C6076"/>
    <w:rsid w:val="005C756A"/>
    <w:rsid w:val="005D6527"/>
    <w:rsid w:val="005D7A6A"/>
    <w:rsid w:val="005E4FE7"/>
    <w:rsid w:val="005E7B9A"/>
    <w:rsid w:val="005F11A5"/>
    <w:rsid w:val="005F1272"/>
    <w:rsid w:val="005F2F5B"/>
    <w:rsid w:val="005F4334"/>
    <w:rsid w:val="00604C10"/>
    <w:rsid w:val="006060EB"/>
    <w:rsid w:val="0060618A"/>
    <w:rsid w:val="00606BC3"/>
    <w:rsid w:val="00612EFB"/>
    <w:rsid w:val="00617E4A"/>
    <w:rsid w:val="006231EC"/>
    <w:rsid w:val="006255F0"/>
    <w:rsid w:val="00636755"/>
    <w:rsid w:val="0064050C"/>
    <w:rsid w:val="00642DE9"/>
    <w:rsid w:val="00643F9B"/>
    <w:rsid w:val="006445F8"/>
    <w:rsid w:val="0064549E"/>
    <w:rsid w:val="00662846"/>
    <w:rsid w:val="0066384C"/>
    <w:rsid w:val="006672CF"/>
    <w:rsid w:val="00676A6C"/>
    <w:rsid w:val="00687FF8"/>
    <w:rsid w:val="00692784"/>
    <w:rsid w:val="006941F6"/>
    <w:rsid w:val="006972AB"/>
    <w:rsid w:val="00697517"/>
    <w:rsid w:val="006A2E8F"/>
    <w:rsid w:val="006A39C2"/>
    <w:rsid w:val="006A41FB"/>
    <w:rsid w:val="006A549D"/>
    <w:rsid w:val="006A59CC"/>
    <w:rsid w:val="006B1DDC"/>
    <w:rsid w:val="006B2776"/>
    <w:rsid w:val="006B3783"/>
    <w:rsid w:val="006B694D"/>
    <w:rsid w:val="006C1D4B"/>
    <w:rsid w:val="006C59A7"/>
    <w:rsid w:val="006C5E6E"/>
    <w:rsid w:val="006D30F8"/>
    <w:rsid w:val="006D4916"/>
    <w:rsid w:val="006D7C6E"/>
    <w:rsid w:val="006E136E"/>
    <w:rsid w:val="006E413B"/>
    <w:rsid w:val="006E441E"/>
    <w:rsid w:val="006F3AB8"/>
    <w:rsid w:val="006F4703"/>
    <w:rsid w:val="00706238"/>
    <w:rsid w:val="00711A75"/>
    <w:rsid w:val="00715DE5"/>
    <w:rsid w:val="00730493"/>
    <w:rsid w:val="007405E8"/>
    <w:rsid w:val="0074180F"/>
    <w:rsid w:val="007477CE"/>
    <w:rsid w:val="007506CE"/>
    <w:rsid w:val="0075221E"/>
    <w:rsid w:val="00752961"/>
    <w:rsid w:val="00754575"/>
    <w:rsid w:val="00756105"/>
    <w:rsid w:val="00756345"/>
    <w:rsid w:val="0076143B"/>
    <w:rsid w:val="00761EBE"/>
    <w:rsid w:val="00762B4B"/>
    <w:rsid w:val="00765F5C"/>
    <w:rsid w:val="007716AA"/>
    <w:rsid w:val="007758D2"/>
    <w:rsid w:val="00781B95"/>
    <w:rsid w:val="007927DE"/>
    <w:rsid w:val="0079471A"/>
    <w:rsid w:val="00795DCC"/>
    <w:rsid w:val="00796D72"/>
    <w:rsid w:val="00797B87"/>
    <w:rsid w:val="007A64E8"/>
    <w:rsid w:val="007B0CAA"/>
    <w:rsid w:val="007B221E"/>
    <w:rsid w:val="007B24B7"/>
    <w:rsid w:val="007B25E8"/>
    <w:rsid w:val="007B6DE2"/>
    <w:rsid w:val="007C0D8B"/>
    <w:rsid w:val="007C0EAF"/>
    <w:rsid w:val="007C2295"/>
    <w:rsid w:val="007C3FB3"/>
    <w:rsid w:val="007C5864"/>
    <w:rsid w:val="007D5F16"/>
    <w:rsid w:val="007D6B2B"/>
    <w:rsid w:val="007E2327"/>
    <w:rsid w:val="007E34FF"/>
    <w:rsid w:val="007E39B5"/>
    <w:rsid w:val="007E45D8"/>
    <w:rsid w:val="007F17CA"/>
    <w:rsid w:val="007F6322"/>
    <w:rsid w:val="007F7688"/>
    <w:rsid w:val="007F7DB0"/>
    <w:rsid w:val="00801701"/>
    <w:rsid w:val="008020D5"/>
    <w:rsid w:val="00803DB6"/>
    <w:rsid w:val="00806E44"/>
    <w:rsid w:val="00811B9C"/>
    <w:rsid w:val="0081380E"/>
    <w:rsid w:val="0081441C"/>
    <w:rsid w:val="008178F1"/>
    <w:rsid w:val="00823AAC"/>
    <w:rsid w:val="008245B9"/>
    <w:rsid w:val="00824C89"/>
    <w:rsid w:val="0082630D"/>
    <w:rsid w:val="00826880"/>
    <w:rsid w:val="008270F4"/>
    <w:rsid w:val="008368D4"/>
    <w:rsid w:val="00841102"/>
    <w:rsid w:val="00851B38"/>
    <w:rsid w:val="00852278"/>
    <w:rsid w:val="00852C27"/>
    <w:rsid w:val="00857356"/>
    <w:rsid w:val="00863DD1"/>
    <w:rsid w:val="0086739C"/>
    <w:rsid w:val="008713DA"/>
    <w:rsid w:val="00872C49"/>
    <w:rsid w:val="008764B4"/>
    <w:rsid w:val="00876AE3"/>
    <w:rsid w:val="00876D42"/>
    <w:rsid w:val="00876D6D"/>
    <w:rsid w:val="00880263"/>
    <w:rsid w:val="0088075F"/>
    <w:rsid w:val="00884E02"/>
    <w:rsid w:val="00886103"/>
    <w:rsid w:val="008921F9"/>
    <w:rsid w:val="00894D0D"/>
    <w:rsid w:val="008A7C9B"/>
    <w:rsid w:val="008B0AAC"/>
    <w:rsid w:val="008B3329"/>
    <w:rsid w:val="008C08DB"/>
    <w:rsid w:val="008C13E2"/>
    <w:rsid w:val="008C196E"/>
    <w:rsid w:val="008C1A9F"/>
    <w:rsid w:val="008C1B2C"/>
    <w:rsid w:val="008C3A3D"/>
    <w:rsid w:val="008C3F3F"/>
    <w:rsid w:val="008C4237"/>
    <w:rsid w:val="008D5098"/>
    <w:rsid w:val="008D51C3"/>
    <w:rsid w:val="008E5A7F"/>
    <w:rsid w:val="008E6129"/>
    <w:rsid w:val="008E675A"/>
    <w:rsid w:val="008F455F"/>
    <w:rsid w:val="008F4D32"/>
    <w:rsid w:val="008F6696"/>
    <w:rsid w:val="008F75DA"/>
    <w:rsid w:val="0090137C"/>
    <w:rsid w:val="00902DF8"/>
    <w:rsid w:val="00907E13"/>
    <w:rsid w:val="00914F92"/>
    <w:rsid w:val="009247B3"/>
    <w:rsid w:val="009263B8"/>
    <w:rsid w:val="00926C64"/>
    <w:rsid w:val="0093618B"/>
    <w:rsid w:val="009366E7"/>
    <w:rsid w:val="00937984"/>
    <w:rsid w:val="00942C15"/>
    <w:rsid w:val="00952125"/>
    <w:rsid w:val="00953AFB"/>
    <w:rsid w:val="00955E48"/>
    <w:rsid w:val="009560A0"/>
    <w:rsid w:val="009571AF"/>
    <w:rsid w:val="009646F7"/>
    <w:rsid w:val="00967D68"/>
    <w:rsid w:val="0098135E"/>
    <w:rsid w:val="00991C6A"/>
    <w:rsid w:val="00993A52"/>
    <w:rsid w:val="00993AF7"/>
    <w:rsid w:val="009979D7"/>
    <w:rsid w:val="009A04B4"/>
    <w:rsid w:val="009A194C"/>
    <w:rsid w:val="009A3334"/>
    <w:rsid w:val="009A3C0A"/>
    <w:rsid w:val="009A799F"/>
    <w:rsid w:val="009B0972"/>
    <w:rsid w:val="009B71E5"/>
    <w:rsid w:val="009C0E52"/>
    <w:rsid w:val="009C1462"/>
    <w:rsid w:val="009C77CD"/>
    <w:rsid w:val="009D6900"/>
    <w:rsid w:val="009E265B"/>
    <w:rsid w:val="009E394F"/>
    <w:rsid w:val="009E5A83"/>
    <w:rsid w:val="009E69DD"/>
    <w:rsid w:val="009E707D"/>
    <w:rsid w:val="009F0EDD"/>
    <w:rsid w:val="009F2DCE"/>
    <w:rsid w:val="009F3C0D"/>
    <w:rsid w:val="009F61D1"/>
    <w:rsid w:val="009F6292"/>
    <w:rsid w:val="00A039C0"/>
    <w:rsid w:val="00A10D45"/>
    <w:rsid w:val="00A13B69"/>
    <w:rsid w:val="00A17B02"/>
    <w:rsid w:val="00A27901"/>
    <w:rsid w:val="00A310E0"/>
    <w:rsid w:val="00A31B41"/>
    <w:rsid w:val="00A3538B"/>
    <w:rsid w:val="00A37BF2"/>
    <w:rsid w:val="00A40847"/>
    <w:rsid w:val="00A414C6"/>
    <w:rsid w:val="00A500B6"/>
    <w:rsid w:val="00A503B7"/>
    <w:rsid w:val="00A51E56"/>
    <w:rsid w:val="00A53950"/>
    <w:rsid w:val="00A56DE1"/>
    <w:rsid w:val="00A62E59"/>
    <w:rsid w:val="00A67AAF"/>
    <w:rsid w:val="00A83472"/>
    <w:rsid w:val="00A915AA"/>
    <w:rsid w:val="00A91809"/>
    <w:rsid w:val="00A93B20"/>
    <w:rsid w:val="00A97EDF"/>
    <w:rsid w:val="00AA0B41"/>
    <w:rsid w:val="00AA38FA"/>
    <w:rsid w:val="00AA5D7C"/>
    <w:rsid w:val="00AA7841"/>
    <w:rsid w:val="00AB4FAF"/>
    <w:rsid w:val="00AC37A0"/>
    <w:rsid w:val="00AC3B58"/>
    <w:rsid w:val="00AC5662"/>
    <w:rsid w:val="00AD36B7"/>
    <w:rsid w:val="00AD4648"/>
    <w:rsid w:val="00AD6B07"/>
    <w:rsid w:val="00AE5BEF"/>
    <w:rsid w:val="00AF6FCC"/>
    <w:rsid w:val="00B03230"/>
    <w:rsid w:val="00B041B3"/>
    <w:rsid w:val="00B05A00"/>
    <w:rsid w:val="00B07CC5"/>
    <w:rsid w:val="00B07F75"/>
    <w:rsid w:val="00B10F5E"/>
    <w:rsid w:val="00B13F67"/>
    <w:rsid w:val="00B20C3C"/>
    <w:rsid w:val="00B32AE4"/>
    <w:rsid w:val="00B37B1B"/>
    <w:rsid w:val="00B4334D"/>
    <w:rsid w:val="00B4465F"/>
    <w:rsid w:val="00B44704"/>
    <w:rsid w:val="00B52723"/>
    <w:rsid w:val="00B53946"/>
    <w:rsid w:val="00B62DF5"/>
    <w:rsid w:val="00B646A5"/>
    <w:rsid w:val="00B66742"/>
    <w:rsid w:val="00B672DC"/>
    <w:rsid w:val="00B760AE"/>
    <w:rsid w:val="00B80592"/>
    <w:rsid w:val="00B82C31"/>
    <w:rsid w:val="00B92482"/>
    <w:rsid w:val="00B95D11"/>
    <w:rsid w:val="00BA46AB"/>
    <w:rsid w:val="00BB0ABF"/>
    <w:rsid w:val="00BB1019"/>
    <w:rsid w:val="00BB4A66"/>
    <w:rsid w:val="00BB555F"/>
    <w:rsid w:val="00BC199E"/>
    <w:rsid w:val="00BC281C"/>
    <w:rsid w:val="00BC3815"/>
    <w:rsid w:val="00BC7349"/>
    <w:rsid w:val="00BD2564"/>
    <w:rsid w:val="00BD2CFD"/>
    <w:rsid w:val="00BD352C"/>
    <w:rsid w:val="00BE2F19"/>
    <w:rsid w:val="00BE3182"/>
    <w:rsid w:val="00BE5539"/>
    <w:rsid w:val="00BE569B"/>
    <w:rsid w:val="00BE611A"/>
    <w:rsid w:val="00BF79E3"/>
    <w:rsid w:val="00C006A5"/>
    <w:rsid w:val="00C02263"/>
    <w:rsid w:val="00C02331"/>
    <w:rsid w:val="00C116A5"/>
    <w:rsid w:val="00C117E5"/>
    <w:rsid w:val="00C13EBC"/>
    <w:rsid w:val="00C16D71"/>
    <w:rsid w:val="00C16E7C"/>
    <w:rsid w:val="00C271A5"/>
    <w:rsid w:val="00C2792C"/>
    <w:rsid w:val="00C3561A"/>
    <w:rsid w:val="00C35767"/>
    <w:rsid w:val="00C40294"/>
    <w:rsid w:val="00C4155E"/>
    <w:rsid w:val="00C44599"/>
    <w:rsid w:val="00C5002E"/>
    <w:rsid w:val="00C65AA6"/>
    <w:rsid w:val="00C7083A"/>
    <w:rsid w:val="00C72401"/>
    <w:rsid w:val="00C74021"/>
    <w:rsid w:val="00C7433E"/>
    <w:rsid w:val="00C76F6E"/>
    <w:rsid w:val="00C80B90"/>
    <w:rsid w:val="00C827F0"/>
    <w:rsid w:val="00C8412D"/>
    <w:rsid w:val="00C84617"/>
    <w:rsid w:val="00C8643D"/>
    <w:rsid w:val="00C91B23"/>
    <w:rsid w:val="00C948A6"/>
    <w:rsid w:val="00C95805"/>
    <w:rsid w:val="00C9652E"/>
    <w:rsid w:val="00C97B3A"/>
    <w:rsid w:val="00CA22B4"/>
    <w:rsid w:val="00CA253F"/>
    <w:rsid w:val="00CA62E9"/>
    <w:rsid w:val="00CB4D9C"/>
    <w:rsid w:val="00CC39CB"/>
    <w:rsid w:val="00CC50F3"/>
    <w:rsid w:val="00CD2155"/>
    <w:rsid w:val="00CD508B"/>
    <w:rsid w:val="00CE0099"/>
    <w:rsid w:val="00CE1A73"/>
    <w:rsid w:val="00CE3A17"/>
    <w:rsid w:val="00CF720B"/>
    <w:rsid w:val="00D02426"/>
    <w:rsid w:val="00D02564"/>
    <w:rsid w:val="00D045B6"/>
    <w:rsid w:val="00D12029"/>
    <w:rsid w:val="00D22461"/>
    <w:rsid w:val="00D22C4D"/>
    <w:rsid w:val="00D23E62"/>
    <w:rsid w:val="00D27611"/>
    <w:rsid w:val="00D33238"/>
    <w:rsid w:val="00D417E8"/>
    <w:rsid w:val="00D435B0"/>
    <w:rsid w:val="00D4474C"/>
    <w:rsid w:val="00D51785"/>
    <w:rsid w:val="00D6104A"/>
    <w:rsid w:val="00D64F45"/>
    <w:rsid w:val="00D65CF6"/>
    <w:rsid w:val="00D66401"/>
    <w:rsid w:val="00D70CF3"/>
    <w:rsid w:val="00D70ED0"/>
    <w:rsid w:val="00D73B64"/>
    <w:rsid w:val="00D751A7"/>
    <w:rsid w:val="00D765D6"/>
    <w:rsid w:val="00D80321"/>
    <w:rsid w:val="00D86D49"/>
    <w:rsid w:val="00D9585D"/>
    <w:rsid w:val="00D97C4B"/>
    <w:rsid w:val="00DA190A"/>
    <w:rsid w:val="00DA3BE7"/>
    <w:rsid w:val="00DA3CF8"/>
    <w:rsid w:val="00DA4111"/>
    <w:rsid w:val="00DA4AF4"/>
    <w:rsid w:val="00DB1D32"/>
    <w:rsid w:val="00DB4C13"/>
    <w:rsid w:val="00DC252B"/>
    <w:rsid w:val="00DC6422"/>
    <w:rsid w:val="00DD4F04"/>
    <w:rsid w:val="00DE02F0"/>
    <w:rsid w:val="00DE534B"/>
    <w:rsid w:val="00DF296F"/>
    <w:rsid w:val="00E01F71"/>
    <w:rsid w:val="00E04298"/>
    <w:rsid w:val="00E0589F"/>
    <w:rsid w:val="00E20872"/>
    <w:rsid w:val="00E20F2E"/>
    <w:rsid w:val="00E2239A"/>
    <w:rsid w:val="00E27F1F"/>
    <w:rsid w:val="00E35FE2"/>
    <w:rsid w:val="00E43185"/>
    <w:rsid w:val="00E50650"/>
    <w:rsid w:val="00E60180"/>
    <w:rsid w:val="00E613E4"/>
    <w:rsid w:val="00E80390"/>
    <w:rsid w:val="00E904B3"/>
    <w:rsid w:val="00E92342"/>
    <w:rsid w:val="00E9365F"/>
    <w:rsid w:val="00E9388A"/>
    <w:rsid w:val="00E945A9"/>
    <w:rsid w:val="00E978B4"/>
    <w:rsid w:val="00EA4D69"/>
    <w:rsid w:val="00EB33A3"/>
    <w:rsid w:val="00EC0475"/>
    <w:rsid w:val="00EC096A"/>
    <w:rsid w:val="00ED376F"/>
    <w:rsid w:val="00ED4D0E"/>
    <w:rsid w:val="00ED54B4"/>
    <w:rsid w:val="00ED5538"/>
    <w:rsid w:val="00EE40D6"/>
    <w:rsid w:val="00EE6F0D"/>
    <w:rsid w:val="00EE70DF"/>
    <w:rsid w:val="00EF105E"/>
    <w:rsid w:val="00EF3ECB"/>
    <w:rsid w:val="00EF5332"/>
    <w:rsid w:val="00EF7C4A"/>
    <w:rsid w:val="00F02E24"/>
    <w:rsid w:val="00F11BDC"/>
    <w:rsid w:val="00F20C4F"/>
    <w:rsid w:val="00F219E1"/>
    <w:rsid w:val="00F24BC3"/>
    <w:rsid w:val="00F2750F"/>
    <w:rsid w:val="00F30C67"/>
    <w:rsid w:val="00F314AB"/>
    <w:rsid w:val="00F338C1"/>
    <w:rsid w:val="00F42037"/>
    <w:rsid w:val="00F42ECF"/>
    <w:rsid w:val="00F45974"/>
    <w:rsid w:val="00F47F07"/>
    <w:rsid w:val="00F51444"/>
    <w:rsid w:val="00F5367F"/>
    <w:rsid w:val="00F55837"/>
    <w:rsid w:val="00F56900"/>
    <w:rsid w:val="00F57BF4"/>
    <w:rsid w:val="00F66FF3"/>
    <w:rsid w:val="00F7037E"/>
    <w:rsid w:val="00F72159"/>
    <w:rsid w:val="00F82176"/>
    <w:rsid w:val="00F82841"/>
    <w:rsid w:val="00F84138"/>
    <w:rsid w:val="00F844E6"/>
    <w:rsid w:val="00F849BE"/>
    <w:rsid w:val="00F84E86"/>
    <w:rsid w:val="00F90B53"/>
    <w:rsid w:val="00F92AA8"/>
    <w:rsid w:val="00FA252C"/>
    <w:rsid w:val="00FA63B6"/>
    <w:rsid w:val="00FA779D"/>
    <w:rsid w:val="00FB4A60"/>
    <w:rsid w:val="00FB61E9"/>
    <w:rsid w:val="00FB6362"/>
    <w:rsid w:val="00FC02D8"/>
    <w:rsid w:val="00FC5052"/>
    <w:rsid w:val="00FD4EA3"/>
    <w:rsid w:val="00FE267F"/>
    <w:rsid w:val="00FE71AE"/>
    <w:rsid w:val="00FE7BF4"/>
    <w:rsid w:val="00FF16A2"/>
    <w:rsid w:val="00FF28AB"/>
    <w:rsid w:val="00FF2B79"/>
    <w:rsid w:val="00FF674A"/>
    <w:rsid w:val="01511C3A"/>
    <w:rsid w:val="018A6226"/>
    <w:rsid w:val="050D68BC"/>
    <w:rsid w:val="06042D65"/>
    <w:rsid w:val="06C24BEE"/>
    <w:rsid w:val="06D2185C"/>
    <w:rsid w:val="0716439C"/>
    <w:rsid w:val="0733666C"/>
    <w:rsid w:val="07862E97"/>
    <w:rsid w:val="07D6655F"/>
    <w:rsid w:val="09DC5F75"/>
    <w:rsid w:val="0A820A15"/>
    <w:rsid w:val="0ABC4EB5"/>
    <w:rsid w:val="0B7D775A"/>
    <w:rsid w:val="0B844DA7"/>
    <w:rsid w:val="0B881267"/>
    <w:rsid w:val="0DBB5946"/>
    <w:rsid w:val="0EDD1725"/>
    <w:rsid w:val="106C61DF"/>
    <w:rsid w:val="111D7076"/>
    <w:rsid w:val="116B222E"/>
    <w:rsid w:val="1242305A"/>
    <w:rsid w:val="12CA2D21"/>
    <w:rsid w:val="12F65C09"/>
    <w:rsid w:val="13F7435D"/>
    <w:rsid w:val="14D009E0"/>
    <w:rsid w:val="14DF2207"/>
    <w:rsid w:val="154B2339"/>
    <w:rsid w:val="164E77C3"/>
    <w:rsid w:val="16B256AB"/>
    <w:rsid w:val="16B825C9"/>
    <w:rsid w:val="186316B2"/>
    <w:rsid w:val="1873435E"/>
    <w:rsid w:val="19BB39FD"/>
    <w:rsid w:val="1A12789C"/>
    <w:rsid w:val="1A2A3C8A"/>
    <w:rsid w:val="1AFE62A8"/>
    <w:rsid w:val="1B287553"/>
    <w:rsid w:val="1C657D38"/>
    <w:rsid w:val="1C7048C1"/>
    <w:rsid w:val="1D416D27"/>
    <w:rsid w:val="1EC0674B"/>
    <w:rsid w:val="1EE4429D"/>
    <w:rsid w:val="208739D2"/>
    <w:rsid w:val="208D488B"/>
    <w:rsid w:val="21A30595"/>
    <w:rsid w:val="21A76E8E"/>
    <w:rsid w:val="22960719"/>
    <w:rsid w:val="22D9494F"/>
    <w:rsid w:val="23AF7A29"/>
    <w:rsid w:val="23D11D7C"/>
    <w:rsid w:val="23FD4061"/>
    <w:rsid w:val="2578438F"/>
    <w:rsid w:val="27662C45"/>
    <w:rsid w:val="294E5FF4"/>
    <w:rsid w:val="29B477F2"/>
    <w:rsid w:val="2A184913"/>
    <w:rsid w:val="2A2B4C32"/>
    <w:rsid w:val="2A946A2A"/>
    <w:rsid w:val="2C057F62"/>
    <w:rsid w:val="2C0D10F8"/>
    <w:rsid w:val="2C994D41"/>
    <w:rsid w:val="2E5412A2"/>
    <w:rsid w:val="2E857483"/>
    <w:rsid w:val="2F0320BA"/>
    <w:rsid w:val="2F21150C"/>
    <w:rsid w:val="2F504DC4"/>
    <w:rsid w:val="2FE66329"/>
    <w:rsid w:val="31444CCC"/>
    <w:rsid w:val="32320AC2"/>
    <w:rsid w:val="324D7158"/>
    <w:rsid w:val="33FD4881"/>
    <w:rsid w:val="35335FA8"/>
    <w:rsid w:val="356C2BA0"/>
    <w:rsid w:val="36251C48"/>
    <w:rsid w:val="36EE6644"/>
    <w:rsid w:val="37976B39"/>
    <w:rsid w:val="37CF7EE2"/>
    <w:rsid w:val="37DA2F52"/>
    <w:rsid w:val="39CE49BE"/>
    <w:rsid w:val="3A1A0863"/>
    <w:rsid w:val="3A603801"/>
    <w:rsid w:val="3ACB2EBB"/>
    <w:rsid w:val="3BF63E4E"/>
    <w:rsid w:val="3C84114A"/>
    <w:rsid w:val="3DA07CA6"/>
    <w:rsid w:val="3DCE398B"/>
    <w:rsid w:val="3ED214D7"/>
    <w:rsid w:val="3EE13916"/>
    <w:rsid w:val="3EE578E5"/>
    <w:rsid w:val="3FA83530"/>
    <w:rsid w:val="40A33A7F"/>
    <w:rsid w:val="4202593A"/>
    <w:rsid w:val="42097276"/>
    <w:rsid w:val="42B265F0"/>
    <w:rsid w:val="42DA72BB"/>
    <w:rsid w:val="435C16C4"/>
    <w:rsid w:val="442839F6"/>
    <w:rsid w:val="46635840"/>
    <w:rsid w:val="46936BB6"/>
    <w:rsid w:val="46C66AF6"/>
    <w:rsid w:val="486A2481"/>
    <w:rsid w:val="4906395E"/>
    <w:rsid w:val="4ABA746E"/>
    <w:rsid w:val="4BD20B99"/>
    <w:rsid w:val="4C7D07E2"/>
    <w:rsid w:val="4C9B2893"/>
    <w:rsid w:val="4CE94ADB"/>
    <w:rsid w:val="4D360B15"/>
    <w:rsid w:val="4E0A0C63"/>
    <w:rsid w:val="4EE06A8D"/>
    <w:rsid w:val="4EFA36DA"/>
    <w:rsid w:val="4FFD042E"/>
    <w:rsid w:val="5010727D"/>
    <w:rsid w:val="50327CB1"/>
    <w:rsid w:val="507D338E"/>
    <w:rsid w:val="51957C03"/>
    <w:rsid w:val="520A601A"/>
    <w:rsid w:val="528D6869"/>
    <w:rsid w:val="53146582"/>
    <w:rsid w:val="53AD77CE"/>
    <w:rsid w:val="547527FF"/>
    <w:rsid w:val="54857F90"/>
    <w:rsid w:val="566D3561"/>
    <w:rsid w:val="57282415"/>
    <w:rsid w:val="57334873"/>
    <w:rsid w:val="57861ACE"/>
    <w:rsid w:val="57D24889"/>
    <w:rsid w:val="589313B0"/>
    <w:rsid w:val="58A01336"/>
    <w:rsid w:val="58DB74F8"/>
    <w:rsid w:val="594E6A9E"/>
    <w:rsid w:val="59590B7F"/>
    <w:rsid w:val="5A0E68D1"/>
    <w:rsid w:val="5A6A509F"/>
    <w:rsid w:val="5A773FD6"/>
    <w:rsid w:val="5B5E5797"/>
    <w:rsid w:val="5C2C7F21"/>
    <w:rsid w:val="5E080672"/>
    <w:rsid w:val="5E153955"/>
    <w:rsid w:val="60E35A37"/>
    <w:rsid w:val="61F650E4"/>
    <w:rsid w:val="62577431"/>
    <w:rsid w:val="63CD6C7C"/>
    <w:rsid w:val="63F91A29"/>
    <w:rsid w:val="64791DF5"/>
    <w:rsid w:val="65014755"/>
    <w:rsid w:val="664B0961"/>
    <w:rsid w:val="6667143A"/>
    <w:rsid w:val="66682C18"/>
    <w:rsid w:val="66B51DB2"/>
    <w:rsid w:val="67C37AA5"/>
    <w:rsid w:val="68C41B10"/>
    <w:rsid w:val="68D416B6"/>
    <w:rsid w:val="6A205B43"/>
    <w:rsid w:val="6A4E2CCA"/>
    <w:rsid w:val="6A7A1D07"/>
    <w:rsid w:val="6B28520F"/>
    <w:rsid w:val="6B7C0150"/>
    <w:rsid w:val="6B8E6BD9"/>
    <w:rsid w:val="6CAD5D22"/>
    <w:rsid w:val="6D446803"/>
    <w:rsid w:val="6E667704"/>
    <w:rsid w:val="6EF91BEA"/>
    <w:rsid w:val="6FE24BC0"/>
    <w:rsid w:val="6FF04FC1"/>
    <w:rsid w:val="70C06C36"/>
    <w:rsid w:val="70D2453E"/>
    <w:rsid w:val="710870B9"/>
    <w:rsid w:val="72A8511B"/>
    <w:rsid w:val="73075603"/>
    <w:rsid w:val="74602755"/>
    <w:rsid w:val="75C646F9"/>
    <w:rsid w:val="76C412F7"/>
    <w:rsid w:val="76C96488"/>
    <w:rsid w:val="76DD1332"/>
    <w:rsid w:val="77B67CE9"/>
    <w:rsid w:val="77F775A8"/>
    <w:rsid w:val="78DA4F68"/>
    <w:rsid w:val="7A264A7A"/>
    <w:rsid w:val="7A502A73"/>
    <w:rsid w:val="7A727C90"/>
    <w:rsid w:val="7B8F323A"/>
    <w:rsid w:val="7BF474D2"/>
    <w:rsid w:val="7C132824"/>
    <w:rsid w:val="7E8832D6"/>
    <w:rsid w:val="7FD3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Times New Roman"/>
      <w:sz w:val="24"/>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cs="宋体"/>
      <w:szCs w:val="24"/>
    </w:rPr>
  </w:style>
  <w:style w:type="character" w:styleId="8">
    <w:name w:val="Strong"/>
    <w:basedOn w:val="7"/>
    <w:qFormat/>
    <w:uiPriority w:val="99"/>
    <w:rPr>
      <w:rFonts w:cs="Times New Roman"/>
      <w:b/>
      <w:bCs/>
    </w:rPr>
  </w:style>
  <w:style w:type="character" w:styleId="9">
    <w:name w:val="Hyperlink"/>
    <w:qFormat/>
    <w:uiPriority w:val="0"/>
    <w:rPr>
      <w:color w:val="0000FF"/>
      <w:u w:val="single"/>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Char"/>
    <w:basedOn w:val="7"/>
    <w:link w:val="4"/>
    <w:qFormat/>
    <w:uiPriority w:val="99"/>
    <w:rPr>
      <w:rFonts w:ascii="宋体" w:hAnsi="宋体" w:eastAsia="宋体" w:cs="Times New Roman"/>
      <w:kern w:val="0"/>
      <w:sz w:val="18"/>
      <w:szCs w:val="18"/>
    </w:rPr>
  </w:style>
  <w:style w:type="character" w:customStyle="1" w:styleId="12">
    <w:name w:val="页脚 Char"/>
    <w:basedOn w:val="7"/>
    <w:link w:val="3"/>
    <w:qFormat/>
    <w:uiPriority w:val="99"/>
    <w:rPr>
      <w:rFonts w:ascii="宋体" w:hAnsi="宋体" w:eastAsia="宋体" w:cs="Times New Roman"/>
      <w:kern w:val="0"/>
      <w:sz w:val="18"/>
      <w:szCs w:val="18"/>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99"/>
    <w:pPr>
      <w:ind w:firstLine="420" w:firstLineChars="200"/>
    </w:pPr>
    <w:rPr>
      <w:szCs w:val="22"/>
    </w:rPr>
  </w:style>
  <w:style w:type="character" w:customStyle="1" w:styleId="15">
    <w:name w:val="批注框文本 Char"/>
    <w:basedOn w:val="7"/>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D7B00-894B-4251-8EF2-ADB54146CAF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425</Words>
  <Characters>2427</Characters>
  <Lines>20</Lines>
  <Paragraphs>5</Paragraphs>
  <TotalTime>1</TotalTime>
  <ScaleCrop>false</ScaleCrop>
  <LinksUpToDate>false</LinksUpToDate>
  <CharactersWithSpaces>2847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2019-12-03T06:20:00Z</dcterms:created>
  <dc:creator>xjs</dc:creator>
  <cp:lastModifiedBy>Administrator</cp:lastModifiedBy>
  <cp:lastPrinted>2020-05-21T03:40:00Z</cp:lastPrinted>
  <dcterms:modified xsi:type="dcterms:W3CDTF">2020-05-25T02:45:27Z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