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248" w:type="dxa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8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distribute"/>
              <w:rPr>
                <w:rFonts w:hint="eastAsia" w:ascii="宋体" w:hAnsi="宋体" w:eastAsia="宋体" w:cs="宋体"/>
                <w:color w:val="FF0000"/>
                <w:kern w:val="0"/>
                <w:sz w:val="70"/>
                <w:szCs w:val="70"/>
              </w:rPr>
            </w:pPr>
            <w:r>
              <w:rPr>
                <w:rFonts w:ascii="楷体" w:hAnsi="楷体" w:eastAsia="楷体" w:cs="宋体"/>
                <w:color w:val="00000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70"/>
                <w:szCs w:val="70"/>
              </w:rPr>
              <w:t>中 国 投 资 协 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distribute"/>
              <w:rPr>
                <w:rFonts w:hint="eastAsia" w:ascii="楷体" w:hAnsi="楷体" w:eastAsia="楷体"/>
                <w:color w:val="FF0000"/>
                <w:kern w:val="0"/>
                <w:sz w:val="70"/>
                <w:szCs w:val="7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70"/>
                <w:szCs w:val="70"/>
              </w:rPr>
              <w:t>项目投融资专业委员会文件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楷体" w:hAnsi="楷体" w:eastAsia="楷体"/>
                <w:color w:val="000000"/>
                <w:kern w:val="0"/>
                <w:sz w:val="66"/>
                <w:szCs w:val="66"/>
              </w:rPr>
            </w:pPr>
            <w:r>
              <w:rPr>
                <w:rFonts w:hint="eastAsia" w:cs="宋体"/>
                <w:color w:val="auto"/>
                <w:sz w:val="30"/>
                <w:szCs w:val="30"/>
                <w:lang w:val="en-US" w:eastAsia="zh-CN"/>
              </w:rPr>
              <w:t>投融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培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字〔20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〕</w:t>
            </w:r>
            <w:r>
              <w:rPr>
                <w:rFonts w:hint="eastAsia" w:cs="宋体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号</w:t>
            </w:r>
          </w:p>
        </w:tc>
      </w:tr>
    </w:tbl>
    <w:p>
      <w:pPr>
        <w:pStyle w:val="8"/>
        <w:spacing w:line="360" w:lineRule="auto"/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关于举办2020基建REITs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专项债券“借用还”全过程管理及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PPP绩效考核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SPV运营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竣工验收与审计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专题培训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班的通知</w:t>
      </w:r>
    </w:p>
    <w:p>
      <w:pPr>
        <w:autoSpaceDE/>
        <w:autoSpaceDN/>
        <w:adjustRightInd/>
        <w:spacing w:line="360" w:lineRule="auto"/>
        <w:jc w:val="both"/>
        <w:rPr>
          <w:rFonts w:ascii="仿宋" w:hAnsi="仿宋" w:eastAsia="仿宋" w:cs="仿宋"/>
          <w:b w:val="0"/>
          <w:bCs w:val="0"/>
          <w:kern w:val="2"/>
          <w:sz w:val="22"/>
          <w:szCs w:val="22"/>
        </w:rPr>
      </w:pPr>
    </w:p>
    <w:p>
      <w:pPr>
        <w:autoSpaceDE/>
        <w:autoSpaceDN/>
        <w:adjustRightInd/>
        <w:spacing w:line="360" w:lineRule="auto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ascii="仿宋" w:hAnsi="仿宋" w:eastAsia="仿宋" w:cs="仿宋"/>
          <w:b/>
          <w:bCs/>
          <w:kern w:val="2"/>
          <w:sz w:val="28"/>
          <w:szCs w:val="28"/>
        </w:rPr>
        <w:t>各有关单位: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开展基础设施领域不动产投资信托基金（REITs）试点，是贯彻落实党中央、国务院关于防风险、去杠杆、稳投资、补短板决策部署的有效政策工具，是投融资机制的重大创新，有助于盘活存量资产，广泛调动各类社会资本积极性，促进基础设施高质量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为帮助有关部门解决REITs试点实操中的实际问题，提高PPP项目风险防控能力，加快建立规范的地方政府融资机制，探索创新多元化融资模式，学习掌握专项债券相关政策法规、实务操作，强化发展战略、运营管理、市场监管、绩效考核等职责，中国投资协会项目投融资专业委员会会同</w:t>
      </w:r>
      <w:r>
        <w:rPr>
          <w:rFonts w:hint="eastAsia" w:ascii="仿宋" w:hAnsi="仿宋" w:eastAsia="仿宋" w:cs="宋体"/>
          <w:color w:val="000000"/>
          <w:sz w:val="28"/>
          <w:szCs w:val="28"/>
          <w:lang w:val="zh-CN" w:eastAsia="zh-CN"/>
        </w:rPr>
        <w:t>北京中科善若教育咨询有限公司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举办2020基建REITs、专项债券“借用还”全过程管理及PPP绩效考核、SPV运营、竣工验收与审计培训班。现将有关培训事项通知如下：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主办单位：中国投资协会项目投融资专业委员会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承办单位：</w:t>
      </w:r>
      <w:r>
        <w:rPr>
          <w:rFonts w:hint="eastAsia" w:ascii="华文仿宋" w:hAnsi="华文仿宋" w:eastAsia="华文仿宋"/>
          <w:sz w:val="30"/>
          <w:szCs w:val="30"/>
          <w:lang w:val="zh-CN"/>
        </w:rPr>
        <w:t>北京中科善若教育咨询有限公司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bidi="ar-SA"/>
        </w:rPr>
        <w:t>、培训内容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bidi="ar-SA"/>
        </w:rPr>
        <w:t>（详细内容见附件）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1.基础设施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REITs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带来的市场机会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REITs的法律实务与风险防范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3.专项债券类型与内容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4.专项债券的限额、预算和发行以及财务分析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5.专项债券的合规性审查以及申报全流程解读和案例解析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6.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PPP项目各利益方的本质剖析（目标设定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）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7.基于案例的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SPV公司管理全剖解（任务分解）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8.基于案例的高频典型实务问题解析（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检查纠偏）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9.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PPP项目的绩效考核专题解析（实践高效成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果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10.</w:t>
      </w:r>
      <w: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PPP项目执行经验总结与建议（总结提炼）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11.实务问题互动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/>
        </w:rPr>
        <w:t>三、培训对象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1.各地方政府发改、教育、科技、司法、财政、环保、住建、交通、水利、农业、L林业、文旅、卫健、能源等部门相关工作人员；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2.各地相关仓储物流、污水垃圾处理、固废危废垃圾处理、供水供气供热、清洁能源、环境保护、信息网络、园区开发、建筑建材等领域企业管理人员；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/>
        </w:rPr>
        <w:t>3.国有大中型企业、大型民企以及PPP项目SPV各领域企事业单位管理人员。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四、授课专家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拟邀请国家发展改革委、财政部PPP项目相关领域专家授课，拟由证券公司、咨询公司、律师事务所、会计师事务所等机构专家以专题讲座、案例分析、现场答疑、方案咨询、研讨交流等形式进行讲解。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五、时间地点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2020年08月27日—08月31日   （27日全天报到）   昆明市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2020年09月17日—09月21日   （17日全天报到）   厦门市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 xml:space="preserve">2020年10月22日—10月26日   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（22日全天报到）   西安市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六、相关事宜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kern w:val="2"/>
          <w:sz w:val="28"/>
          <w:szCs w:val="28"/>
          <w:lang w:val="en-US" w:bidi="ar-SA"/>
        </w:rPr>
        <w:t>（一）培训费用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A.2980元/人（含培训费、资料费、电子课件、场地、会议期间午餐），住宿统一安排，费用自理。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B.3980元/人（含证书、培训费、资料费、电子课件、场地、会议期间午餐），住宿统一安排，费用自理。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C.5980元/人（含证书、培训费、资料费、电子课件、场地、会议期间食宿、交流等）。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备注：证书由中国国家人事人才培训网、北京企业管理咨询协会共同颁发《PPP项目管理师》《债券咨询师》，证书查询网址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instrText xml:space="preserve"> HYPERLINK "http://www.chinanet.gov.cn/" </w:instrTex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http://www.chinanet.gov.cn/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需提供报名材料：报名表、2寸照电子照片（白底免冠彩照）、身份证复印件、学历证书复印件各一份。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kern w:val="2"/>
          <w:sz w:val="28"/>
          <w:szCs w:val="28"/>
          <w:lang w:val="en-US" w:bidi="ar-SA"/>
        </w:rPr>
        <w:t>（二）联系方式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  <w:t xml:space="preserve">报名负责人：聂红军 主任18211071700（微信）  qq咨询：3177524020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  <w:t xml:space="preserve">电      话：010-87697580                    邮  箱：zqgphwz@126.com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  <w:t xml:space="preserve">网址查询：http://www.zqgpchina.cn/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黑体" w:hAnsi="黑体" w:eastAsia="黑体" w:cs="黑体"/>
          <w:bCs/>
          <w:color w:val="000000"/>
          <w:kern w:val="2"/>
          <w:sz w:val="28"/>
          <w:szCs w:val="28"/>
          <w:lang w:val="en-US" w:bidi="ar-SA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28"/>
          <w:szCs w:val="28"/>
          <w:lang w:val="en-US" w:bidi="ar-SA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1.培训内容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2953385</wp:posOffset>
            </wp:positionH>
            <wp:positionV relativeFrom="paragraph">
              <wp:posOffset>168275</wp:posOffset>
            </wp:positionV>
            <wp:extent cx="3514725" cy="1831975"/>
            <wp:effectExtent l="0" t="0" r="9525" b="15875"/>
            <wp:wrapNone/>
            <wp:docPr id="2" name="图片 2" descr="10号文_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号文_0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2.2020基建REITs 专项债券“借用还”全过程管理及 PPP绩效考核 SPV运营 竣工验收与审计专题培训班《报名回执表》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b/>
          <w:bCs/>
          <w:kern w:val="2"/>
          <w:sz w:val="28"/>
          <w:szCs w:val="28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 xml:space="preserve">     </w:t>
      </w:r>
      <w:r>
        <w:rPr>
          <w:rFonts w:ascii="仿宋" w:hAnsi="仿宋" w:eastAsia="仿宋" w:cs="仿宋"/>
          <w:bCs/>
          <w:kern w:val="2"/>
          <w:sz w:val="28"/>
          <w:szCs w:val="28"/>
        </w:rPr>
        <w:t>中</w:t>
      </w:r>
      <w:r>
        <w:rPr>
          <w:rFonts w:hint="default" w:ascii="仿宋" w:hAnsi="仿宋" w:eastAsia="仿宋" w:cs="仿宋"/>
          <w:bCs/>
          <w:kern w:val="2"/>
          <w:sz w:val="28"/>
          <w:szCs w:val="28"/>
        </w:rPr>
        <w:t>国投资协会</w:t>
      </w:r>
      <w:r>
        <w:rPr>
          <w:rFonts w:ascii="仿宋" w:hAnsi="仿宋" w:eastAsia="仿宋" w:cs="仿宋"/>
          <w:bCs/>
          <w:kern w:val="2"/>
          <w:sz w:val="28"/>
          <w:szCs w:val="28"/>
        </w:rPr>
        <w:t>项目投融资专业委员会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40" w:firstLineChars="2300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zh-CN"/>
        </w:rPr>
      </w:pPr>
      <w:r>
        <w:rPr>
          <w:rFonts w:ascii="仿宋" w:hAnsi="仿宋" w:eastAsia="仿宋" w:cs="仿宋"/>
          <w:b w:val="0"/>
          <w:bCs w:val="0"/>
          <w:kern w:val="2"/>
          <w:sz w:val="28"/>
          <w:szCs w:val="28"/>
        </w:rPr>
        <w:t>20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20</w:t>
      </w:r>
      <w:r>
        <w:rPr>
          <w:rFonts w:ascii="仿宋" w:hAnsi="仿宋" w:eastAsia="仿宋" w:cs="仿宋"/>
          <w:b w:val="0"/>
          <w:bCs w:val="0"/>
          <w:kern w:val="2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8</w:t>
      </w:r>
      <w:r>
        <w:rPr>
          <w:rFonts w:ascii="仿宋" w:hAnsi="仿宋" w:eastAsia="仿宋" w:cs="仿宋"/>
          <w:b w:val="0"/>
          <w:bCs w:val="0"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b w:val="0"/>
          <w:bCs w:val="0"/>
          <w:kern w:val="2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val="en-US" w:bidi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zh-CN"/>
        </w:rPr>
        <w:t>附件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bidi="zh-CN"/>
        </w:rPr>
        <w:t>一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zh-CN"/>
        </w:rPr>
        <w:t>.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bidi="zh-CN"/>
        </w:rPr>
        <w:t xml:space="preserve">培训内容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bidi="ar-SA"/>
        </w:rPr>
        <w:t>模块一:基础设施REITs带来的市场机会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（一）REITs基本原理与交易结构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REITs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的原理和特征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REITs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与类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REITs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比较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3.权益型和抵押型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REITs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、公募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REITs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与私募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REITs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  <w:t>REITs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的交易结构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（二）基础设施REITs优劣势及存在问题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1.基础设施REITs的双重属性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2.基础设施REITs的优势和劣势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3.国内外类REITs的探索和介绍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4.基础设施REITs存在的问题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（三）基础设施REITs试点带来的市场机会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1.《关于推进基础设施领域REITs试点相关工作的通知》解读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2.《公开募集基础设施证券投资基金指引》解读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3.“公募基金+ABS”结构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4.基础设施REITs发行流程和作用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（四）REITs底层资产的转让及测算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1.基础资产的估值及项目净现金流测算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2.适合发行REITs的基础设施领域和和资产类型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3.作为底层资产的基础设施资产及特许经营权转让政策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4.基础资产的估值及项目净现金流测算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5.REITs红利分配环节和底层资产的运营管理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（五）REITs案例与分析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 xml:space="preserve">模块二：REITs的法律实务与风险防范 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（一）REITs在国内的发展历程及涉及的法律法规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 1.《关于推进基础设施领域不动产投资信托基金（REITs）试点相关工作的通知》要点分析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 2.《公开公募基础设施证券投资基金指引(试行)》要点分析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（二）我国境内REITs的主要交易结构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 1.基本类型：“公募基金+单一基础设施资产支持证券”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 2.股债结构：如果基础设施项目有银行贷款，想要通过REITs再融资，交易结构上该如何设计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3.股债结构：如果基础设施项目没有银行贷款，如何搭建资本弱化的交易结构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（三）尽职调查及风险分析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1.一般尽职调查方式和注意事项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2.不同类型物业尽职调查的风险点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（四）会计和税收实务探讨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1.REITs的会计介绍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2.REITs的税收实务研讨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（五）REITs的投资逻辑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1.机构投资者对REITs的投资动机及其需求分析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left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2.REITs与其他投资的比较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模块三: 专项债券类型与内容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（一）专项债券的性质与特征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1.专项债券的五大特征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2.专项债权对项目收益的要求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3.政府性基金预算的特点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4.公益性项目如何对应政府基金预算或专项收入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（二）专项债券的政策背景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1.《国务院关于加强地方政府性债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务管理的意见》（国发〔2014〕43号）中提出的政府合规举债的途径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2.哪些模式目前无法做或不合规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3.专项债的优势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（三）专项债权“借用还”的基本原则及实务理解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1.借：法定限额管理、省级政府发债模式、全口径预算管理等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2.用：公益性资本支出、专款专用等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3.还：自借自还、科目偿债责任、项目偿债责任等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（四）地方政府专项债券的类型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1.置换专项债券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2.新增专项债券（普通专项债、项目收益专项债）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3.再融资专项债券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4.普通专项债券与项目收益专项债券的区别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5.重大项目专项债券（国常会及财政部最新部署安排）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（五）专项债券的要素实务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1.构成专项债券内容的八大要素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2.各要素的实操应用要点及注意事项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（六）专项债券与其他模式的组合应用要点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1.专项债券+项目资本金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2.专项债券+银行贷款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3.专项债券+PPP模式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模块四:专项债券的限额、预算和发行以及财务分析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（一）正常下达限额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1.限额的审批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2.限额下达前的建议、限额的逐级下达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3.正常下达限额的发债节奏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（二）提前下达限额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（三）历年统计限额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（四）全口径预算管理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（五）专项债券的发行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1.公开承销模式及其特点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2.招标模式（荷兰式招标与美国式招标）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3.地方专项债在交易所发行上市业务流程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（六）什么是偿债备付率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（七）“可用于还本付息的现金流”的计算方法一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（八）“可用于还本付息的现金流”的计算方法二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（九）专项债券用于项目资本金时财务特征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（十）专项债券的参与主体及要求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1.发行和偿债主体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2.各级政府分工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3.投资人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4.托管机构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5.中介服务机构（承销商、评级机构、会所、律所等）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模块五:专项债券的合规性审查以及申报全流程解读和案例解析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（一）参与方的合规性审查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（二）债券与项目的合规性审查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（三）债券发行的信息披露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（四）专项债券借用还的流程及环节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1.项目选择和策划的要点分析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2.项目方案编制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3.专业机构评价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4.项目申报和债券发行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5.资金使用和融资偿还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（五）分类发行专项债的相关方案制作及案例解析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1.交通基础设施类—机场专项债项目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2.能源类—供气专项债操作指引及湖南耒阳供气专项债项目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3.水利专项债—广东珠江三角洲水资源配置专项债项目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4.生态环保类专项债操作指引及—成都固废处理专项债项目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5.其他非标专项债项目案例介绍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 xml:space="preserve">模块六：PPP项目各利益方的本质剖析（目标设定）                   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（一）分析政府方、社会资本方/SPV公司、第三方机构参与PPP的最终目标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（二）社会资本方/SPV公司的最终目标与实现障碍剖析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（三）对标分析，确立核心要点（本项是SPV公司管理中最容易出问题的地方，也是下面所有模块课程的计准前提，所以必须存在）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模块七：基于案例的SPV公司管理全剖解（PD：任务分解）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（一）SPV公司经营管理内容全分解，及其风险分析与应对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1.SPV公司成立前的关键工作剖解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2.SPV公司成立后，《股东协议》、《公司章程》的具体工作WBS分解：注册资本金、项目资本金的到位；三会议案清单的分解与执行；股东会、董事会、监事会、总经理办公会的分解与执行等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3.工商管理内容全分解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（二）PPP项目工程管理全分解，及其风险分析与应对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1.识别、准备、执行阶段的行政合规性手续及程序合规性手续WBS分解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2.主合同管理与执行WBS分解（《PPP项目合同》《融资协议》《施工总承包合同》），第三方转移合同管理与执行WBS分解，SPV公司主导合同管理与执行WBS分解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3.其他管理工作范围WBS分解与解析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4.36个执行项目管理经验性建议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（三）行业运营管理部分分析与应对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模块八：基于案例的高频典型实务问题解析（CA：检查纠偏）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（一）超概问题的成因与应对专题解析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（二）无证施工的风险分析与应对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（三）政府口头通知、基金模式、股东借款、设计优化的风险分析与应对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（四）30%建设成本绩效考核、三方合同承继、政府投资缩小风险分析与应对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（五）开工日期确定、档案信息范围等问题的风险分析与应对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ascii="华文仿宋" w:hAnsi="华文仿宋" w:eastAsia="华文仿宋"/>
          <w:spacing w:val="6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（六）PPP项目的变更、签证、索赔专题解析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模块九：PPP项目的绩效考核专题解析（实践高效成果）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（一）绩效考核原则解析；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00" w:lineRule="exact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广义与狭义：年度绩效考核、中期评估、项目后评价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00" w:lineRule="exact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绩效考核逻辑：产出说明、绩效考核原则、PPP项目合同（绩效考核办法和细则）、执行与实施、绩效考核与付费、PDCA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00" w:lineRule="exact"/>
        <w:textAlignment w:val="auto"/>
        <w:rPr>
          <w:rFonts w:ascii="华文仿宋" w:hAnsi="华文仿宋" w:eastAsia="华文仿宋"/>
          <w:bCs/>
          <w:spacing w:val="6"/>
          <w:sz w:val="30"/>
          <w:szCs w:val="30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绩效考核关键七要点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（二）绩效考核相关政策重点解析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00" w:lineRule="exact"/>
        <w:ind w:left="567" w:leftChars="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1.财办金〔2017〕92号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00" w:lineRule="exact"/>
        <w:ind w:left="567" w:leftChars="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2.财金〔2020〕13号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00" w:lineRule="exact"/>
        <w:ind w:left="567" w:leftChars="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3.政策规定总结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（三）项目案例示范解析</w:t>
      </w:r>
    </w:p>
    <w:p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00" w:lineRule="exact"/>
        <w:textAlignment w:val="auto"/>
        <w:rPr>
          <w:rFonts w:ascii="华文仿宋" w:hAnsi="华文仿宋" w:eastAsia="华文仿宋"/>
          <w:bCs/>
          <w:spacing w:val="6"/>
          <w:sz w:val="30"/>
          <w:szCs w:val="30"/>
        </w:rPr>
      </w:pPr>
      <w:r>
        <w:rPr>
          <w:rFonts w:hint="eastAsia" w:ascii="华文仿宋" w:hAnsi="华文仿宋" w:eastAsia="华文仿宋"/>
          <w:bCs/>
          <w:spacing w:val="6"/>
          <w:sz w:val="30"/>
          <w:szCs w:val="30"/>
        </w:rPr>
        <w:t>MIC项目考核解析</w:t>
      </w:r>
    </w:p>
    <w:p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00" w:lineRule="exact"/>
        <w:textAlignment w:val="auto"/>
        <w:rPr>
          <w:rFonts w:ascii="华文仿宋" w:hAnsi="华文仿宋" w:eastAsia="华文仿宋"/>
          <w:bCs/>
          <w:spacing w:val="6"/>
          <w:sz w:val="30"/>
          <w:szCs w:val="30"/>
        </w:rPr>
      </w:pPr>
      <w:r>
        <w:rPr>
          <w:rFonts w:hint="eastAsia" w:ascii="华文仿宋" w:hAnsi="华文仿宋" w:eastAsia="华文仿宋"/>
          <w:bCs/>
          <w:spacing w:val="6"/>
          <w:sz w:val="30"/>
          <w:szCs w:val="30"/>
        </w:rPr>
        <w:t>某市政路桥项目解析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模块十：PPP项目执行经验总结与建议（总结提炼）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（一）SPV公司角度执行经验提炼与建议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（二）个人角度经验总结与建议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模块十一：实务问题互动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（一）SPV公司实务作业的解析和示范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（二）学员实务问题分析与解答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50" w:line="300" w:lineRule="exac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（三）部分应用成果展示、建议与总结</w:t>
      </w:r>
    </w:p>
    <w:p>
      <w:pPr>
        <w:autoSpaceDE/>
        <w:autoSpaceDN/>
        <w:adjustRightInd/>
        <w:spacing w:line="360" w:lineRule="auto"/>
        <w:ind w:firstLine="560" w:firstLineChars="200"/>
        <w:jc w:val="both"/>
        <w:rPr>
          <w:rFonts w:hint="default" w:ascii="仿宋" w:hAnsi="仿宋" w:eastAsia="仿宋" w:cs="仿宋"/>
          <w:bCs/>
          <w:kern w:val="2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</w:p>
    <w:p>
      <w:pPr>
        <w:widowControl/>
        <w:autoSpaceDE/>
        <w:autoSpaceDN/>
        <w:spacing w:line="360" w:lineRule="exact"/>
        <w:jc w:val="center"/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  <w:lang w:val="zh-CN"/>
        </w:rPr>
      </w:pP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  <w:t>附件</w:t>
      </w:r>
      <w:r>
        <w:rPr>
          <w:rStyle w:val="11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二</w:t>
      </w: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  <w:t>.</w:t>
      </w:r>
      <w:r>
        <w:rPr>
          <w:b w:val="0"/>
          <w:bCs w:val="0"/>
        </w:rPr>
        <w:t xml:space="preserve"> </w:t>
      </w:r>
      <w:r>
        <w:rPr>
          <w:rStyle w:val="11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2020基建REITs 专项债券“借用还”全过程管理及PPP绩效考核      SPV运营 竣工验收与审计专题培训班</w:t>
      </w:r>
      <w:r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  <w:lang w:val="zh-CN"/>
        </w:rPr>
        <w:t>报名回执表</w:t>
      </w:r>
    </w:p>
    <w:p>
      <w:pPr>
        <w:widowControl/>
        <w:autoSpaceDE/>
        <w:autoSpaceDN/>
        <w:spacing w:line="360" w:lineRule="exact"/>
        <w:jc w:val="center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  <w:lang w:val="zh-CN"/>
        </w:rPr>
      </w:pPr>
    </w:p>
    <w:p>
      <w:pPr>
        <w:widowControl/>
        <w:autoSpaceDE/>
        <w:autoSpaceDN/>
        <w:spacing w:line="360" w:lineRule="exact"/>
        <w:jc w:val="both"/>
        <w:rPr>
          <w:rStyle w:val="11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11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 xml:space="preserve">报名负责人：聂红军 主任18211071700（微信）  qq咨询：3177524020 </w:t>
      </w:r>
    </w:p>
    <w:p>
      <w:pPr>
        <w:widowControl/>
        <w:autoSpaceDE/>
        <w:autoSpaceDN/>
        <w:spacing w:line="360" w:lineRule="exact"/>
        <w:jc w:val="both"/>
        <w:rPr>
          <w:rStyle w:val="11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11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 xml:space="preserve">电      话：010-87697580             </w:t>
      </w:r>
      <w:r>
        <w:rPr>
          <w:rStyle w:val="11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Style w:val="11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 xml:space="preserve">       邮  箱：zqgphwz@126.com  </w:t>
      </w:r>
    </w:p>
    <w:p>
      <w:pPr>
        <w:widowControl/>
        <w:autoSpaceDE/>
        <w:autoSpaceDN/>
        <w:spacing w:line="360" w:lineRule="exact"/>
        <w:jc w:val="both"/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11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 xml:space="preserve">网址查询：http://www.zqgpchina.cn/ </w:t>
      </w:r>
    </w:p>
    <w:tbl>
      <w:tblPr>
        <w:tblStyle w:val="9"/>
        <w:tblpPr w:leftFromText="180" w:rightFromText="180" w:vertAnchor="page" w:horzAnchor="margin" w:tblpY="230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849"/>
        <w:gridCol w:w="1282"/>
        <w:gridCol w:w="1984"/>
        <w:gridCol w:w="157"/>
        <w:gridCol w:w="893"/>
        <w:gridCol w:w="103"/>
        <w:gridCol w:w="541"/>
        <w:gridCol w:w="29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单位名称</w:t>
            </w:r>
          </w:p>
        </w:tc>
        <w:tc>
          <w:tcPr>
            <w:tcW w:w="516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邮编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单位地址</w:t>
            </w:r>
          </w:p>
        </w:tc>
        <w:tc>
          <w:tcPr>
            <w:tcW w:w="8084" w:type="dxa"/>
            <w:gridSpan w:val="9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联系人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职位/岗位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办公电话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手    机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传   真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电子信箱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参加培训人员</w:t>
            </w: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职务</w:t>
            </w: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电话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手机</w:t>
            </w: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/>
                <w:bCs/>
                <w:kern w:val="2"/>
                <w:szCs w:val="22"/>
              </w:rPr>
              <w:t>是否住宿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□是     □否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 w:firstLine="240" w:firstLineChars="10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住宿标准</w:t>
            </w:r>
          </w:p>
        </w:tc>
        <w:tc>
          <w:tcPr>
            <w:tcW w:w="3969" w:type="dxa"/>
            <w:gridSpan w:val="6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Times New Roman" w:hAnsi="Times New Roman"/>
                <w:kern w:val="2"/>
                <w:sz w:val="21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□单住(需另补床位费)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/>
                <w:bCs/>
                <w:kern w:val="2"/>
                <w:szCs w:val="22"/>
              </w:rPr>
              <w:t>参会地点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Fonts w:hint="default" w:ascii="仿宋_GB2312" w:hAnsi="Times New Roman" w:eastAsia="仿宋_GB2312"/>
                <w:color w:val="FF0000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241" w:firstLineChars="100"/>
              <w:rPr>
                <w:rFonts w:hint="default" w:ascii="仿宋_GB2312" w:hAnsi="Times New Roman" w:eastAsia="仿宋_GB2312"/>
                <w:b/>
                <w:color w:val="000000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/>
                <w:color w:val="000000"/>
                <w:kern w:val="2"/>
                <w:szCs w:val="22"/>
              </w:rPr>
              <w:t>证书申报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240" w:firstLineChars="100"/>
              <w:rPr>
                <w:rFonts w:hint="default" w:ascii="仿宋_GB2312" w:hAnsi="Times New Roman" w:eastAsia="仿宋_GB2312"/>
                <w:color w:val="FF000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/>
                <w:bCs/>
                <w:kern w:val="2"/>
                <w:szCs w:val="22"/>
              </w:rPr>
              <w:t>标准选项</w:t>
            </w:r>
          </w:p>
        </w:tc>
        <w:tc>
          <w:tcPr>
            <w:tcW w:w="8084" w:type="dxa"/>
            <w:gridSpan w:val="9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Fonts w:hint="default" w:ascii="仿宋_GB2312" w:hAnsi="Times New Roman" w:eastAsia="仿宋_GB2312"/>
                <w:color w:val="000000"/>
                <w:kern w:val="2"/>
                <w:szCs w:val="22"/>
              </w:rPr>
            </w:pPr>
            <w:r>
              <w:rPr>
                <w:rFonts w:ascii="仿宋_GB2312" w:eastAsia="仿宋_GB2312" w:cs="宋体"/>
                <w:b/>
                <w:color w:val="000000"/>
                <w:sz w:val="28"/>
                <w:szCs w:val="28"/>
              </w:rPr>
              <w:t>A</w:t>
            </w:r>
            <w:r>
              <w:rPr>
                <w:rFonts w:hint="eastAsia" w:ascii="仿宋_GB2312" w:eastAsia="仿宋_GB2312" w:cs="宋体"/>
                <w:b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2980元</w:t>
            </w:r>
            <w:r>
              <w:rPr>
                <w:rFonts w:ascii="仿宋_GB2312" w:hAnsi="Times New Roman" w:eastAsia="仿宋_GB2312"/>
                <w:color w:val="000000"/>
                <w:kern w:val="2"/>
                <w:szCs w:val="22"/>
              </w:rPr>
              <w:t xml:space="preserve">□      </w:t>
            </w:r>
            <w:r>
              <w:rPr>
                <w:rFonts w:ascii="仿宋_GB2312" w:eastAsia="仿宋_GB2312" w:cs="宋体"/>
                <w:b/>
                <w:bCs/>
                <w:color w:val="000000"/>
                <w:sz w:val="28"/>
                <w:szCs w:val="28"/>
              </w:rPr>
              <w:t xml:space="preserve"> B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3980元</w:t>
            </w:r>
            <w:r>
              <w:rPr>
                <w:rFonts w:ascii="仿宋_GB2312" w:hAnsi="Times New Roman" w:eastAsia="仿宋_GB2312"/>
                <w:color w:val="000000"/>
                <w:kern w:val="2"/>
                <w:szCs w:val="22"/>
              </w:rPr>
              <w:t xml:space="preserve">□    </w:t>
            </w:r>
            <w:r>
              <w:rPr>
                <w:rFonts w:ascii="仿宋_GB2312" w:eastAsia="仿宋_GB2312" w:cs="宋体"/>
                <w:b/>
                <w:bCs/>
                <w:color w:val="000000"/>
                <w:sz w:val="28"/>
                <w:szCs w:val="28"/>
              </w:rPr>
              <w:t xml:space="preserve"> C</w:t>
            </w: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.5980元</w:t>
            </w:r>
            <w:r>
              <w:rPr>
                <w:rFonts w:ascii="仿宋_GB2312" w:hAnsi="Times New Roman" w:eastAsia="仿宋_GB2312"/>
                <w:color w:val="000000"/>
                <w:kern w:val="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63" w:type="dxa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/>
                <w:bCs/>
                <w:kern w:val="2"/>
                <w:szCs w:val="22"/>
              </w:rPr>
              <w:t>付款方式</w:t>
            </w:r>
          </w:p>
        </w:tc>
        <w:tc>
          <w:tcPr>
            <w:tcW w:w="4272" w:type="dxa"/>
            <w:gridSpan w:val="4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2"/>
                <w:szCs w:val="22"/>
                <w:lang w:eastAsia="zh-CN"/>
              </w:rPr>
              <w:t>□</w:t>
            </w:r>
            <w:r>
              <w:rPr>
                <w:rFonts w:ascii="仿宋_GB2312" w:hAnsi="Times New Roman" w:eastAsia="仿宋_GB2312"/>
                <w:kern w:val="2"/>
                <w:szCs w:val="22"/>
              </w:rPr>
              <w:t xml:space="preserve">银行     □网银 </w:t>
            </w:r>
          </w:p>
        </w:tc>
        <w:tc>
          <w:tcPr>
            <w:tcW w:w="996" w:type="dxa"/>
            <w:gridSpan w:val="2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金额</w:t>
            </w:r>
          </w:p>
        </w:tc>
        <w:tc>
          <w:tcPr>
            <w:tcW w:w="2816" w:type="dxa"/>
            <w:gridSpan w:val="3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3" w:type="dxa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/>
                <w:bCs/>
                <w:kern w:val="2"/>
                <w:szCs w:val="22"/>
              </w:rPr>
              <w:t>需要与专家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/>
                <w:bCs/>
                <w:kern w:val="2"/>
                <w:szCs w:val="22"/>
              </w:rPr>
              <w:t>沟通的问题</w:t>
            </w:r>
          </w:p>
        </w:tc>
        <w:tc>
          <w:tcPr>
            <w:tcW w:w="8084" w:type="dxa"/>
            <w:gridSpan w:val="9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/>
                <w:bCs/>
                <w:kern w:val="2"/>
                <w:szCs w:val="22"/>
              </w:rPr>
              <w:t>收款</w:t>
            </w:r>
            <w:r>
              <w:rPr>
                <w:rFonts w:hint="eastAsia" w:ascii="仿宋_GB2312" w:hAnsi="Times New Roman" w:eastAsia="仿宋_GB2312"/>
                <w:b/>
                <w:bCs/>
                <w:kern w:val="2"/>
                <w:szCs w:val="22"/>
                <w:lang w:val="en-US" w:eastAsia="zh-CN"/>
              </w:rPr>
              <w:t>账</w:t>
            </w:r>
            <w:r>
              <w:rPr>
                <w:rFonts w:ascii="仿宋_GB2312" w:hAnsi="Times New Roman" w:eastAsia="仿宋_GB2312"/>
                <w:b/>
                <w:bCs/>
                <w:kern w:val="2"/>
                <w:szCs w:val="22"/>
              </w:rPr>
              <w:t>户</w:t>
            </w:r>
          </w:p>
        </w:tc>
        <w:tc>
          <w:tcPr>
            <w:tcW w:w="8084" w:type="dxa"/>
            <w:gridSpan w:val="9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lang w:val="zh-CN"/>
              </w:rPr>
              <w:t xml:space="preserve">单位名称： 北京中建科信管理咨询集团有限公司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lang w:val="zh-CN"/>
              </w:rPr>
              <w:t>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zh-CN"/>
              </w:rPr>
              <w:t>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zh-CN"/>
              </w:rPr>
              <w:t xml:space="preserve">行： 中国工商银行股份有限公司北京半壁店支行 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lang w:val="zh-CN"/>
              </w:rPr>
              <w:t>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zh-CN"/>
              </w:rPr>
              <w:t>号： 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66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备注</w:t>
            </w:r>
          </w:p>
        </w:tc>
        <w:tc>
          <w:tcPr>
            <w:tcW w:w="516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left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eastAsia="仿宋_GB2312"/>
                <w:szCs w:val="22"/>
              </w:rPr>
              <w:t>请将《报名回执表》回传至会务组，并在报名3日内办理培训费，会务组确认到款后即发《参会凭证》，详细说明培训具体安排事项。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1080" w:firstLineChars="45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单位印章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 w:firstLine="720" w:firstLineChars="30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2"/>
                <w:szCs w:val="22"/>
                <w:lang w:val="en-US" w:eastAsia="zh-CN"/>
              </w:rPr>
              <w:t>2020</w:t>
            </w:r>
            <w:r>
              <w:rPr>
                <w:rFonts w:ascii="仿宋_GB2312" w:hAnsi="Times New Roman" w:eastAsia="仿宋_GB2312"/>
                <w:kern w:val="2"/>
                <w:szCs w:val="22"/>
              </w:rPr>
              <w:t>年  月  日</w:t>
            </w:r>
          </w:p>
        </w:tc>
      </w:tr>
    </w:tbl>
    <w:p>
      <w:pPr>
        <w:autoSpaceDE/>
        <w:autoSpaceDN/>
        <w:adjustRightInd/>
        <w:spacing w:line="560" w:lineRule="exact"/>
        <w:ind w:firstLine="560" w:firstLineChars="200"/>
        <w:jc w:val="both"/>
        <w:rPr>
          <w:rFonts w:hint="default" w:ascii="仿宋" w:hAnsi="仿宋" w:eastAsia="仿宋" w:cs="仿宋"/>
          <w:bCs/>
          <w:kern w:val="2"/>
          <w:sz w:val="28"/>
          <w:szCs w:val="28"/>
        </w:rPr>
      </w:pPr>
    </w:p>
    <w:p>
      <w:pPr>
        <w:widowControl/>
        <w:autoSpaceDE/>
        <w:autoSpaceDN/>
        <w:spacing w:line="360" w:lineRule="exact"/>
        <w:rPr>
          <w:rStyle w:val="11"/>
          <w:rFonts w:ascii="黑体" w:hAnsi="黑体" w:eastAsia="黑体" w:cs="黑体"/>
          <w:b w:val="0"/>
          <w:bCs w:val="0"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2350"/>
    <w:multiLevelType w:val="multilevel"/>
    <w:tmpl w:val="06EB2350"/>
    <w:lvl w:ilvl="0" w:tentative="0">
      <w:start w:val="1"/>
      <w:numFmt w:val="decimal"/>
      <w:lvlText w:val="%1."/>
      <w:lvlJc w:val="left"/>
      <w:pPr>
        <w:ind w:left="987" w:hanging="420"/>
      </w:pPr>
    </w:lvl>
    <w:lvl w:ilvl="1" w:tentative="0">
      <w:start w:val="3"/>
      <w:numFmt w:val="japaneseCounting"/>
      <w:lvlText w:val="（%2）"/>
      <w:lvlJc w:val="left"/>
      <w:pPr>
        <w:ind w:left="2067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695D5070"/>
    <w:multiLevelType w:val="multilevel"/>
    <w:tmpl w:val="695D5070"/>
    <w:lvl w:ilvl="0" w:tentative="0">
      <w:start w:val="1"/>
      <w:numFmt w:val="decimal"/>
      <w:lvlText w:val="%1."/>
      <w:lvlJc w:val="left"/>
      <w:pPr>
        <w:ind w:left="987" w:hanging="420"/>
      </w:pPr>
    </w:lvl>
    <w:lvl w:ilvl="1" w:tentative="0">
      <w:start w:val="3"/>
      <w:numFmt w:val="japaneseCounting"/>
      <w:lvlText w:val="（%2）"/>
      <w:lvlJc w:val="left"/>
      <w:pPr>
        <w:ind w:left="2067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18"/>
    <w:rsid w:val="000111BB"/>
    <w:rsid w:val="00035C2D"/>
    <w:rsid w:val="00067BD4"/>
    <w:rsid w:val="0009632B"/>
    <w:rsid w:val="000B5CF0"/>
    <w:rsid w:val="000E468A"/>
    <w:rsid w:val="000F0735"/>
    <w:rsid w:val="001320AD"/>
    <w:rsid w:val="001B15FC"/>
    <w:rsid w:val="001D5820"/>
    <w:rsid w:val="001F266D"/>
    <w:rsid w:val="001F2CC6"/>
    <w:rsid w:val="001F5DBA"/>
    <w:rsid w:val="002016D4"/>
    <w:rsid w:val="00262218"/>
    <w:rsid w:val="002733FA"/>
    <w:rsid w:val="002A5354"/>
    <w:rsid w:val="002D7C2D"/>
    <w:rsid w:val="00303B6C"/>
    <w:rsid w:val="00360AC6"/>
    <w:rsid w:val="00366D1D"/>
    <w:rsid w:val="003D3698"/>
    <w:rsid w:val="003F712A"/>
    <w:rsid w:val="004127EC"/>
    <w:rsid w:val="0042016E"/>
    <w:rsid w:val="0042243A"/>
    <w:rsid w:val="00444929"/>
    <w:rsid w:val="00490AAB"/>
    <w:rsid w:val="004B699A"/>
    <w:rsid w:val="004C2C6B"/>
    <w:rsid w:val="00510FDD"/>
    <w:rsid w:val="005258A8"/>
    <w:rsid w:val="005F7916"/>
    <w:rsid w:val="006011E8"/>
    <w:rsid w:val="00601C30"/>
    <w:rsid w:val="00605B40"/>
    <w:rsid w:val="00616606"/>
    <w:rsid w:val="00657822"/>
    <w:rsid w:val="00663868"/>
    <w:rsid w:val="00670351"/>
    <w:rsid w:val="006E23D4"/>
    <w:rsid w:val="006F117C"/>
    <w:rsid w:val="006F58F0"/>
    <w:rsid w:val="00724E89"/>
    <w:rsid w:val="00760628"/>
    <w:rsid w:val="0078469F"/>
    <w:rsid w:val="00786656"/>
    <w:rsid w:val="007A06B7"/>
    <w:rsid w:val="007B7767"/>
    <w:rsid w:val="007F5FC8"/>
    <w:rsid w:val="00832BCD"/>
    <w:rsid w:val="00836D30"/>
    <w:rsid w:val="00860964"/>
    <w:rsid w:val="00881445"/>
    <w:rsid w:val="00882120"/>
    <w:rsid w:val="008B199B"/>
    <w:rsid w:val="008E378E"/>
    <w:rsid w:val="008E633F"/>
    <w:rsid w:val="008E79C6"/>
    <w:rsid w:val="009176A2"/>
    <w:rsid w:val="00920D6E"/>
    <w:rsid w:val="00925ADE"/>
    <w:rsid w:val="009308F0"/>
    <w:rsid w:val="00930C9B"/>
    <w:rsid w:val="009472B7"/>
    <w:rsid w:val="00957A5B"/>
    <w:rsid w:val="00981D3A"/>
    <w:rsid w:val="009A4718"/>
    <w:rsid w:val="00A17C72"/>
    <w:rsid w:val="00A21947"/>
    <w:rsid w:val="00A35324"/>
    <w:rsid w:val="00A55121"/>
    <w:rsid w:val="00A6651E"/>
    <w:rsid w:val="00A76A48"/>
    <w:rsid w:val="00AB4C35"/>
    <w:rsid w:val="00AF6597"/>
    <w:rsid w:val="00B865F7"/>
    <w:rsid w:val="00B87A6C"/>
    <w:rsid w:val="00B953A2"/>
    <w:rsid w:val="00BC37A5"/>
    <w:rsid w:val="00BE0FB0"/>
    <w:rsid w:val="00C10B2E"/>
    <w:rsid w:val="00C44BC1"/>
    <w:rsid w:val="00C5747F"/>
    <w:rsid w:val="00C7524A"/>
    <w:rsid w:val="00C96EFB"/>
    <w:rsid w:val="00CE67E2"/>
    <w:rsid w:val="00CF1181"/>
    <w:rsid w:val="00D47982"/>
    <w:rsid w:val="00D52AF1"/>
    <w:rsid w:val="00D74547"/>
    <w:rsid w:val="00DA154B"/>
    <w:rsid w:val="00DB62D4"/>
    <w:rsid w:val="00DC5B74"/>
    <w:rsid w:val="00E23AA1"/>
    <w:rsid w:val="00E24129"/>
    <w:rsid w:val="00E364AD"/>
    <w:rsid w:val="00E40FB3"/>
    <w:rsid w:val="00E51A5B"/>
    <w:rsid w:val="00E54A37"/>
    <w:rsid w:val="00E73D9A"/>
    <w:rsid w:val="00EB3F9D"/>
    <w:rsid w:val="00EC2070"/>
    <w:rsid w:val="00F2027E"/>
    <w:rsid w:val="00F31608"/>
    <w:rsid w:val="00F52CD5"/>
    <w:rsid w:val="00F75886"/>
    <w:rsid w:val="00F847DA"/>
    <w:rsid w:val="00FA5D57"/>
    <w:rsid w:val="00FD7D45"/>
    <w:rsid w:val="0115065C"/>
    <w:rsid w:val="01873FBC"/>
    <w:rsid w:val="01DF42FA"/>
    <w:rsid w:val="024758F8"/>
    <w:rsid w:val="02801BA8"/>
    <w:rsid w:val="02B35ADF"/>
    <w:rsid w:val="02B56ADF"/>
    <w:rsid w:val="02BA162B"/>
    <w:rsid w:val="03BD2A1A"/>
    <w:rsid w:val="03BF1326"/>
    <w:rsid w:val="04FA6554"/>
    <w:rsid w:val="055F0F75"/>
    <w:rsid w:val="059A2F73"/>
    <w:rsid w:val="05C74530"/>
    <w:rsid w:val="063F355E"/>
    <w:rsid w:val="065D27E9"/>
    <w:rsid w:val="06A1358A"/>
    <w:rsid w:val="06A76AC5"/>
    <w:rsid w:val="06CB4A13"/>
    <w:rsid w:val="07DD1D97"/>
    <w:rsid w:val="08112C52"/>
    <w:rsid w:val="08B577EC"/>
    <w:rsid w:val="09D006F9"/>
    <w:rsid w:val="0AC45ADA"/>
    <w:rsid w:val="0AE00BC8"/>
    <w:rsid w:val="0B026759"/>
    <w:rsid w:val="0B1556CE"/>
    <w:rsid w:val="0BD31815"/>
    <w:rsid w:val="0C275820"/>
    <w:rsid w:val="0C425833"/>
    <w:rsid w:val="0C757B9B"/>
    <w:rsid w:val="0C91247E"/>
    <w:rsid w:val="0CC94096"/>
    <w:rsid w:val="0DA135C5"/>
    <w:rsid w:val="0DC7149B"/>
    <w:rsid w:val="0E6A7443"/>
    <w:rsid w:val="0ED45BB5"/>
    <w:rsid w:val="0EFD0426"/>
    <w:rsid w:val="0F055BA7"/>
    <w:rsid w:val="0F0A04CA"/>
    <w:rsid w:val="0F171E00"/>
    <w:rsid w:val="0F816F20"/>
    <w:rsid w:val="1006617B"/>
    <w:rsid w:val="108965B9"/>
    <w:rsid w:val="10AD08D4"/>
    <w:rsid w:val="115E0DC8"/>
    <w:rsid w:val="11963A6B"/>
    <w:rsid w:val="11AB1900"/>
    <w:rsid w:val="12116CF5"/>
    <w:rsid w:val="125B567F"/>
    <w:rsid w:val="125C71B0"/>
    <w:rsid w:val="12F1372D"/>
    <w:rsid w:val="14246519"/>
    <w:rsid w:val="14813515"/>
    <w:rsid w:val="155C0CB5"/>
    <w:rsid w:val="15603A65"/>
    <w:rsid w:val="158B3A6D"/>
    <w:rsid w:val="15AB2D48"/>
    <w:rsid w:val="160908F9"/>
    <w:rsid w:val="16624CCA"/>
    <w:rsid w:val="16700151"/>
    <w:rsid w:val="16816EC6"/>
    <w:rsid w:val="16D42978"/>
    <w:rsid w:val="16DB376C"/>
    <w:rsid w:val="16EA222E"/>
    <w:rsid w:val="1714344D"/>
    <w:rsid w:val="178E353B"/>
    <w:rsid w:val="17E562F3"/>
    <w:rsid w:val="18180676"/>
    <w:rsid w:val="18372402"/>
    <w:rsid w:val="189509C3"/>
    <w:rsid w:val="19A44506"/>
    <w:rsid w:val="19DB6AAB"/>
    <w:rsid w:val="1C303806"/>
    <w:rsid w:val="1C4117B3"/>
    <w:rsid w:val="1C526433"/>
    <w:rsid w:val="1C641BFC"/>
    <w:rsid w:val="1C886101"/>
    <w:rsid w:val="1D0E3A53"/>
    <w:rsid w:val="1D305B94"/>
    <w:rsid w:val="1D8E4419"/>
    <w:rsid w:val="1DAC0DCE"/>
    <w:rsid w:val="1DE91CFE"/>
    <w:rsid w:val="1DF56E00"/>
    <w:rsid w:val="1E206933"/>
    <w:rsid w:val="1F481CF3"/>
    <w:rsid w:val="20453B95"/>
    <w:rsid w:val="20BA1790"/>
    <w:rsid w:val="20E53D47"/>
    <w:rsid w:val="218528ED"/>
    <w:rsid w:val="22072402"/>
    <w:rsid w:val="22467BA5"/>
    <w:rsid w:val="22BC1795"/>
    <w:rsid w:val="23D26740"/>
    <w:rsid w:val="24C15DA9"/>
    <w:rsid w:val="25123D82"/>
    <w:rsid w:val="255B3710"/>
    <w:rsid w:val="25A2303B"/>
    <w:rsid w:val="25C16AB4"/>
    <w:rsid w:val="262354A3"/>
    <w:rsid w:val="26877902"/>
    <w:rsid w:val="27641A88"/>
    <w:rsid w:val="27F45FB8"/>
    <w:rsid w:val="288E3409"/>
    <w:rsid w:val="28FA5525"/>
    <w:rsid w:val="29765048"/>
    <w:rsid w:val="29A967FC"/>
    <w:rsid w:val="29CB5978"/>
    <w:rsid w:val="2A1463C5"/>
    <w:rsid w:val="2A753D5F"/>
    <w:rsid w:val="2AA30AB8"/>
    <w:rsid w:val="2ADE4A98"/>
    <w:rsid w:val="2B2D4EA7"/>
    <w:rsid w:val="2B350720"/>
    <w:rsid w:val="2C5D22DE"/>
    <w:rsid w:val="2CA40883"/>
    <w:rsid w:val="2D0E42D8"/>
    <w:rsid w:val="2E9040A3"/>
    <w:rsid w:val="2FDA21C9"/>
    <w:rsid w:val="2FF3794E"/>
    <w:rsid w:val="301227BA"/>
    <w:rsid w:val="30B6182D"/>
    <w:rsid w:val="30BF02BC"/>
    <w:rsid w:val="318E7FC4"/>
    <w:rsid w:val="320E3755"/>
    <w:rsid w:val="324D4047"/>
    <w:rsid w:val="326F69DE"/>
    <w:rsid w:val="33DD0BD9"/>
    <w:rsid w:val="33F643A0"/>
    <w:rsid w:val="34672D65"/>
    <w:rsid w:val="349C765D"/>
    <w:rsid w:val="34E178CF"/>
    <w:rsid w:val="34EF28C5"/>
    <w:rsid w:val="35045D6D"/>
    <w:rsid w:val="35416C6E"/>
    <w:rsid w:val="35C9302D"/>
    <w:rsid w:val="35C968DF"/>
    <w:rsid w:val="363707F1"/>
    <w:rsid w:val="36505182"/>
    <w:rsid w:val="3661655B"/>
    <w:rsid w:val="37C24B91"/>
    <w:rsid w:val="38723749"/>
    <w:rsid w:val="38B06C76"/>
    <w:rsid w:val="38B761EC"/>
    <w:rsid w:val="39364DEF"/>
    <w:rsid w:val="39B96CC3"/>
    <w:rsid w:val="39F239E4"/>
    <w:rsid w:val="3A86626A"/>
    <w:rsid w:val="3AA74822"/>
    <w:rsid w:val="3B346A17"/>
    <w:rsid w:val="3B6B0985"/>
    <w:rsid w:val="3BC94FF7"/>
    <w:rsid w:val="3C0744A0"/>
    <w:rsid w:val="3C9830FC"/>
    <w:rsid w:val="3CB632BE"/>
    <w:rsid w:val="3CC3605F"/>
    <w:rsid w:val="3D6F02C3"/>
    <w:rsid w:val="3EA465AA"/>
    <w:rsid w:val="41D26947"/>
    <w:rsid w:val="42140462"/>
    <w:rsid w:val="422D6A78"/>
    <w:rsid w:val="430223AE"/>
    <w:rsid w:val="437F3ADB"/>
    <w:rsid w:val="438A0138"/>
    <w:rsid w:val="44CA4883"/>
    <w:rsid w:val="45041B70"/>
    <w:rsid w:val="451E0702"/>
    <w:rsid w:val="45BC102D"/>
    <w:rsid w:val="45DC4AB6"/>
    <w:rsid w:val="460B7276"/>
    <w:rsid w:val="468E45FA"/>
    <w:rsid w:val="46CF32C5"/>
    <w:rsid w:val="47AE7D34"/>
    <w:rsid w:val="48157DDD"/>
    <w:rsid w:val="4821332C"/>
    <w:rsid w:val="48A82B51"/>
    <w:rsid w:val="48C96181"/>
    <w:rsid w:val="49481EDB"/>
    <w:rsid w:val="49866167"/>
    <w:rsid w:val="4A6452CB"/>
    <w:rsid w:val="4A9D0A10"/>
    <w:rsid w:val="4B0A0426"/>
    <w:rsid w:val="4BF90E00"/>
    <w:rsid w:val="4C1E23D7"/>
    <w:rsid w:val="4C7701B1"/>
    <w:rsid w:val="4D0E7FB6"/>
    <w:rsid w:val="4DEC12CD"/>
    <w:rsid w:val="4E025B04"/>
    <w:rsid w:val="4E870B39"/>
    <w:rsid w:val="4F2310A3"/>
    <w:rsid w:val="4F3867AD"/>
    <w:rsid w:val="4F6439C3"/>
    <w:rsid w:val="4FDB312C"/>
    <w:rsid w:val="505E5D0C"/>
    <w:rsid w:val="50736840"/>
    <w:rsid w:val="507738B4"/>
    <w:rsid w:val="507D26F0"/>
    <w:rsid w:val="510B1C36"/>
    <w:rsid w:val="516375CA"/>
    <w:rsid w:val="537C7F93"/>
    <w:rsid w:val="53C87612"/>
    <w:rsid w:val="53DC6599"/>
    <w:rsid w:val="544F0AA9"/>
    <w:rsid w:val="55822B8C"/>
    <w:rsid w:val="55921102"/>
    <w:rsid w:val="5685733F"/>
    <w:rsid w:val="574771F4"/>
    <w:rsid w:val="57764AFC"/>
    <w:rsid w:val="57F227C1"/>
    <w:rsid w:val="584E7013"/>
    <w:rsid w:val="59D55AC8"/>
    <w:rsid w:val="59EB787F"/>
    <w:rsid w:val="5A9F29EB"/>
    <w:rsid w:val="5B082961"/>
    <w:rsid w:val="5B0A0F3F"/>
    <w:rsid w:val="5B80366A"/>
    <w:rsid w:val="5C1C7827"/>
    <w:rsid w:val="5C974BDA"/>
    <w:rsid w:val="5CD91E7E"/>
    <w:rsid w:val="5CF5417B"/>
    <w:rsid w:val="5D125496"/>
    <w:rsid w:val="5DBC4F9A"/>
    <w:rsid w:val="5DBF1EC3"/>
    <w:rsid w:val="5E08413C"/>
    <w:rsid w:val="5E7D081B"/>
    <w:rsid w:val="5E834FCF"/>
    <w:rsid w:val="5F112445"/>
    <w:rsid w:val="5F9F436E"/>
    <w:rsid w:val="5FA21376"/>
    <w:rsid w:val="5FA27331"/>
    <w:rsid w:val="5FD513B4"/>
    <w:rsid w:val="602E7496"/>
    <w:rsid w:val="6137158E"/>
    <w:rsid w:val="61D74FCE"/>
    <w:rsid w:val="62070461"/>
    <w:rsid w:val="62244D2D"/>
    <w:rsid w:val="62803516"/>
    <w:rsid w:val="63034AA9"/>
    <w:rsid w:val="63052B47"/>
    <w:rsid w:val="6332194F"/>
    <w:rsid w:val="6416365B"/>
    <w:rsid w:val="65281737"/>
    <w:rsid w:val="657C0323"/>
    <w:rsid w:val="659521A5"/>
    <w:rsid w:val="6607320A"/>
    <w:rsid w:val="668750DD"/>
    <w:rsid w:val="67DD33BA"/>
    <w:rsid w:val="682517F2"/>
    <w:rsid w:val="683F6B42"/>
    <w:rsid w:val="68426149"/>
    <w:rsid w:val="69115685"/>
    <w:rsid w:val="6977160B"/>
    <w:rsid w:val="69AB37A4"/>
    <w:rsid w:val="6A1F1DCE"/>
    <w:rsid w:val="6A34700B"/>
    <w:rsid w:val="6A35099F"/>
    <w:rsid w:val="6A881BC4"/>
    <w:rsid w:val="6B210905"/>
    <w:rsid w:val="6B4216B7"/>
    <w:rsid w:val="6B990934"/>
    <w:rsid w:val="6BC67A3E"/>
    <w:rsid w:val="6BD31665"/>
    <w:rsid w:val="6BDF4F70"/>
    <w:rsid w:val="6C6421C5"/>
    <w:rsid w:val="6D2828CF"/>
    <w:rsid w:val="6D892F8A"/>
    <w:rsid w:val="6E493106"/>
    <w:rsid w:val="6ED645B3"/>
    <w:rsid w:val="6EE741E3"/>
    <w:rsid w:val="6F1116E2"/>
    <w:rsid w:val="6F7955F4"/>
    <w:rsid w:val="6FA943CE"/>
    <w:rsid w:val="70CE4924"/>
    <w:rsid w:val="70F50F31"/>
    <w:rsid w:val="715058B1"/>
    <w:rsid w:val="71CC59C1"/>
    <w:rsid w:val="721B0BB0"/>
    <w:rsid w:val="728A72A8"/>
    <w:rsid w:val="73B52DB2"/>
    <w:rsid w:val="73CF0918"/>
    <w:rsid w:val="747B36FA"/>
    <w:rsid w:val="74E90082"/>
    <w:rsid w:val="75654176"/>
    <w:rsid w:val="759608A8"/>
    <w:rsid w:val="75DA7911"/>
    <w:rsid w:val="76697649"/>
    <w:rsid w:val="76D44FD5"/>
    <w:rsid w:val="77733156"/>
    <w:rsid w:val="7796460A"/>
    <w:rsid w:val="77C86B5E"/>
    <w:rsid w:val="77EC56A9"/>
    <w:rsid w:val="785D1EBF"/>
    <w:rsid w:val="78607772"/>
    <w:rsid w:val="78F26179"/>
    <w:rsid w:val="790D2B37"/>
    <w:rsid w:val="794E4160"/>
    <w:rsid w:val="797669EC"/>
    <w:rsid w:val="7A4805B8"/>
    <w:rsid w:val="7A504395"/>
    <w:rsid w:val="7BD400D4"/>
    <w:rsid w:val="7BDE019B"/>
    <w:rsid w:val="7C4A2CE0"/>
    <w:rsid w:val="7C4B1DF3"/>
    <w:rsid w:val="7C682145"/>
    <w:rsid w:val="7CF53CB4"/>
    <w:rsid w:val="7DAC0D04"/>
    <w:rsid w:val="7E324E80"/>
    <w:rsid w:val="7ED47C49"/>
    <w:rsid w:val="7F301A67"/>
    <w:rsid w:val="7F88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hint="default" w:cs="宋体"/>
      <w:szCs w:val="24"/>
    </w:rPr>
  </w:style>
  <w:style w:type="paragraph" w:styleId="8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widowControl/>
      <w:autoSpaceDE/>
      <w:autoSpaceDN/>
      <w:adjustRightInd/>
      <w:ind w:firstLine="420" w:firstLineChars="200"/>
    </w:pPr>
    <w:rPr>
      <w:rFonts w:hint="default" w:cs="宋体"/>
      <w:szCs w:val="24"/>
    </w:rPr>
  </w:style>
  <w:style w:type="character" w:customStyle="1" w:styleId="16">
    <w:name w:val="日期 Char"/>
    <w:basedOn w:val="10"/>
    <w:link w:val="4"/>
    <w:semiHidden/>
    <w:qFormat/>
    <w:uiPriority w:val="99"/>
    <w:rPr>
      <w:rFonts w:ascii="宋体" w:hAnsi="宋体" w:eastAsia="宋体" w:cs="Times New Roman"/>
      <w:kern w:val="0"/>
      <w:sz w:val="24"/>
      <w:szCs w:val="20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8">
    <w:name w:val="标题 Char"/>
    <w:basedOn w:val="10"/>
    <w:link w:val="8"/>
    <w:qFormat/>
    <w:uiPriority w:val="10"/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3E617-928A-4A27-926A-FFBE1524B3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593</Words>
  <Characters>3385</Characters>
  <Lines>28</Lines>
  <Paragraphs>7</Paragraphs>
  <TotalTime>13</TotalTime>
  <ScaleCrop>false</ScaleCrop>
  <LinksUpToDate>false</LinksUpToDate>
  <CharactersWithSpaces>3971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2018-12-29T00:33:00Z</dcterms:created>
  <dc:creator>微软用户</dc:creator>
  <cp:lastModifiedBy>Administrator</cp:lastModifiedBy>
  <cp:lastPrinted>2020-08-07T06:50:00Z</cp:lastPrinted>
  <dcterms:modified xsi:type="dcterms:W3CDTF">2020-08-14T00:58:56Z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