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jc w:val="center"/>
        </w:trPr>
        <w:tc>
          <w:tcPr>
            <w:tcW w:w="9248" w:type="dxa"/>
            <w:vAlign w:val="center"/>
          </w:tcPr>
          <w:p>
            <w:pPr>
              <w:jc w:val="distribute"/>
              <w:rPr>
                <w:rFonts w:ascii="宋体" w:hAnsi="宋体" w:eastAsia="宋体" w:cs="宋体"/>
                <w:color w:val="FF0000"/>
                <w:kern w:val="0"/>
                <w:sz w:val="70"/>
                <w:szCs w:val="70"/>
              </w:rPr>
            </w:pPr>
            <w:r>
              <w:rPr>
                <w:rFonts w:ascii="楷体" w:hAnsi="楷体" w:eastAsia="楷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FF0000"/>
                <w:kern w:val="0"/>
                <w:sz w:val="70"/>
                <w:szCs w:val="70"/>
              </w:rPr>
              <w:t>中 国 投 资 协 会</w:t>
            </w:r>
          </w:p>
          <w:p>
            <w:pPr>
              <w:jc w:val="distribute"/>
              <w:rPr>
                <w:rFonts w:ascii="楷体" w:hAnsi="楷体" w:eastAsia="楷体"/>
                <w:color w:val="FF0000"/>
                <w:kern w:val="0"/>
                <w:sz w:val="66"/>
                <w:szCs w:val="66"/>
              </w:rPr>
            </w:pPr>
            <w:r>
              <w:rPr>
                <w:rFonts w:hint="eastAsia" w:ascii="宋体" w:hAnsi="宋体" w:eastAsia="宋体" w:cs="宋体"/>
                <w:color w:val="FF0000"/>
                <w:kern w:val="0"/>
                <w:sz w:val="70"/>
                <w:szCs w:val="70"/>
              </w:rPr>
              <w:t>项目投融资专业委员会文件</w:t>
            </w:r>
          </w:p>
          <w:p>
            <w:pPr>
              <w:jc w:val="center"/>
              <w:rPr>
                <w:rFonts w:ascii="楷体" w:hAnsi="楷体" w:eastAsia="楷体"/>
                <w:color w:val="000000" w:themeColor="text1"/>
                <w:kern w:val="0"/>
                <w:sz w:val="66"/>
                <w:szCs w:val="66"/>
                <w14:textFill>
                  <w14:solidFill>
                    <w14:schemeClr w14:val="tx1"/>
                  </w14:solidFill>
                </w14:textFill>
              </w:rPr>
            </w:pPr>
            <w:r>
              <w:rPr>
                <w:rFonts w:hint="eastAsia" w:ascii="宋体" w:hAnsi="宋体" w:eastAsia="宋体" w:cs="宋体"/>
                <w:sz w:val="30"/>
                <w:szCs w:val="30"/>
              </w:rPr>
              <w:t>投融培字〔2020〕</w:t>
            </w:r>
            <w:r>
              <w:rPr>
                <w:rFonts w:hint="eastAsia" w:ascii="宋体" w:hAnsi="宋体" w:eastAsia="宋体" w:cs="宋体"/>
                <w:sz w:val="30"/>
                <w:szCs w:val="30"/>
                <w:lang w:val="en-US" w:eastAsia="zh-CN"/>
              </w:rPr>
              <w:t>20</w:t>
            </w:r>
            <w:r>
              <w:rPr>
                <w:rFonts w:hint="eastAsia" w:ascii="宋体" w:hAnsi="宋体" w:eastAsia="宋体" w:cs="宋体"/>
                <w:sz w:val="30"/>
                <w:szCs w:val="30"/>
              </w:rPr>
              <w:t>号</w:t>
            </w:r>
          </w:p>
        </w:tc>
      </w:tr>
    </w:tbl>
    <w:p>
      <w:pPr>
        <w:spacing w:line="440" w:lineRule="exact"/>
        <w:jc w:val="center"/>
        <w:rPr>
          <w:rFonts w:hint="eastAsia" w:ascii="华文中宋" w:hAnsi="华文中宋" w:eastAsia="华文中宋" w:cs="宋体"/>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宋体"/>
          <w:b/>
          <w:sz w:val="32"/>
          <w:szCs w:val="32"/>
          <w:lang w:val="en-US" w:eastAsia="zh-CN"/>
        </w:rPr>
      </w:pPr>
      <w:r>
        <w:rPr>
          <w:rFonts w:hint="eastAsia" w:ascii="华文中宋" w:hAnsi="华文中宋" w:eastAsia="华文中宋" w:cs="宋体"/>
          <w:b/>
          <w:sz w:val="32"/>
          <w:szCs w:val="32"/>
        </w:rPr>
        <w:t>关于举办</w:t>
      </w:r>
      <w:r>
        <w:rPr>
          <w:rFonts w:hint="eastAsia" w:ascii="华文中宋" w:hAnsi="华文中宋" w:eastAsia="华文中宋" w:cs="宋体"/>
          <w:b/>
          <w:sz w:val="32"/>
          <w:szCs w:val="32"/>
          <w:lang w:val="en-US" w:eastAsia="zh-CN"/>
        </w:rPr>
        <w:t>新政策 新市场 新机遇 稳投资形势下地方政府项目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宋体"/>
          <w:b/>
          <w:sz w:val="32"/>
          <w:szCs w:val="32"/>
          <w:lang w:val="en-US" w:eastAsia="zh-CN"/>
        </w:rPr>
      </w:pPr>
      <w:r>
        <w:rPr>
          <w:rFonts w:hint="eastAsia" w:ascii="华文中宋" w:hAnsi="华文中宋" w:eastAsia="华文中宋" w:cs="宋体"/>
          <w:b/>
          <w:sz w:val="32"/>
          <w:szCs w:val="32"/>
          <w:lang w:val="en-US" w:eastAsia="zh-CN"/>
        </w:rPr>
        <w:t>谋划与落地及平台公司市场化转型发展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华文中宋" w:hAnsi="华文中宋" w:eastAsia="华文中宋" w:cs="Times New Roman"/>
          <w:b/>
          <w:sz w:val="32"/>
          <w:szCs w:val="32"/>
        </w:rPr>
      </w:pPr>
      <w:r>
        <w:rPr>
          <w:rFonts w:hint="eastAsia" w:ascii="华文中宋" w:hAnsi="华文中宋" w:eastAsia="华文中宋" w:cs="宋体"/>
          <w:b/>
          <w:sz w:val="32"/>
          <w:szCs w:val="32"/>
          <w:lang w:val="en-US" w:eastAsia="zh-CN"/>
        </w:rPr>
        <w:t>模式与实践培训班</w:t>
      </w:r>
      <w:r>
        <w:rPr>
          <w:rFonts w:hint="eastAsia" w:ascii="华文中宋" w:hAnsi="华文中宋" w:eastAsia="华文中宋" w:cs="宋体"/>
          <w:b/>
          <w:sz w:val="32"/>
          <w:szCs w:val="32"/>
        </w:rPr>
        <w:t>的通知</w:t>
      </w:r>
    </w:p>
    <w:p>
      <w:pPr>
        <w:keepNext w:val="0"/>
        <w:keepLines w:val="0"/>
        <w:pageBreakBefore w:val="0"/>
        <w:widowControl w:val="0"/>
        <w:kinsoku/>
        <w:wordWrap/>
        <w:overflowPunct/>
        <w:topLinePunct w:val="0"/>
        <w:bidi w:val="0"/>
        <w:snapToGrid/>
        <w:spacing w:line="440" w:lineRule="exact"/>
        <w:textAlignment w:val="auto"/>
        <w:rPr>
          <w:rFonts w:ascii="仿宋_GB2312" w:hAnsi="宋体" w:eastAsia="仿宋_GB2312" w:cs="Times New Roman"/>
          <w:bCs/>
          <w:color w:val="000000"/>
          <w:sz w:val="28"/>
          <w:szCs w:val="28"/>
        </w:rPr>
      </w:pPr>
    </w:p>
    <w:p>
      <w:pPr>
        <w:keepNext w:val="0"/>
        <w:keepLines w:val="0"/>
        <w:pageBreakBefore w:val="0"/>
        <w:widowControl w:val="0"/>
        <w:kinsoku/>
        <w:wordWrap/>
        <w:overflowPunct/>
        <w:topLinePunct w:val="0"/>
        <w:bidi w:val="0"/>
        <w:snapToGrid/>
        <w:spacing w:line="440" w:lineRule="exact"/>
        <w:textAlignment w:val="auto"/>
        <w:rPr>
          <w:rFonts w:ascii="华文中宋" w:hAnsi="华文中宋" w:eastAsia="华文中宋" w:cs="Times New Roman"/>
          <w:b/>
          <w:sz w:val="28"/>
          <w:szCs w:val="28"/>
        </w:rPr>
      </w:pPr>
      <w:r>
        <w:rPr>
          <w:rFonts w:hint="eastAsia" w:ascii="仿宋_GB2312" w:hAnsi="宋体" w:eastAsia="仿宋_GB2312" w:cs="Times New Roman"/>
          <w:b/>
          <w:bCs/>
          <w:color w:val="000000"/>
          <w:sz w:val="28"/>
          <w:szCs w:val="28"/>
        </w:rPr>
        <w:t>各有关单位：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为贯彻落实国务院《政府投资条例》（国令第712号）文件精神，学习</w:t>
      </w:r>
      <w:r>
        <w:rPr>
          <w:rFonts w:hint="eastAsia" w:ascii="仿宋_GB2312" w:hAnsi="仿宋_GB2312" w:eastAsia="仿宋_GB2312" w:cs="仿宋_GB2312"/>
          <w:bCs/>
          <w:color w:val="000000"/>
          <w:sz w:val="28"/>
          <w:szCs w:val="28"/>
          <w:lang w:val="en-US" w:eastAsia="zh-CN"/>
        </w:rPr>
        <w:t>领会</w:t>
      </w:r>
      <w:r>
        <w:rPr>
          <w:rFonts w:hint="eastAsia" w:ascii="仿宋_GB2312" w:hAnsi="仿宋_GB2312" w:eastAsia="仿宋_GB2312" w:cs="仿宋_GB2312"/>
          <w:bCs/>
          <w:color w:val="000000"/>
          <w:sz w:val="28"/>
          <w:szCs w:val="28"/>
        </w:rPr>
        <w:t>《企业投资项目核准和备案管理条例》（国发〔2016〕673号）《关于防范化解融资平台公司到期存量地方政府隐性债务风险的意见》（国办函〔2019〕40号）《关于加强国有企业资产负债约束的指导意见》（中发〔2018〕27号）有关要求</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中国投资协会项目投融资专业委员会会同北京中科善若教育咨询有限公司举办</w:t>
      </w:r>
      <w:r>
        <w:rPr>
          <w:rFonts w:hint="eastAsia" w:ascii="仿宋_GB2312" w:hAnsi="仿宋_GB2312" w:eastAsia="仿宋_GB2312" w:cs="仿宋_GB2312"/>
          <w:bCs/>
          <w:color w:val="000000"/>
          <w:sz w:val="28"/>
          <w:szCs w:val="28"/>
          <w:lang w:val="en-US" w:eastAsia="zh-CN"/>
        </w:rPr>
        <w:t>新政策、新市场、新机遇、稳投资形势下地方政府项目谋划与落地及平台公司市场化转型发展模式与实践培训班</w:t>
      </w:r>
      <w:r>
        <w:rPr>
          <w:rFonts w:hint="eastAsia" w:ascii="仿宋_GB2312" w:hAnsi="仿宋_GB2312" w:eastAsia="仿宋_GB2312" w:cs="仿宋_GB2312"/>
          <w:bCs/>
          <w:color w:val="000000"/>
          <w:sz w:val="28"/>
          <w:szCs w:val="28"/>
        </w:rPr>
        <w:t>。</w:t>
      </w:r>
    </w:p>
    <w:p>
      <w:pPr>
        <w:keepNext w:val="0"/>
        <w:keepLines w:val="0"/>
        <w:pageBreakBefore w:val="0"/>
        <w:widowControl w:val="0"/>
        <w:kinsoku/>
        <w:wordWrap/>
        <w:overflowPunct/>
        <w:topLinePunct w:val="0"/>
        <w:bidi w:val="0"/>
        <w:snapToGrid/>
        <w:spacing w:line="440" w:lineRule="exact"/>
        <w:ind w:firstLine="560" w:firstLineChars="200"/>
        <w:jc w:val="left"/>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本次培训旨在帮助政府有关部门</w:t>
      </w:r>
      <w:r>
        <w:rPr>
          <w:rFonts w:hint="eastAsia" w:ascii="仿宋_GB2312" w:hAnsi="仿宋_GB2312" w:eastAsia="仿宋_GB2312" w:cs="仿宋_GB2312"/>
          <w:bCs/>
          <w:color w:val="000000"/>
          <w:sz w:val="28"/>
          <w:szCs w:val="28"/>
          <w:lang w:val="en-US" w:eastAsia="zh-CN"/>
        </w:rPr>
        <w:t>及</w:t>
      </w:r>
      <w:r>
        <w:rPr>
          <w:rFonts w:hint="eastAsia" w:ascii="仿宋_GB2312" w:hAnsi="仿宋_GB2312" w:eastAsia="仿宋_GB2312" w:cs="仿宋_GB2312"/>
          <w:bCs/>
          <w:color w:val="000000"/>
          <w:sz w:val="28"/>
          <w:szCs w:val="28"/>
        </w:rPr>
        <w:t>参与政府项目的</w:t>
      </w:r>
      <w:r>
        <w:rPr>
          <w:rFonts w:hint="eastAsia" w:ascii="仿宋_GB2312" w:hAnsi="仿宋_GB2312" w:eastAsia="仿宋_GB2312" w:cs="仿宋_GB2312"/>
          <w:bCs/>
          <w:color w:val="000000"/>
          <w:sz w:val="28"/>
          <w:szCs w:val="28"/>
          <w:lang w:val="en-US" w:eastAsia="zh-CN"/>
        </w:rPr>
        <w:t>金融机构、</w:t>
      </w:r>
      <w:r>
        <w:rPr>
          <w:rFonts w:hint="eastAsia" w:ascii="仿宋_GB2312" w:hAnsi="仿宋_GB2312" w:eastAsia="仿宋_GB2312" w:cs="仿宋_GB2312"/>
          <w:bCs/>
          <w:color w:val="000000"/>
          <w:sz w:val="28"/>
          <w:szCs w:val="28"/>
        </w:rPr>
        <w:t>平台公司</w:t>
      </w:r>
      <w:r>
        <w:rPr>
          <w:rFonts w:hint="eastAsia" w:ascii="仿宋_GB2312" w:hAnsi="仿宋_GB2312" w:eastAsia="仿宋_GB2312" w:cs="仿宋_GB2312"/>
          <w:bCs/>
          <w:color w:val="000000"/>
          <w:sz w:val="28"/>
          <w:szCs w:val="28"/>
          <w:lang w:val="en-US" w:eastAsia="zh-CN"/>
        </w:rPr>
        <w:t>和各类</w:t>
      </w:r>
      <w:r>
        <w:rPr>
          <w:rFonts w:hint="eastAsia" w:ascii="仿宋_GB2312" w:hAnsi="仿宋_GB2312" w:eastAsia="仿宋_GB2312" w:cs="仿宋_GB2312"/>
          <w:bCs/>
          <w:color w:val="000000"/>
          <w:sz w:val="28"/>
          <w:szCs w:val="28"/>
        </w:rPr>
        <w:t>投资企业</w:t>
      </w:r>
      <w:r>
        <w:rPr>
          <w:rFonts w:hint="eastAsia" w:ascii="仿宋_GB2312" w:hAnsi="仿宋_GB2312" w:eastAsia="仿宋_GB2312" w:cs="仿宋_GB2312"/>
          <w:bCs/>
          <w:color w:val="000000"/>
          <w:sz w:val="28"/>
          <w:szCs w:val="28"/>
          <w:lang w:val="en-US" w:eastAsia="zh-CN"/>
        </w:rPr>
        <w:t>深入理解国家投资管理政策，学习掌握</w:t>
      </w:r>
      <w:r>
        <w:rPr>
          <w:rFonts w:hint="eastAsia" w:ascii="仿宋_GB2312" w:hAnsi="仿宋_GB2312" w:eastAsia="仿宋_GB2312" w:cs="仿宋_GB2312"/>
          <w:bCs/>
          <w:color w:val="000000"/>
          <w:sz w:val="28"/>
          <w:szCs w:val="28"/>
        </w:rPr>
        <w:t>地方政府项目谋划与落地、平台</w:t>
      </w:r>
      <w:r>
        <w:rPr>
          <w:rFonts w:hint="eastAsia" w:ascii="仿宋_GB2312" w:hAnsi="仿宋_GB2312" w:eastAsia="仿宋_GB2312" w:cs="仿宋_GB2312"/>
          <w:bCs/>
          <w:color w:val="000000"/>
          <w:sz w:val="28"/>
          <w:szCs w:val="28"/>
          <w:lang w:val="en-US" w:eastAsia="zh-CN"/>
        </w:rPr>
        <w:t>公司</w:t>
      </w:r>
      <w:r>
        <w:rPr>
          <w:rFonts w:hint="eastAsia" w:ascii="仿宋_GB2312" w:hAnsi="仿宋_GB2312" w:eastAsia="仿宋_GB2312" w:cs="仿宋_GB2312"/>
          <w:bCs/>
          <w:color w:val="000000"/>
          <w:sz w:val="28"/>
          <w:szCs w:val="28"/>
        </w:rPr>
        <w:t>市场化转型相关政策法规及投融资</w:t>
      </w:r>
      <w:r>
        <w:rPr>
          <w:rFonts w:hint="eastAsia" w:ascii="仿宋_GB2312" w:hAnsi="仿宋_GB2312" w:eastAsia="仿宋_GB2312" w:cs="仿宋_GB2312"/>
          <w:bCs/>
          <w:color w:val="000000"/>
          <w:sz w:val="28"/>
          <w:szCs w:val="28"/>
          <w:lang w:val="en-US" w:eastAsia="zh-CN"/>
        </w:rPr>
        <w:t>操作</w:t>
      </w:r>
      <w:r>
        <w:rPr>
          <w:rFonts w:hint="eastAsia" w:ascii="仿宋_GB2312" w:hAnsi="仿宋_GB2312" w:eastAsia="仿宋_GB2312" w:cs="仿宋_GB2312"/>
          <w:bCs/>
          <w:color w:val="000000"/>
          <w:sz w:val="28"/>
          <w:szCs w:val="28"/>
        </w:rPr>
        <w:t>实务，</w:t>
      </w:r>
      <w:r>
        <w:rPr>
          <w:rFonts w:hint="eastAsia" w:ascii="仿宋_GB2312" w:hAnsi="仿宋_GB2312" w:eastAsia="仿宋_GB2312" w:cs="仿宋_GB2312"/>
          <w:bCs/>
          <w:color w:val="000000"/>
          <w:sz w:val="28"/>
          <w:szCs w:val="28"/>
          <w:lang w:val="en-US" w:eastAsia="zh-CN"/>
        </w:rPr>
        <w:t>促进</w:t>
      </w:r>
      <w:r>
        <w:rPr>
          <w:rFonts w:hint="eastAsia" w:ascii="仿宋_GB2312" w:hAnsi="仿宋_GB2312" w:eastAsia="仿宋_GB2312" w:cs="仿宋_GB2312"/>
          <w:bCs/>
          <w:color w:val="000000"/>
          <w:sz w:val="28"/>
          <w:szCs w:val="28"/>
        </w:rPr>
        <w:t>地方经济可持续发展。现将具体事项通知如下：</w:t>
      </w:r>
    </w:p>
    <w:p>
      <w:pPr>
        <w:keepNext w:val="0"/>
        <w:keepLines w:val="0"/>
        <w:pageBreakBefore w:val="0"/>
        <w:widowControl w:val="0"/>
        <w:kinsoku/>
        <w:wordWrap/>
        <w:overflowPunct/>
        <w:topLinePunct w:val="0"/>
        <w:bidi w:val="0"/>
        <w:snapToGrid/>
        <w:spacing w:line="440" w:lineRule="exact"/>
        <w:ind w:firstLine="560" w:firstLineChars="200"/>
        <w:jc w:val="left"/>
        <w:textAlignment w:val="auto"/>
        <w:rPr>
          <w:rFonts w:ascii="黑体" w:hAnsi="黑体" w:eastAsia="黑体" w:cs="黑体"/>
          <w:sz w:val="28"/>
          <w:szCs w:val="28"/>
        </w:rPr>
      </w:pPr>
      <w:r>
        <w:rPr>
          <w:rFonts w:hint="eastAsia" w:ascii="黑体" w:hAnsi="黑体" w:eastAsia="黑体" w:cs="黑体"/>
          <w:sz w:val="28"/>
          <w:szCs w:val="28"/>
        </w:rPr>
        <w:t>一、组织机构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主办单位：中国投资协会项目投融资专业委员会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_GB2312" w:hAnsi="仿宋_GB2312" w:eastAsia="仿宋_GB2312" w:cs="仿宋_GB2312"/>
          <w:bCs/>
          <w:color w:val="000000"/>
          <w:sz w:val="28"/>
          <w:szCs w:val="28"/>
          <w:highlight w:val="none"/>
        </w:rPr>
      </w:pPr>
      <w:r>
        <w:rPr>
          <w:rFonts w:hint="eastAsia" w:ascii="仿宋" w:hAnsi="仿宋" w:eastAsia="仿宋" w:cs="Times New Roman"/>
          <w:sz w:val="28"/>
          <w:szCs w:val="28"/>
        </w:rPr>
        <w:t>承办单位：</w:t>
      </w:r>
      <w:r>
        <w:rPr>
          <w:rFonts w:hint="eastAsia" w:ascii="仿宋_GB2312" w:hAnsi="仿宋_GB2312" w:eastAsia="仿宋_GB2312" w:cs="仿宋_GB2312"/>
          <w:bCs/>
          <w:color w:val="000000"/>
          <w:sz w:val="28"/>
          <w:szCs w:val="28"/>
          <w:highlight w:val="none"/>
        </w:rPr>
        <w:t>北京中科善若教育咨询有限公司</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楷体" w:hAnsi="楷体" w:eastAsia="楷体" w:cs="楷体"/>
          <w:sz w:val="28"/>
          <w:szCs w:val="28"/>
        </w:rPr>
      </w:pPr>
      <w:r>
        <w:rPr>
          <w:rFonts w:hint="eastAsia" w:ascii="黑体" w:hAnsi="黑体" w:eastAsia="黑体" w:cs="黑体"/>
          <w:sz w:val="28"/>
          <w:szCs w:val="28"/>
        </w:rPr>
        <w:t>二、培训内容</w:t>
      </w:r>
      <w:r>
        <w:rPr>
          <w:rFonts w:hint="eastAsia" w:ascii="楷体" w:hAnsi="楷体" w:eastAsia="楷体" w:cs="楷体"/>
          <w:sz w:val="28"/>
          <w:szCs w:val="28"/>
        </w:rPr>
        <w:t>（详细内容见附件）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1.相关政策解析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2.地方政府债务的认定与化解</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3.地方政府投融资模式的重构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4.资产与债权债务</w:t>
      </w:r>
      <w:r>
        <w:rPr>
          <w:rFonts w:hint="eastAsia" w:ascii="仿宋" w:hAnsi="仿宋" w:eastAsia="仿宋" w:cs="Times New Roman"/>
          <w:color w:val="000000"/>
          <w:sz w:val="28"/>
          <w:szCs w:val="28"/>
          <w:lang w:eastAsia="zh-CN"/>
        </w:rPr>
        <w:t>的</w:t>
      </w:r>
      <w:r>
        <w:rPr>
          <w:rFonts w:hint="eastAsia" w:ascii="仿宋" w:hAnsi="仿宋" w:eastAsia="仿宋" w:cs="Times New Roman"/>
          <w:color w:val="000000"/>
          <w:sz w:val="28"/>
          <w:szCs w:val="28"/>
        </w:rPr>
        <w:t>认定与处置</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rPr>
        <w:t>企业战略发展规划</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6.</w:t>
      </w:r>
      <w:r>
        <w:rPr>
          <w:rFonts w:hint="eastAsia" w:ascii="仿宋" w:hAnsi="仿宋" w:eastAsia="仿宋" w:cs="Times New Roman"/>
          <w:color w:val="000000"/>
          <w:sz w:val="28"/>
          <w:szCs w:val="28"/>
        </w:rPr>
        <w:t>组织架构和现代企业制度核心要点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平台公司的混改及重组上市</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8.政府项目投融资模式简述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9.政府合规</w:t>
      </w:r>
      <w:r>
        <w:rPr>
          <w:rFonts w:hint="eastAsia" w:ascii="仿宋" w:hAnsi="仿宋" w:eastAsia="仿宋" w:cs="Times New Roman"/>
          <w:color w:val="000000"/>
          <w:sz w:val="28"/>
          <w:szCs w:val="28"/>
          <w:lang w:eastAsia="zh-CN"/>
        </w:rPr>
        <w:t>投</w:t>
      </w:r>
      <w:r>
        <w:rPr>
          <w:rFonts w:hint="eastAsia" w:ascii="仿宋" w:hAnsi="仿宋" w:eastAsia="仿宋" w:cs="Times New Roman"/>
          <w:color w:val="000000"/>
          <w:sz w:val="28"/>
          <w:szCs w:val="28"/>
        </w:rPr>
        <w:t>融资模式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10.公益类经营性项目投融资模式分析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default"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11.转型平台公司及央企国企市场化承接政府公益性项目</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12.产业新城及片区综合开发</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华文仿宋" w:hAnsi="华文仿宋" w:eastAsia="华文仿宋"/>
          <w:b/>
          <w:spacing w:val="6"/>
          <w:sz w:val="30"/>
          <w:szCs w:val="30"/>
        </w:rPr>
      </w:pPr>
      <w:r>
        <w:rPr>
          <w:rFonts w:hint="eastAsia" w:ascii="仿宋" w:hAnsi="仿宋" w:eastAsia="仿宋" w:cs="Times New Roman"/>
          <w:color w:val="000000"/>
          <w:sz w:val="28"/>
          <w:szCs w:val="28"/>
          <w:lang w:val="en-US" w:eastAsia="zh-CN"/>
        </w:rPr>
        <w:t>13.产业基金</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黑体" w:hAnsi="黑体" w:eastAsia="黑体" w:cs="黑体"/>
          <w:sz w:val="28"/>
          <w:szCs w:val="28"/>
        </w:rPr>
      </w:pPr>
      <w:r>
        <w:rPr>
          <w:rFonts w:hint="eastAsia" w:ascii="黑体" w:hAnsi="黑体" w:eastAsia="黑体" w:cs="黑体"/>
          <w:sz w:val="28"/>
          <w:szCs w:val="28"/>
        </w:rPr>
        <w:t>三、培训对象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w:t>
      </w:r>
      <w:r>
        <w:rPr>
          <w:rFonts w:hint="eastAsia" w:ascii="仿宋" w:hAnsi="仿宋" w:eastAsia="仿宋" w:cs="Times New Roman"/>
          <w:b w:val="0"/>
          <w:bCs w:val="0"/>
          <w:kern w:val="2"/>
          <w:sz w:val="28"/>
          <w:szCs w:val="28"/>
          <w:lang w:val="en-US" w:eastAsia="zh-CN"/>
        </w:rPr>
        <w:t>各地方政府发改、教育、科技、司法、财政、环保、住建、交通、水利、农业、林业、文旅、卫健、能源等部门相关工作人员</w:t>
      </w:r>
      <w:r>
        <w:rPr>
          <w:rFonts w:hint="eastAsia" w:ascii="仿宋" w:hAnsi="仿宋" w:eastAsia="仿宋" w:cs="Times New Roman"/>
          <w:color w:val="000000"/>
          <w:sz w:val="28"/>
          <w:szCs w:val="28"/>
          <w:lang w:val="en-US" w:eastAsia="zh-CN"/>
        </w:rPr>
        <w:t>；</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w:t>
      </w:r>
      <w:r>
        <w:rPr>
          <w:rFonts w:hint="eastAsia" w:ascii="仿宋" w:hAnsi="仿宋" w:eastAsia="仿宋" w:cs="Times New Roman"/>
          <w:b w:val="0"/>
          <w:bCs w:val="0"/>
          <w:kern w:val="2"/>
          <w:sz w:val="28"/>
          <w:szCs w:val="28"/>
          <w:lang w:val="en-US" w:eastAsia="zh-CN"/>
        </w:rPr>
        <w:t>国有大中型企业、大型民企以及PPP项目SPV各领域企事业单位管理人员；</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3.证券、基金、银行、信托、资产管理、融资租赁等金融机构及工程咨询、律师事务所、会计师事务所等咨询机构相关人员。</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Times New Roman"/>
          <w:color w:val="000000"/>
          <w:sz w:val="28"/>
          <w:szCs w:val="28"/>
        </w:rPr>
      </w:pPr>
      <w:r>
        <w:rPr>
          <w:rFonts w:hint="eastAsia" w:ascii="黑体" w:hAnsi="黑体" w:eastAsia="黑体" w:cs="黑体"/>
          <w:sz w:val="28"/>
          <w:szCs w:val="28"/>
        </w:rPr>
        <w:t>四、授课专家</w:t>
      </w:r>
      <w:r>
        <w:rPr>
          <w:rFonts w:hint="eastAsia" w:ascii="仿宋" w:hAnsi="仿宋" w:eastAsia="仿宋" w:cs="Times New Roman"/>
          <w:color w:val="000000"/>
          <w:sz w:val="28"/>
          <w:szCs w:val="28"/>
        </w:rPr>
        <w:t xml:space="preserve">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拟邀请国家发展改革委、财政部PPP项目相关领域专家授课，拟由证券公司、咨询公司、律师事务所、会计师事务所等机构专家以专题讲座、案例分析、现场答疑、方案咨询、研讨交流等形式进行讲解。</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Times New Roman"/>
          <w:color w:val="000000"/>
          <w:kern w:val="2"/>
          <w:sz w:val="28"/>
          <w:szCs w:val="28"/>
          <w:lang w:val="en-US" w:eastAsia="zh-CN" w:bidi="ar-SA"/>
        </w:rPr>
      </w:pPr>
      <w:r>
        <w:rPr>
          <w:rFonts w:hint="eastAsia" w:ascii="黑体" w:hAnsi="黑体" w:eastAsia="黑体" w:cs="黑体"/>
          <w:sz w:val="28"/>
          <w:szCs w:val="28"/>
        </w:rPr>
        <w:t>五、时间地点</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2020年10月22日-10月26日  西安市（22日全天报到）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2020年11月18日-11月22日  成都市（18日全天报到）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2020年12月16日-12月20日  南京市（16日全天报到）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2020年12月23日-12月27日  长沙市（23日全天报到）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2021年01月14日-01月19日  海口市（14日全天报到）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ascii="黑体" w:hAnsi="黑体" w:eastAsia="黑体" w:cs="黑体"/>
          <w:sz w:val="28"/>
          <w:szCs w:val="28"/>
        </w:rPr>
      </w:pPr>
      <w:r>
        <w:rPr>
          <w:rFonts w:ascii="黑体" w:hAnsi="黑体" w:eastAsia="黑体" w:cs="黑体"/>
          <w:sz w:val="28"/>
          <w:szCs w:val="28"/>
        </w:rPr>
        <w:t>六、相关事宜</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仿宋"/>
          <w:b/>
          <w:bCs/>
          <w:sz w:val="28"/>
          <w:szCs w:val="28"/>
        </w:rPr>
      </w:pPr>
      <w:r>
        <w:rPr>
          <w:rFonts w:ascii="仿宋" w:hAnsi="仿宋" w:eastAsia="仿宋" w:cs="仿宋"/>
          <w:b/>
          <w:bCs/>
          <w:sz w:val="28"/>
          <w:szCs w:val="28"/>
        </w:rPr>
        <w:t>（一）培训费用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A</w:t>
      </w:r>
      <w:r>
        <w:rPr>
          <w:rFonts w:hint="eastAsia" w:ascii="仿宋" w:hAnsi="仿宋" w:eastAsia="仿宋" w:cs="仿宋"/>
          <w:bCs/>
          <w:sz w:val="28"/>
          <w:szCs w:val="28"/>
          <w:lang w:eastAsia="zh-CN"/>
        </w:rPr>
        <w:t>项</w:t>
      </w:r>
      <w:r>
        <w:rPr>
          <w:rFonts w:ascii="仿宋" w:hAnsi="仿宋" w:eastAsia="仿宋" w:cs="仿宋"/>
          <w:bCs/>
          <w:sz w:val="28"/>
          <w:szCs w:val="28"/>
        </w:rPr>
        <w:t>.2980元/人（含培训费、资料费、课件、场地、会议期间午餐），住宿统一安排，费用自理。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B</w:t>
      </w:r>
      <w:r>
        <w:rPr>
          <w:rFonts w:hint="eastAsia" w:ascii="仿宋" w:hAnsi="仿宋" w:eastAsia="仿宋" w:cs="仿宋"/>
          <w:bCs/>
          <w:sz w:val="28"/>
          <w:szCs w:val="28"/>
          <w:lang w:eastAsia="zh-CN"/>
        </w:rPr>
        <w:t>项</w:t>
      </w:r>
      <w:r>
        <w:rPr>
          <w:rFonts w:ascii="仿宋" w:hAnsi="仿宋" w:eastAsia="仿宋" w:cs="仿宋"/>
          <w:bCs/>
          <w:sz w:val="28"/>
          <w:szCs w:val="28"/>
        </w:rPr>
        <w:t>.3980元/人（含证书、培训费、资料费、课件、场地、会议期间午餐），住宿统一安排，费用自理。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lang w:eastAsia="zh-CN"/>
        </w:rPr>
        <w:t>项</w:t>
      </w:r>
      <w:r>
        <w:rPr>
          <w:rFonts w:ascii="仿宋" w:hAnsi="仿宋" w:eastAsia="仿宋" w:cs="仿宋"/>
          <w:bCs/>
          <w:sz w:val="28"/>
          <w:szCs w:val="28"/>
        </w:rPr>
        <w:t>.5980元/人（含证书、培训费、资料费、课件、场地、会议期间食宿）。</w:t>
      </w:r>
    </w:p>
    <w:p>
      <w:pPr>
        <w:keepNext w:val="0"/>
        <w:keepLines w:val="0"/>
        <w:pageBreakBefore w:val="0"/>
        <w:widowControl w:val="0"/>
        <w:kinsoku/>
        <w:wordWrap/>
        <w:overflowPunct/>
        <w:topLinePunct w:val="0"/>
        <w:bidi w:val="0"/>
        <w:snapToGrid/>
        <w:spacing w:line="440" w:lineRule="exact"/>
        <w:ind w:firstLine="700" w:firstLineChars="25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 xml:space="preserve">备注：证书由中国国家人事人才培训网、北京企业管理咨询协会共同颁发《投融资管理师》《金融风险管理师》，证书可在国培网网站人才数据库查询。 </w:t>
      </w:r>
    </w:p>
    <w:p>
      <w:pPr>
        <w:keepNext w:val="0"/>
        <w:keepLines w:val="0"/>
        <w:pageBreakBefore w:val="0"/>
        <w:widowControl w:val="0"/>
        <w:kinsoku/>
        <w:wordWrap/>
        <w:overflowPunct/>
        <w:topLinePunct w:val="0"/>
        <w:bidi w:val="0"/>
        <w:snapToGrid/>
        <w:spacing w:line="440" w:lineRule="exact"/>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需提供报名材料：报名表、</w:t>
      </w:r>
      <w:r>
        <w:rPr>
          <w:rFonts w:ascii="仿宋" w:hAnsi="仿宋" w:eastAsia="仿宋" w:cs="Times New Roman"/>
          <w:color w:val="000000"/>
          <w:sz w:val="28"/>
          <w:szCs w:val="28"/>
        </w:rPr>
        <w:t>2寸电子照片（白底免冠彩照）、身份证复印件、学历证书复印件各一份。</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ascii="仿宋" w:hAnsi="仿宋" w:eastAsia="仿宋" w:cs="仿宋"/>
          <w:b/>
          <w:bCs/>
          <w:sz w:val="28"/>
          <w:szCs w:val="28"/>
        </w:rPr>
      </w:pPr>
      <w:r>
        <w:rPr>
          <w:rFonts w:ascii="仿宋" w:hAnsi="仿宋" w:eastAsia="仿宋" w:cs="仿宋"/>
          <w:b/>
          <w:bCs/>
          <w:sz w:val="28"/>
          <w:szCs w:val="28"/>
        </w:rPr>
        <w:t>（二）联系方式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报名负责人：聂红军 主任18211071700（微信）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电话（传真）：010-87697580           邮  箱：zqgphwz@126.com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eastAsia" w:ascii="仿宋" w:hAnsi="仿宋" w:eastAsia="仿宋" w:cs="仿宋"/>
          <w:bCs/>
          <w:kern w:val="0"/>
          <w:sz w:val="28"/>
          <w:szCs w:val="28"/>
          <w:lang w:val="en-US" w:eastAsia="zh-CN"/>
        </w:rPr>
      </w:pPr>
      <w:r>
        <w:rPr>
          <w:rFonts w:hint="eastAsia" w:ascii="仿宋_GB2312" w:hAnsi="仿宋_GB2312" w:eastAsia="仿宋_GB2312" w:cs="仿宋_GB2312"/>
          <w:bCs/>
          <w:color w:val="000000"/>
          <w:sz w:val="28"/>
          <w:szCs w:val="28"/>
        </w:rPr>
        <w:t>网址查询：http://www.zqgpchina.cn/   qq咨询：3177524020</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left"/>
        <w:textAlignment w:val="auto"/>
        <w:rPr>
          <w:rFonts w:hint="default" w:ascii="仿宋" w:hAnsi="仿宋" w:eastAsia="仿宋" w:cs="仿宋"/>
          <w:bCs/>
          <w:kern w:val="0"/>
          <w:sz w:val="28"/>
          <w:szCs w:val="28"/>
          <w:lang w:val="en-US" w:eastAsia="zh-CN"/>
        </w:rPr>
      </w:pPr>
    </w:p>
    <w:p>
      <w:pPr>
        <w:keepNext w:val="0"/>
        <w:keepLines w:val="0"/>
        <w:pageBreakBefore w:val="0"/>
        <w:widowControl w:val="0"/>
        <w:kinsoku/>
        <w:wordWrap/>
        <w:overflowPunct/>
        <w:topLinePunct w:val="0"/>
        <w:bidi w:val="0"/>
        <w:snapToGrid/>
        <w:spacing w:line="440" w:lineRule="exact"/>
        <w:ind w:firstLine="700" w:firstLineChars="250"/>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附件：</w:t>
      </w:r>
    </w:p>
    <w:p>
      <w:pPr>
        <w:keepNext w:val="0"/>
        <w:keepLines w:val="0"/>
        <w:pageBreakBefore w:val="0"/>
        <w:widowControl w:val="0"/>
        <w:kinsoku/>
        <w:wordWrap/>
        <w:overflowPunct/>
        <w:topLinePunct w:val="0"/>
        <w:bidi w:val="0"/>
        <w:snapToGrid/>
        <w:spacing w:line="440" w:lineRule="exact"/>
        <w:ind w:firstLine="700" w:firstLineChars="25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1.培训内容</w:t>
      </w:r>
    </w:p>
    <w:p>
      <w:pPr>
        <w:keepNext w:val="0"/>
        <w:keepLines w:val="0"/>
        <w:pageBreakBefore w:val="0"/>
        <w:widowControl w:val="0"/>
        <w:kinsoku/>
        <w:wordWrap/>
        <w:overflowPunct/>
        <w:topLinePunct w:val="0"/>
        <w:bidi w:val="0"/>
        <w:snapToGrid/>
        <w:spacing w:line="440" w:lineRule="exact"/>
        <w:ind w:firstLine="700" w:firstLineChars="250"/>
        <w:textAlignment w:val="auto"/>
        <w:rPr>
          <w:rFonts w:ascii="仿宋" w:hAnsi="仿宋" w:eastAsia="仿宋" w:cs="Times New Roman"/>
          <w:color w:val="000000"/>
          <w:sz w:val="28"/>
          <w:szCs w:val="28"/>
        </w:rPr>
      </w:pPr>
      <w:r>
        <w:rPr>
          <w:rFonts w:hint="eastAsia" w:ascii="仿宋" w:hAnsi="仿宋" w:eastAsia="仿宋" w:cs="Times New Roman"/>
          <w:color w:val="000000"/>
          <w:sz w:val="28"/>
          <w:szCs w:val="28"/>
        </w:rPr>
        <w:t>2.新政策、新市场、新机遇、稳投资形势下地方政府项目谋划与落地及平台公司市场化转型发展模式与实践培训班</w:t>
      </w:r>
      <w:r>
        <w:rPr>
          <w:rFonts w:hint="eastAsia" w:ascii="仿宋_GB2312" w:hAnsi="仿宋_GB2312" w:eastAsia="仿宋_GB2312" w:cs="仿宋_GB2312"/>
          <w:bCs/>
          <w:color w:val="000000"/>
          <w:sz w:val="28"/>
          <w:szCs w:val="28"/>
        </w:rPr>
        <w:t>《</w:t>
      </w:r>
      <w:r>
        <w:rPr>
          <w:rFonts w:hint="eastAsia" w:ascii="仿宋" w:hAnsi="仿宋" w:eastAsia="仿宋" w:cs="Times New Roman"/>
          <w:color w:val="000000"/>
          <w:sz w:val="28"/>
          <w:szCs w:val="28"/>
        </w:rPr>
        <w:t xml:space="preserve">报名回执表》 </w:t>
      </w: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p>
    <w:p>
      <w:pPr>
        <w:keepNext w:val="0"/>
        <w:keepLines w:val="0"/>
        <w:pageBreakBefore w:val="0"/>
        <w:widowControl w:val="0"/>
        <w:kinsoku/>
        <w:wordWrap/>
        <w:overflowPunct/>
        <w:topLinePunct w:val="0"/>
        <w:bidi w:val="0"/>
        <w:snapToGrid/>
        <w:spacing w:line="440" w:lineRule="exact"/>
        <w:textAlignment w:val="auto"/>
        <w:rPr>
          <w:rFonts w:ascii="黑体" w:hAnsi="黑体" w:eastAsia="黑体" w:cs="黑体"/>
          <w:sz w:val="28"/>
          <w:szCs w:val="28"/>
        </w:rPr>
      </w:pPr>
      <w:r>
        <w:rPr>
          <w:rFonts w:hint="eastAsia" w:ascii="仿宋" w:hAnsi="仿宋" w:eastAsia="仿宋" w:cs="宋体"/>
          <w:color w:val="000000"/>
          <w:sz w:val="24"/>
          <w:szCs w:val="24"/>
          <w:lang w:val="en-US" w:eastAsia="zh-CN"/>
        </w:rPr>
        <w:drawing>
          <wp:anchor distT="0" distB="0" distL="114935" distR="114935" simplePos="0" relativeHeight="251658240" behindDoc="0" locked="0" layoutInCell="1" allowOverlap="1">
            <wp:simplePos x="0" y="0"/>
            <wp:positionH relativeFrom="column">
              <wp:posOffset>3307080</wp:posOffset>
            </wp:positionH>
            <wp:positionV relativeFrom="paragraph">
              <wp:posOffset>96520</wp:posOffset>
            </wp:positionV>
            <wp:extent cx="1310640" cy="1280160"/>
            <wp:effectExtent l="0" t="0" r="0" b="0"/>
            <wp:wrapNone/>
            <wp:docPr id="2" name="图片 2" descr="微信图片_2020092417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4173628"/>
                    <pic:cNvPicPr>
                      <a:picLocks noChangeAspect="1"/>
                    </pic:cNvPicPr>
                  </pic:nvPicPr>
                  <pic:blipFill>
                    <a:blip r:embed="rId5"/>
                    <a:stretch>
                      <a:fillRect/>
                    </a:stretch>
                  </pic:blipFill>
                  <pic:spPr>
                    <a:xfrm>
                      <a:off x="0" y="0"/>
                      <a:ext cx="1310640" cy="1280160"/>
                    </a:xfrm>
                    <a:prstGeom prst="rect">
                      <a:avLst/>
                    </a:prstGeom>
                  </pic:spPr>
                </pic:pic>
              </a:graphicData>
            </a:graphic>
          </wp:anchor>
        </w:drawing>
      </w:r>
    </w:p>
    <w:p>
      <w:pPr>
        <w:autoSpaceDE/>
        <w:autoSpaceDN/>
        <w:adjustRightInd/>
        <w:spacing w:line="380" w:lineRule="exact"/>
        <w:ind w:firstLine="560" w:firstLineChars="200"/>
        <w:jc w:val="both"/>
        <w:rPr>
          <w:rFonts w:ascii="仿宋" w:hAnsi="仿宋" w:eastAsia="仿宋" w:cs="仿宋"/>
          <w:bCs/>
          <w:kern w:val="2"/>
          <w:sz w:val="28"/>
          <w:szCs w:val="28"/>
        </w:rPr>
      </w:pPr>
    </w:p>
    <w:p>
      <w:pPr>
        <w:autoSpaceDE/>
        <w:autoSpaceDN/>
        <w:adjustRightInd/>
        <w:spacing w:line="560" w:lineRule="exact"/>
        <w:ind w:firstLine="4320" w:firstLineChars="1800"/>
        <w:jc w:val="both"/>
        <w:rPr>
          <w:rFonts w:hint="eastAsia" w:ascii="仿宋" w:hAnsi="仿宋" w:eastAsia="仿宋" w:cs="宋体"/>
          <w:color w:val="000000"/>
          <w:sz w:val="24"/>
          <w:szCs w:val="24"/>
        </w:rPr>
      </w:pPr>
      <w:r>
        <w:rPr>
          <w:rFonts w:hint="eastAsia" w:ascii="仿宋" w:hAnsi="仿宋" w:eastAsia="仿宋" w:cs="宋体"/>
          <w:color w:val="000000"/>
          <w:sz w:val="24"/>
          <w:szCs w:val="24"/>
        </w:rPr>
        <w:t>中国投资</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业委员会</w:t>
      </w: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lang w:eastAsia="zh-CN"/>
        </w:rPr>
      </w:pPr>
      <w:r>
        <w:rPr>
          <w:rFonts w:ascii="仿宋" w:hAnsi="仿宋" w:eastAsia="仿宋" w:cs="仿宋"/>
          <w:b/>
          <w:bCs/>
          <w:kern w:val="2"/>
          <w:sz w:val="28"/>
          <w:szCs w:val="28"/>
        </w:rPr>
        <w:t xml:space="preserve">          </w:t>
      </w: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lang w:eastAsia="zh-CN"/>
        </w:rPr>
      </w:pP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lang w:eastAsia="zh-CN"/>
        </w:rPr>
      </w:pP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lang w:eastAsia="zh-CN"/>
        </w:rPr>
      </w:pP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rPr>
      </w:pP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rPr>
      </w:pPr>
    </w:p>
    <w:p>
      <w:pPr>
        <w:keepNext w:val="0"/>
        <w:keepLines w:val="0"/>
        <w:pageBreakBefore w:val="0"/>
        <w:kinsoku/>
        <w:wordWrap/>
        <w:overflowPunct/>
        <w:topLinePunct w:val="0"/>
        <w:bidi w:val="0"/>
        <w:snapToGrid/>
        <w:spacing w:line="50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黑体" w:hAnsi="黑体" w:eastAsia="黑体" w:cs="黑体"/>
          <w:bCs/>
          <w:color w:val="000000"/>
          <w:sz w:val="28"/>
          <w:szCs w:val="28"/>
        </w:rPr>
      </w:pPr>
      <w:r>
        <w:rPr>
          <w:rFonts w:hint="eastAsia" w:ascii="黑体" w:hAnsi="黑体" w:eastAsia="黑体" w:cs="黑体"/>
          <w:bCs/>
          <w:color w:val="000000"/>
          <w:sz w:val="28"/>
          <w:szCs w:val="28"/>
        </w:rPr>
        <w:t>附件一.培训内容</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模块一：相关政策解析</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（一）《政府投资条例》（国发〔2019〕712号）及《企业投资项目核准和备案管理条例》（国发〔2016〕673号）要点解读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（二）《关于防范化解融资平台公司到期存量地方政府隐性债务风险的意见》（国办函〔2019〕40号）要点解读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（三）《国务院关于促进国家高新技术产业开发区高质量发展的若干意见》国发〔2020〕7号文要点解析</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（四）中发〔2018〕27号、财预〔2017〕50号、财预〔2017〕87号、财金〔2018〕23号、发改办财金〔2018〕194号文、银监发〔2017〕55号、保监发〔2018〕6号、厅字〔2019〕33号、国发〔2019〕26号文等配套文件解析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模块二：地方政府债务的认定与化解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（一）地方政府相关债务分类与认定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（二）政府隐性债务的化解</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1.</w:t>
      </w:r>
      <w:r>
        <w:rPr>
          <w:rFonts w:hint="eastAsia" w:ascii="仿宋" w:hAnsi="仿宋" w:eastAsia="仿宋" w:cs="Times New Roman"/>
          <w:color w:val="000000"/>
          <w:sz w:val="28"/>
          <w:szCs w:val="28"/>
          <w:lang w:val="en-US"/>
        </w:rPr>
        <w:t>政府的偿还责任及方式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2.</w:t>
      </w:r>
      <w:r>
        <w:rPr>
          <w:rFonts w:hint="eastAsia" w:ascii="仿宋" w:hAnsi="仿宋" w:eastAsia="仿宋" w:cs="Times New Roman"/>
          <w:color w:val="000000"/>
          <w:sz w:val="28"/>
          <w:szCs w:val="28"/>
          <w:lang w:val="en-US"/>
        </w:rPr>
        <w:t>如何转化为企业经营性债务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3.</w:t>
      </w:r>
      <w:r>
        <w:rPr>
          <w:rFonts w:hint="eastAsia" w:ascii="仿宋" w:hAnsi="仿宋" w:eastAsia="仿宋" w:cs="Times New Roman"/>
          <w:color w:val="000000"/>
          <w:sz w:val="28"/>
          <w:szCs w:val="28"/>
          <w:lang w:val="en-US"/>
        </w:rPr>
        <w:t>通过债转股、混改、PPP、“非标转标”等多种方式化解债务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4.</w:t>
      </w:r>
      <w:r>
        <w:rPr>
          <w:rFonts w:hint="eastAsia" w:ascii="仿宋" w:hAnsi="仿宋" w:eastAsia="仿宋" w:cs="Times New Roman"/>
          <w:color w:val="000000"/>
          <w:sz w:val="28"/>
          <w:szCs w:val="28"/>
          <w:lang w:val="en-US"/>
        </w:rPr>
        <w:t>33号文、40号文对隐性债务化解及置换的新要求</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rPr>
      </w:pPr>
      <w:r>
        <w:rPr>
          <w:rFonts w:hint="eastAsia" w:ascii="仿宋" w:hAnsi="仿宋" w:eastAsia="仿宋" w:cs="Times New Roman"/>
          <w:color w:val="000000"/>
          <w:sz w:val="28"/>
          <w:szCs w:val="28"/>
          <w:lang w:val="en-US" w:eastAsia="zh-CN"/>
        </w:rPr>
        <w:t>5.</w:t>
      </w:r>
      <w:r>
        <w:rPr>
          <w:rFonts w:hint="eastAsia" w:ascii="仿宋" w:hAnsi="仿宋" w:eastAsia="仿宋" w:cs="Times New Roman"/>
          <w:color w:val="000000"/>
          <w:sz w:val="28"/>
          <w:szCs w:val="28"/>
          <w:lang w:val="en-US"/>
        </w:rPr>
        <w:t>各金融机构对债务化解的模式探析</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模块三：地方政府投融资模式的重构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（一）地方政府投融资模式重构的背景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1.隐性债务过高将会造成区域财政危机或金融危机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2.监管政策彻底打破传统的政信合作机制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（二）地方政府投融资模式的重构思路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1.政府融资平台公司职能的重新定位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2.地方投融资交易结构的转变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3.提供基建及公共服务市场化模式的转变方式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（三）平台公司转型的目标</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1.化解债务风险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2.实现造血功能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3.市场化承接政府公益性项目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4.扶持地方产业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bidi="ar-SA"/>
        </w:rPr>
        <w:t>模块四：资产与债权债务</w:t>
      </w:r>
      <w:r>
        <w:rPr>
          <w:rFonts w:hint="eastAsia" w:ascii="楷体" w:hAnsi="楷体" w:eastAsia="楷体" w:cs="楷体"/>
          <w:b/>
          <w:bCs/>
          <w:kern w:val="2"/>
          <w:sz w:val="28"/>
          <w:szCs w:val="28"/>
          <w:lang w:val="en-US" w:eastAsia="zh-CN" w:bidi="ar-SA"/>
        </w:rPr>
        <w:t>的认定及处置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（一）资产的认定及处置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1.公益性资产的认定及处置方式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2.无权属证明的资产的认定与处置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3.如何有效注入区域“四资”（资金、资产、资本、资源）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4.平台公司增厚权益的新模式解析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5.平台公司如何实现“四资”良性循环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6.如何实现“政府输血”与“自我造血”两个需要同时并举发展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（二）债权的认定与处置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1.债务人为社会第三人的情形</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2.债务人为政府及所属部门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（三）债务的认定与处置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1.分类认定平台公司债务的属性</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2.从全方位设定隐性债务的化解方案</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3.对“需要关注的债务”的认定与处置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4.重视平台与财政部门的认定分歧（上报截止日之后及未上报的隐性债务的处置）</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模块五：企业战略发展规划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（一）企业战略发展规划的思路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1.关于国有企业公益类与商业类属性的划分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2.因地制宜的做好战略发展定位</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3.股权多元化、混改是平台公司转型的必由之路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（二）城市运营商—平台转型的核心战略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1.转型为城市运营商意义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2.参与城市管理运营的类型分析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3.运营性质的分类及参与城市运营项目的投融资模式设计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4.典型案例分析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（三）产业地产商</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1.转型为产业地产商的市场机遇分析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2.地产开发模式及典型案例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3.产业新城开发模式及典型案例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4.产业基金投资模式及典型案例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（四）布局金融业务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1.副省级政府平台的金融业务发展思路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2.中小城市平台金融业务发展思路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（五）转型平台如何参与当地优势及特色产业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（六）平台公司核心业务体系的构建及盈利模式的设计（基础设施投融资、国资经营、产业引导、金融等）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（七）委托代建、融资代建、购买服务、特许经营、“基金+建设”、PPP、ABO、资源补偿等模式的对比解读及合规运作</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模块六：组织架构和现代企业制度核心要点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（一）组织架构的设立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1.以管资本为主推行清单管理的要点及国有资本投资、运营公司的组建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2.“1＋N”和“N＋N”两种模式重组的要点及优劣点分析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3.开发区平台公司的运作模式特点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4.党委在国有企业中的地位及具体职责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（二）公益类与商业类企业的考核指标</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1.公益类考核企业的关注点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2.商业类考核企业的关注点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（三）职能部门的设置</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1.处理集团管控核心职责界面与子公司授权管理之间的关系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2.集团部门及岗位设置要点，注意“因事设岗”与“因人设岗”的结合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（四）企业员工的薪资、绩效与激励方案</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1.平台公司人员身份转变的操作要点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2.工资总额决定机制要点解读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3.推行企业高管年薪制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4.员工的薪酬体系制定的主要关注点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5.高管及员工的绩效考核要点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6.企业长效激励机制的安排（股权激励及分红激励）</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模块七：平台公司的混改及重组上市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（一）分类分层实施混合所有制改革</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（二）混资本和改机制的途径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（三）平台混改较难成功的四个主要原因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（四）平台成功混改的模式探讨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1.获取优质土地资源：华润置地混改天津城投置地</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2.强化基建业务：绿地控股混改河南公路工程局</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3.开拓漯河市场：索克物业混改惠达物业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（五）平台混改和股权多元化（央地合作）的业务路径分析—借力互补发展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（六）逆向混改上市公司（国有资本的主动出击）—平台公司转型发展的新阶段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（七）平台类企业收购上市公司的种类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1.市场化转型及产业布局</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2.纾困本地企业及上市公司需要国资背书、支持</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3.完成国资投资指标、上市公司引入指标</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4.为本地资产寻找资本化、证券化平台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（八）平台借壳上市难点及操作模式解析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（九）地方国资企业并购上市公司标的之筛选建议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 xml:space="preserve">（十）地方国资企业并购上市公司的后续整合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模块八：政府项目投融资模式简述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（一）政府直接投资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（二）政府合规性融资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（三）企业投资</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模块九：政府合规投融资模式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（一）政府投资条例核心解读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1.投资范围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2.政府投资方式分析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3.政府投资项目的违规模式分析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4.项目审批流程及审批要件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（二）政府专项债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1.专项债发行现状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2.专项债发行趋势（2020.3.17国务院常务会议要点）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3.地方政府专项债券的类型及应用</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（1）置换专项债券</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（2）新增专项债券（普通专项债、项目收益专项债）</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（3）再融资专项债券</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（4）普通专项债券与项目收益专项债券的区别</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（5）重大项目专项债券（国常会及财政部最新部署安排）</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4.专项债券的要素实务</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（1）构成专项债券内容的八大要素</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（2）各要素的实操应用要点及注意事项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5.专项债券与其他模式的组合应用及操作要点</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（1）专项债券+项目资本金的进入及退出操作要点分析</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（2）专项债券+银行贷款实务应用中的注意事项</w:t>
      </w:r>
    </w:p>
    <w:p>
      <w:pPr>
        <w:pStyle w:val="1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（3）专项债券+PPP模式结合的要点分析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6.专项债案例分析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（三）PPP模式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1.1098号文核心要点解读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2.平台公司与社会资本合作参与PPP模式的应用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3.经营性项目的PPP要点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4.非经营性项目的PPP要点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5.PPP模式的财务测算与绩效考核要点解析及实操案例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6.PPP模式融资的难点及方案设计阶段可融资性分析要点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（四）特许经营模式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1.特许经营的基本内容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2.特许经营的操作模式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3.特许经营与PPP之间的关系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（五）政府购买服务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1.政府购买服务的概念</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2.政府购买服务的合规性问题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3.征地拆迁与政府购买服务</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4.政府采购工程的要点解析</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5.政府购买服务与PPP的关系</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模块十：公益类经营性项目投融资模式分析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（一）项目种类划分及分类性质分析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（二）运营类企业性质分析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华文仿宋" w:hAnsi="华文仿宋" w:eastAsia="华文仿宋" w:cs="仿宋_GB2312"/>
          <w:color w:val="000000"/>
          <w:sz w:val="30"/>
          <w:szCs w:val="30"/>
          <w:lang w:val="en-US"/>
        </w:rPr>
      </w:pPr>
      <w:r>
        <w:rPr>
          <w:rFonts w:hint="eastAsia" w:ascii="仿宋" w:hAnsi="仿宋" w:eastAsia="仿宋" w:cs="Times New Roman"/>
          <w:b/>
          <w:color w:val="000000"/>
          <w:sz w:val="28"/>
          <w:szCs w:val="28"/>
          <w:lang w:val="en-US" w:eastAsia="zh-CN"/>
        </w:rPr>
        <w:t>（三）地方国有企业与央企国企如何开展公益性项目投融资的模式（政府投资项目VS企业投资项目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模块十一：转型平台公司及央企国企市场化承接政府公益性项目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（一）平台公司参与公益性项目的政策性支持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（二）国有企业参与公益性项目的合规性流程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（三）企业投资项目的核准与备案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（四）平台公司及央企国企市场化参与公益性项目的模式介绍（ABO、自求平衡、资源补偿、融资代建、财政补贴建设项目融资模式等模式）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（五）市场化承接政府公益性项目过程中如何将政府违规增信转化为合规现金流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（六）如何盘活存量资产，非经营性项目（死资产）如何设计现金流（盘活）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基础设施REITs试点政策解读及带来的业务机会</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模块十二：产业新城及片区综合开发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（一）采用开发型PPP模式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1.开发型PPP模式的操作要点及案例分享</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2.资源补偿的合规性</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3.资源补偿的土地招拍挂问题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4.投融资问题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（二）非PPP模式下平台公司及社会资本的参与模式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1.国发〔2019〕11号文后管委会+平台+上市模式的操作要点及案例分享</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2.如何以企业投资模式市场化运作片区开发项目（未来项目的实施，高度依赖项目自身的盈利能力和社会资本的资金筹集能力）</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3.土地的问题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4.房地产开发的资金平衡问题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5.运用产业基金</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6.如何实现产业资源的整合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楷体" w:hAnsi="楷体" w:eastAsia="楷体" w:cs="楷体"/>
          <w:b/>
          <w:bCs/>
          <w:kern w:val="2"/>
          <w:sz w:val="28"/>
          <w:szCs w:val="28"/>
          <w:lang w:val="en-US" w:bidi="ar-SA"/>
        </w:rPr>
      </w:pPr>
      <w:r>
        <w:rPr>
          <w:rFonts w:hint="eastAsia" w:ascii="楷体" w:hAnsi="楷体" w:eastAsia="楷体" w:cs="楷体"/>
          <w:b/>
          <w:bCs/>
          <w:kern w:val="2"/>
          <w:sz w:val="28"/>
          <w:szCs w:val="28"/>
          <w:lang w:val="en-US" w:bidi="ar-SA"/>
        </w:rPr>
        <w:t>模块十三：产业基金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（一）国企产业基金与政府引导基金的区别和联系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1.政府引导基金的最新政策要点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2.平台产业基金的性质（PE+引导基金VS平台+产业基金）</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3.两种基金对于地方经济的作用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（1）招商引资</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（2）扶持当地企业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（二）产业基金的种类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1.产业引导基金：针对地方经济和资本金</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2.产业投资基金：针对产业链</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3.风险投资基金：针对高增长企业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（三）基金合伙人的选择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1.基金管理人的选择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2.基金出资人的选择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3.基金设立的保障性措施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（四）基金的合规性操作模式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1.股权投资的主导性特点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2.名股实债的合规性问题</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3.对赌模式的应用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Times New Roman"/>
          <w:b/>
          <w:color w:val="000000"/>
          <w:sz w:val="28"/>
          <w:szCs w:val="28"/>
          <w:lang w:val="en-US" w:eastAsia="zh-CN"/>
        </w:rPr>
      </w:pPr>
    </w:p>
    <w:p>
      <w:pPr>
        <w:keepNext w:val="0"/>
        <w:keepLines w:val="0"/>
        <w:pageBreakBefore w:val="0"/>
        <w:widowControl/>
        <w:kinsoku/>
        <w:wordWrap/>
        <w:overflowPunct/>
        <w:topLinePunct w:val="0"/>
        <w:bidi w:val="0"/>
        <w:snapToGrid/>
        <w:spacing w:line="500" w:lineRule="exact"/>
        <w:jc w:val="center"/>
        <w:textAlignment w:val="auto"/>
        <w:rPr>
          <w:rStyle w:val="9"/>
          <w:rFonts w:ascii="黑体" w:hAnsi="黑体" w:eastAsia="黑体" w:cs="黑体"/>
          <w:b w:val="0"/>
          <w:bCs w:val="0"/>
          <w:color w:val="000000"/>
          <w:sz w:val="28"/>
          <w:szCs w:val="28"/>
          <w:lang w:val="zh-CN"/>
        </w:rPr>
      </w:pPr>
      <w:r>
        <w:rPr>
          <w:rStyle w:val="9"/>
          <w:rFonts w:ascii="黑体" w:hAnsi="黑体" w:eastAsia="黑体" w:cs="黑体"/>
          <w:b w:val="0"/>
          <w:bCs w:val="0"/>
          <w:color w:val="000000"/>
          <w:sz w:val="28"/>
          <w:szCs w:val="28"/>
        </w:rPr>
        <w:t>附件</w:t>
      </w:r>
      <w:r>
        <w:rPr>
          <w:rStyle w:val="9"/>
          <w:rFonts w:hint="eastAsia" w:ascii="黑体" w:hAnsi="黑体" w:eastAsia="黑体" w:cs="黑体"/>
          <w:b w:val="0"/>
          <w:bCs w:val="0"/>
          <w:color w:val="000000"/>
          <w:sz w:val="28"/>
          <w:szCs w:val="28"/>
        </w:rPr>
        <w:t>二.新政策、新市场、新机遇、稳投资形势下地方政府项目谋划与落地及平台公司市场化转型发展模式与实践培训班报名</w:t>
      </w:r>
      <w:r>
        <w:rPr>
          <w:rStyle w:val="9"/>
          <w:rFonts w:ascii="黑体" w:hAnsi="黑体" w:eastAsia="黑体" w:cs="黑体"/>
          <w:b w:val="0"/>
          <w:bCs w:val="0"/>
          <w:color w:val="000000"/>
          <w:sz w:val="28"/>
          <w:szCs w:val="28"/>
          <w:lang w:val="zh-CN"/>
        </w:rPr>
        <w:t>回执表</w:t>
      </w:r>
    </w:p>
    <w:tbl>
      <w:tblPr>
        <w:tblStyle w:val="7"/>
        <w:tblpPr w:leftFromText="180" w:rightFromText="180" w:vertAnchor="page" w:horzAnchor="page" w:tblpX="1192" w:tblpY="26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849"/>
        <w:gridCol w:w="1282"/>
        <w:gridCol w:w="1984"/>
        <w:gridCol w:w="157"/>
        <w:gridCol w:w="931"/>
        <w:gridCol w:w="65"/>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单位名称</w:t>
            </w:r>
          </w:p>
        </w:tc>
        <w:tc>
          <w:tcPr>
            <w:tcW w:w="5203" w:type="dxa"/>
            <w:gridSpan w:val="5"/>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p>
        </w:tc>
        <w:tc>
          <w:tcPr>
            <w:tcW w:w="606"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r>
              <w:rPr>
                <w:rFonts w:hint="eastAsia" w:ascii="宋体" w:hAnsi="宋体" w:eastAsia="宋体" w:cs="宋体"/>
                <w:sz w:val="24"/>
                <w:szCs w:val="24"/>
              </w:rPr>
              <w:t>邮编</w:t>
            </w:r>
          </w:p>
        </w:tc>
        <w:tc>
          <w:tcPr>
            <w:tcW w:w="2275" w:type="dxa"/>
            <w:gridSpan w:val="2"/>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单位地址</w:t>
            </w:r>
          </w:p>
        </w:tc>
        <w:tc>
          <w:tcPr>
            <w:tcW w:w="8084" w:type="dxa"/>
            <w:gridSpan w:val="9"/>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联系人</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firstLine="960"/>
              <w:textAlignment w:val="auto"/>
              <w:rPr>
                <w:rFonts w:hint="eastAsia" w:ascii="宋体" w:hAnsi="宋体" w:eastAsia="宋体" w:cs="宋体"/>
                <w:sz w:val="24"/>
                <w:szCs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职位/岗位</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办公电话</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手    机</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传   真</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3072" w:type="dxa"/>
            <w:gridSpan w:val="3"/>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电子信箱</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参加培训人员</w:t>
            </w:r>
          </w:p>
        </w:tc>
        <w:tc>
          <w:tcPr>
            <w:tcW w:w="849"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282"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电话</w:t>
            </w: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手机</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282"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282"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282"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282"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849"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282"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5" w:type="dxa"/>
            <w:gridSpan w:val="5"/>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rPr>
              <w:t>是否住宿</w:t>
            </w:r>
          </w:p>
        </w:tc>
        <w:tc>
          <w:tcPr>
            <w:tcW w:w="2131" w:type="dxa"/>
            <w:gridSpan w:val="2"/>
            <w:vAlign w:val="center"/>
          </w:tcPr>
          <w:p>
            <w:pPr>
              <w:widowControl/>
              <w:autoSpaceDE/>
              <w:autoSpaceDN/>
              <w:adjustRightInd/>
              <w:spacing w:line="360" w:lineRule="exact"/>
              <w:ind w:right="-147" w:rightChars="-70"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□是     □否</w:t>
            </w: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住宿标准</w:t>
            </w:r>
          </w:p>
        </w:tc>
        <w:tc>
          <w:tcPr>
            <w:tcW w:w="3969" w:type="dxa"/>
            <w:gridSpan w:val="6"/>
            <w:vAlign w:val="top"/>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eastAsia="zh-CN"/>
              </w:rPr>
              <w:t>参会地点</w:t>
            </w:r>
          </w:p>
        </w:tc>
        <w:tc>
          <w:tcPr>
            <w:tcW w:w="2131" w:type="dxa"/>
            <w:gridSpan w:val="2"/>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p>
        </w:tc>
        <w:tc>
          <w:tcPr>
            <w:tcW w:w="1984" w:type="dxa"/>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证书申报</w:t>
            </w:r>
          </w:p>
        </w:tc>
        <w:tc>
          <w:tcPr>
            <w:tcW w:w="3969" w:type="dxa"/>
            <w:gridSpan w:val="6"/>
            <w:vAlign w:val="top"/>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标准选项</w:t>
            </w:r>
          </w:p>
        </w:tc>
        <w:tc>
          <w:tcPr>
            <w:tcW w:w="8084" w:type="dxa"/>
            <w:gridSpan w:val="9"/>
            <w:vAlign w:val="center"/>
          </w:tcPr>
          <w:p>
            <w:pPr>
              <w:keepNext w:val="0"/>
              <w:keepLines w:val="0"/>
              <w:pageBreakBefore w:val="0"/>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2980元□       B：3980元□     C</w:t>
            </w:r>
            <w:r>
              <w:rPr>
                <w:rFonts w:hint="eastAsia" w:ascii="宋体" w:hAnsi="宋体" w:eastAsia="宋体" w:cs="宋体"/>
                <w:sz w:val="24"/>
                <w:szCs w:val="24"/>
                <w:lang w:eastAsia="zh-CN"/>
              </w:rPr>
              <w:t>：</w:t>
            </w:r>
            <w:r>
              <w:rPr>
                <w:rFonts w:hint="eastAsia" w:ascii="宋体" w:hAnsi="宋体" w:eastAsia="宋体" w:cs="宋体"/>
                <w:sz w:val="24"/>
                <w:szCs w:val="24"/>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付款方式</w:t>
            </w:r>
          </w:p>
        </w:tc>
        <w:tc>
          <w:tcPr>
            <w:tcW w:w="4272" w:type="dxa"/>
            <w:gridSpan w:val="4"/>
          </w:tcPr>
          <w:p>
            <w:pPr>
              <w:keepNext w:val="0"/>
              <w:keepLines w:val="0"/>
              <w:pageBreakBefore w:val="0"/>
              <w:widowControl/>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□银行     □网银 </w:t>
            </w:r>
          </w:p>
        </w:tc>
        <w:tc>
          <w:tcPr>
            <w:tcW w:w="996" w:type="dxa"/>
            <w:gridSpan w:val="2"/>
          </w:tcPr>
          <w:p>
            <w:pPr>
              <w:keepNext w:val="0"/>
              <w:keepLines w:val="0"/>
              <w:pageBreakBefore w:val="0"/>
              <w:widowControl/>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r>
              <w:rPr>
                <w:rFonts w:hint="eastAsia" w:ascii="宋体" w:hAnsi="宋体" w:eastAsia="宋体" w:cs="宋体"/>
                <w:sz w:val="24"/>
                <w:szCs w:val="24"/>
              </w:rPr>
              <w:t>金额</w:t>
            </w:r>
          </w:p>
        </w:tc>
        <w:tc>
          <w:tcPr>
            <w:tcW w:w="2816" w:type="dxa"/>
            <w:gridSpan w:val="3"/>
          </w:tcPr>
          <w:p>
            <w:pPr>
              <w:keepNext w:val="0"/>
              <w:keepLines w:val="0"/>
              <w:pageBreakBefore w:val="0"/>
              <w:widowControl/>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需要与专家</w:t>
            </w:r>
          </w:p>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沟通的问题</w:t>
            </w:r>
          </w:p>
        </w:tc>
        <w:tc>
          <w:tcPr>
            <w:tcW w:w="8084" w:type="dxa"/>
            <w:gridSpan w:val="9"/>
          </w:tcPr>
          <w:p>
            <w:pPr>
              <w:keepNext w:val="0"/>
              <w:keepLines w:val="0"/>
              <w:pageBreakBefore w:val="0"/>
              <w:widowControl/>
              <w:kinsoku/>
              <w:wordWrap/>
              <w:overflowPunct/>
              <w:topLinePunct w:val="0"/>
              <w:bidi w:val="0"/>
              <w:snapToGrid/>
              <w:spacing w:line="500" w:lineRule="exact"/>
              <w:ind w:right="-147" w:rightChars="-70"/>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zh-CN"/>
              </w:rPr>
              <w:t>收款账户</w:t>
            </w:r>
          </w:p>
        </w:tc>
        <w:tc>
          <w:tcPr>
            <w:tcW w:w="8084"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单位名称：北京中科善若教育咨询有限公司</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开 户 行：中国工商银行股份有限公司北京</w:t>
            </w:r>
            <w:r>
              <w:rPr>
                <w:rFonts w:hint="eastAsia" w:ascii="宋体" w:hAnsi="宋体" w:eastAsia="宋体" w:cs="宋体"/>
                <w:color w:val="000000"/>
                <w:sz w:val="24"/>
                <w:szCs w:val="24"/>
                <w:lang w:val="en-US" w:eastAsia="zh-CN"/>
              </w:rPr>
              <w:t>永定路</w:t>
            </w:r>
            <w:r>
              <w:rPr>
                <w:rFonts w:hint="eastAsia" w:ascii="宋体" w:hAnsi="宋体" w:eastAsia="宋体" w:cs="宋体"/>
                <w:color w:val="000000"/>
                <w:sz w:val="24"/>
                <w:szCs w:val="24"/>
                <w:lang w:val="zh-CN" w:eastAsia="zh-CN"/>
              </w:rPr>
              <w:t xml:space="preserve">支行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zh-CN" w:eastAsia="zh-CN"/>
              </w:rPr>
              <w:t>账    号：02002470092000</w:t>
            </w:r>
            <w:r>
              <w:rPr>
                <w:rFonts w:hint="eastAsia" w:ascii="宋体" w:hAnsi="宋体" w:eastAsia="宋体" w:cs="宋体"/>
                <w:color w:val="000000"/>
                <w:sz w:val="24"/>
                <w:szCs w:val="24"/>
                <w:lang w:val="en-US" w:eastAsia="zh-CN"/>
              </w:rPr>
              <w:t>77514</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color w:val="000000"/>
                <w:sz w:val="24"/>
                <w:szCs w:val="24"/>
                <w:lang w:val="zh-CN" w:eastAsia="zh-CN"/>
              </w:rPr>
              <w:t>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eastAsia="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autoSpaceDE/>
              <w:autoSpaceDN/>
              <w:adjustRightInd/>
              <w:spacing w:line="360" w:lineRule="exact"/>
              <w:ind w:right="-147" w:rightChars="-70"/>
              <w:jc w:val="center"/>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备注</w:t>
            </w:r>
          </w:p>
        </w:tc>
        <w:tc>
          <w:tcPr>
            <w:tcW w:w="5203" w:type="dxa"/>
            <w:gridSpan w:val="5"/>
            <w:vAlign w:val="center"/>
          </w:tcPr>
          <w:p>
            <w:pPr>
              <w:keepNext w:val="0"/>
              <w:keepLines w:val="0"/>
              <w:pageBreakBefore w:val="0"/>
              <w:kinsoku/>
              <w:wordWrap/>
              <w:overflowPunct/>
              <w:topLinePunct w:val="0"/>
              <w:bidi w:val="0"/>
              <w:snapToGrid/>
              <w:spacing w:line="500" w:lineRule="exact"/>
              <w:ind w:right="-147" w:rightChars="-7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请将《报名回执表》回传至会务组，并在报名3日内办理培训费，会务组确认到款后即发《</w:t>
            </w:r>
            <w:r>
              <w:rPr>
                <w:rFonts w:hint="eastAsia" w:ascii="宋体" w:hAnsi="宋体" w:eastAsia="宋体" w:cs="宋体"/>
                <w:sz w:val="24"/>
                <w:szCs w:val="24"/>
                <w:lang w:val="en-US" w:eastAsia="zh-CN"/>
              </w:rPr>
              <w:t>培训</w:t>
            </w:r>
            <w:r>
              <w:rPr>
                <w:rFonts w:hint="eastAsia" w:ascii="宋体" w:hAnsi="宋体" w:eastAsia="宋体" w:cs="宋体"/>
                <w:sz w:val="24"/>
                <w:szCs w:val="24"/>
                <w:lang w:val="zh-CN"/>
              </w:rPr>
              <w:t>凭证》，详细说明培训具体安排事项。</w:t>
            </w:r>
          </w:p>
        </w:tc>
        <w:tc>
          <w:tcPr>
            <w:tcW w:w="2881" w:type="dxa"/>
            <w:gridSpan w:val="4"/>
            <w:vAlign w:val="center"/>
          </w:tcPr>
          <w:p>
            <w:pPr>
              <w:keepNext w:val="0"/>
              <w:keepLines w:val="0"/>
              <w:pageBreakBefore w:val="0"/>
              <w:kinsoku/>
              <w:wordWrap/>
              <w:overflowPunct/>
              <w:topLinePunct w:val="0"/>
              <w:bidi w:val="0"/>
              <w:snapToGrid/>
              <w:spacing w:line="500" w:lineRule="exact"/>
              <w:ind w:right="-147" w:rightChars="-7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单位印章</w:t>
            </w:r>
          </w:p>
          <w:p>
            <w:pPr>
              <w:keepNext w:val="0"/>
              <w:keepLines w:val="0"/>
              <w:pageBreakBefore w:val="0"/>
              <w:kinsoku/>
              <w:wordWrap/>
              <w:overflowPunct/>
              <w:topLinePunct w:val="0"/>
              <w:bidi w:val="0"/>
              <w:snapToGrid/>
              <w:spacing w:line="500" w:lineRule="exact"/>
              <w:ind w:right="-147" w:rightChars="-7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2020 年    月    日</w:t>
            </w:r>
          </w:p>
        </w:tc>
      </w:tr>
    </w:tbl>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电话（传真）：010-87697580           邮  箱：zqgphwz@126.com  </w:t>
      </w:r>
    </w:p>
    <w:p>
      <w:pPr>
        <w:keepNext w:val="0"/>
        <w:keepLines w:val="0"/>
        <w:pageBreakBefore w:val="0"/>
        <w:widowControl w:val="0"/>
        <w:kinsoku/>
        <w:wordWrap/>
        <w:overflowPunct/>
        <w:topLinePunct w:val="0"/>
        <w:autoSpaceDE/>
        <w:autoSpaceDN/>
        <w:bidi w:val="0"/>
        <w:adjustRightInd/>
        <w:snapToGrid/>
        <w:spacing w:line="340" w:lineRule="exact"/>
        <w:jc w:val="left"/>
        <w:rPr>
          <w:rStyle w:val="9"/>
          <w:rFonts w:ascii="黑体" w:hAnsi="黑体" w:eastAsia="黑体" w:cs="黑体"/>
          <w:b w:val="0"/>
          <w:bCs w:val="0"/>
          <w:color w:val="000000"/>
          <w:sz w:val="28"/>
          <w:szCs w:val="28"/>
          <w:lang w:val="zh-CN"/>
        </w:rPr>
      </w:pPr>
      <w:r>
        <w:rPr>
          <w:rFonts w:hint="eastAsia" w:ascii="宋体" w:hAnsi="宋体" w:eastAsia="宋体" w:cs="宋体"/>
          <w:color w:val="000000"/>
          <w:kern w:val="0"/>
          <w:sz w:val="24"/>
          <w:szCs w:val="24"/>
        </w:rPr>
        <w:t>网址查询：http://www.zqgpchina.cn/   qq咨询：3177524020</w:t>
      </w:r>
      <w:bookmarkStart w:id="0" w:name="_GoBack"/>
      <w:bookmarkEnd w:id="0"/>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kern w:val="0"/>
          <w:sz w:val="24"/>
          <w:szCs w:val="24"/>
        </w:rPr>
        <w:t xml:space="preserve">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90"/>
    <w:rsid w:val="00015019"/>
    <w:rsid w:val="00033891"/>
    <w:rsid w:val="000A0CD4"/>
    <w:rsid w:val="000B0503"/>
    <w:rsid w:val="000E713A"/>
    <w:rsid w:val="000F6500"/>
    <w:rsid w:val="00102E9B"/>
    <w:rsid w:val="00107A23"/>
    <w:rsid w:val="001304DE"/>
    <w:rsid w:val="00140C32"/>
    <w:rsid w:val="001420A4"/>
    <w:rsid w:val="00147D37"/>
    <w:rsid w:val="00164DD7"/>
    <w:rsid w:val="001656F2"/>
    <w:rsid w:val="001732D9"/>
    <w:rsid w:val="00196B83"/>
    <w:rsid w:val="001B432E"/>
    <w:rsid w:val="001B7037"/>
    <w:rsid w:val="001D16AE"/>
    <w:rsid w:val="001E0035"/>
    <w:rsid w:val="001E3278"/>
    <w:rsid w:val="001F0E6A"/>
    <w:rsid w:val="00207C21"/>
    <w:rsid w:val="00233407"/>
    <w:rsid w:val="0023370B"/>
    <w:rsid w:val="00253AA0"/>
    <w:rsid w:val="002545FB"/>
    <w:rsid w:val="00270F78"/>
    <w:rsid w:val="00272876"/>
    <w:rsid w:val="0027592B"/>
    <w:rsid w:val="002874D3"/>
    <w:rsid w:val="00290E29"/>
    <w:rsid w:val="002E0C25"/>
    <w:rsid w:val="002E111B"/>
    <w:rsid w:val="002E680D"/>
    <w:rsid w:val="002E7677"/>
    <w:rsid w:val="002F0475"/>
    <w:rsid w:val="003378BD"/>
    <w:rsid w:val="00346613"/>
    <w:rsid w:val="00347DBD"/>
    <w:rsid w:val="003520E1"/>
    <w:rsid w:val="00353061"/>
    <w:rsid w:val="003700AF"/>
    <w:rsid w:val="00394666"/>
    <w:rsid w:val="003A176E"/>
    <w:rsid w:val="003B6395"/>
    <w:rsid w:val="003E556C"/>
    <w:rsid w:val="0040066C"/>
    <w:rsid w:val="004146E3"/>
    <w:rsid w:val="00427300"/>
    <w:rsid w:val="00432C7F"/>
    <w:rsid w:val="0044522B"/>
    <w:rsid w:val="00462698"/>
    <w:rsid w:val="004865C7"/>
    <w:rsid w:val="0049770E"/>
    <w:rsid w:val="004A14C8"/>
    <w:rsid w:val="004A394F"/>
    <w:rsid w:val="004B3DA6"/>
    <w:rsid w:val="004E2AFD"/>
    <w:rsid w:val="004E6AB9"/>
    <w:rsid w:val="004F3F43"/>
    <w:rsid w:val="004F5090"/>
    <w:rsid w:val="0050449A"/>
    <w:rsid w:val="00524032"/>
    <w:rsid w:val="00524346"/>
    <w:rsid w:val="00532708"/>
    <w:rsid w:val="00575045"/>
    <w:rsid w:val="00590BD3"/>
    <w:rsid w:val="005A78B0"/>
    <w:rsid w:val="005B36CC"/>
    <w:rsid w:val="005C50E5"/>
    <w:rsid w:val="005D18D0"/>
    <w:rsid w:val="005D6226"/>
    <w:rsid w:val="005E3E95"/>
    <w:rsid w:val="00614A64"/>
    <w:rsid w:val="0065412E"/>
    <w:rsid w:val="0066659F"/>
    <w:rsid w:val="006A0D96"/>
    <w:rsid w:val="006C4346"/>
    <w:rsid w:val="006E0C99"/>
    <w:rsid w:val="006E3411"/>
    <w:rsid w:val="006F0EE2"/>
    <w:rsid w:val="0070550B"/>
    <w:rsid w:val="00712D46"/>
    <w:rsid w:val="007278BB"/>
    <w:rsid w:val="00737505"/>
    <w:rsid w:val="007534CF"/>
    <w:rsid w:val="00767A7B"/>
    <w:rsid w:val="00771286"/>
    <w:rsid w:val="007714C0"/>
    <w:rsid w:val="007734D7"/>
    <w:rsid w:val="00782A13"/>
    <w:rsid w:val="00797D26"/>
    <w:rsid w:val="007A7346"/>
    <w:rsid w:val="007E6F0C"/>
    <w:rsid w:val="007F280B"/>
    <w:rsid w:val="00856748"/>
    <w:rsid w:val="00862E80"/>
    <w:rsid w:val="00871A2C"/>
    <w:rsid w:val="00877E50"/>
    <w:rsid w:val="00893280"/>
    <w:rsid w:val="00896094"/>
    <w:rsid w:val="008A4217"/>
    <w:rsid w:val="008F1968"/>
    <w:rsid w:val="008F2241"/>
    <w:rsid w:val="00905670"/>
    <w:rsid w:val="00927E18"/>
    <w:rsid w:val="00932B9F"/>
    <w:rsid w:val="00934E68"/>
    <w:rsid w:val="009435B3"/>
    <w:rsid w:val="00947C46"/>
    <w:rsid w:val="009579E6"/>
    <w:rsid w:val="00961726"/>
    <w:rsid w:val="00963E10"/>
    <w:rsid w:val="00986B2D"/>
    <w:rsid w:val="009949C8"/>
    <w:rsid w:val="009B561F"/>
    <w:rsid w:val="009D6FB3"/>
    <w:rsid w:val="009E4271"/>
    <w:rsid w:val="009F600E"/>
    <w:rsid w:val="00A1575D"/>
    <w:rsid w:val="00A45C18"/>
    <w:rsid w:val="00A46C87"/>
    <w:rsid w:val="00A523A3"/>
    <w:rsid w:val="00A76C27"/>
    <w:rsid w:val="00A94FAC"/>
    <w:rsid w:val="00B24946"/>
    <w:rsid w:val="00B24ADB"/>
    <w:rsid w:val="00B24D3B"/>
    <w:rsid w:val="00B36E5A"/>
    <w:rsid w:val="00B51D1F"/>
    <w:rsid w:val="00B548AE"/>
    <w:rsid w:val="00B61AE1"/>
    <w:rsid w:val="00B811C4"/>
    <w:rsid w:val="00B81B95"/>
    <w:rsid w:val="00B91E7D"/>
    <w:rsid w:val="00BC05A1"/>
    <w:rsid w:val="00BC37FA"/>
    <w:rsid w:val="00BD153A"/>
    <w:rsid w:val="00BD5551"/>
    <w:rsid w:val="00C10C36"/>
    <w:rsid w:val="00C25E76"/>
    <w:rsid w:val="00C35E3B"/>
    <w:rsid w:val="00C709DF"/>
    <w:rsid w:val="00C80FDD"/>
    <w:rsid w:val="00C845C5"/>
    <w:rsid w:val="00C9734C"/>
    <w:rsid w:val="00CA0EE4"/>
    <w:rsid w:val="00CD549A"/>
    <w:rsid w:val="00D102C5"/>
    <w:rsid w:val="00D16221"/>
    <w:rsid w:val="00D17F31"/>
    <w:rsid w:val="00D65DD9"/>
    <w:rsid w:val="00D7216A"/>
    <w:rsid w:val="00D8297B"/>
    <w:rsid w:val="00D97121"/>
    <w:rsid w:val="00DA4371"/>
    <w:rsid w:val="00DF2DE7"/>
    <w:rsid w:val="00E021E0"/>
    <w:rsid w:val="00E0595F"/>
    <w:rsid w:val="00E14444"/>
    <w:rsid w:val="00E216E2"/>
    <w:rsid w:val="00E2247E"/>
    <w:rsid w:val="00E225AF"/>
    <w:rsid w:val="00E25C7A"/>
    <w:rsid w:val="00E56B9D"/>
    <w:rsid w:val="00E62894"/>
    <w:rsid w:val="00E6474A"/>
    <w:rsid w:val="00E65BEF"/>
    <w:rsid w:val="00E80F7E"/>
    <w:rsid w:val="00E92E2F"/>
    <w:rsid w:val="00E96A07"/>
    <w:rsid w:val="00EA02E4"/>
    <w:rsid w:val="00EB47B0"/>
    <w:rsid w:val="00EB5495"/>
    <w:rsid w:val="00EC4754"/>
    <w:rsid w:val="00EC4C0A"/>
    <w:rsid w:val="00EC682A"/>
    <w:rsid w:val="00EC6D06"/>
    <w:rsid w:val="00EE12CF"/>
    <w:rsid w:val="00EE327E"/>
    <w:rsid w:val="00EE7501"/>
    <w:rsid w:val="00EF5DA7"/>
    <w:rsid w:val="00F02590"/>
    <w:rsid w:val="00F22C6E"/>
    <w:rsid w:val="00F63857"/>
    <w:rsid w:val="00F949E9"/>
    <w:rsid w:val="00F94DCA"/>
    <w:rsid w:val="00FC411C"/>
    <w:rsid w:val="00FD0528"/>
    <w:rsid w:val="00FE7D6E"/>
    <w:rsid w:val="01096E73"/>
    <w:rsid w:val="016872D4"/>
    <w:rsid w:val="01733977"/>
    <w:rsid w:val="0299408C"/>
    <w:rsid w:val="02E63C24"/>
    <w:rsid w:val="02E80E5B"/>
    <w:rsid w:val="02ED0832"/>
    <w:rsid w:val="03252C4B"/>
    <w:rsid w:val="03C06CEE"/>
    <w:rsid w:val="040040EF"/>
    <w:rsid w:val="040F1D90"/>
    <w:rsid w:val="045E781D"/>
    <w:rsid w:val="045F7902"/>
    <w:rsid w:val="04686DB0"/>
    <w:rsid w:val="04880050"/>
    <w:rsid w:val="04FD390A"/>
    <w:rsid w:val="056E103A"/>
    <w:rsid w:val="058C74E5"/>
    <w:rsid w:val="062324A0"/>
    <w:rsid w:val="06D07E3B"/>
    <w:rsid w:val="073F321D"/>
    <w:rsid w:val="07565951"/>
    <w:rsid w:val="077B1144"/>
    <w:rsid w:val="07AC0274"/>
    <w:rsid w:val="082067BC"/>
    <w:rsid w:val="084B733E"/>
    <w:rsid w:val="08996B3E"/>
    <w:rsid w:val="08AF7A1E"/>
    <w:rsid w:val="091B2649"/>
    <w:rsid w:val="097C648C"/>
    <w:rsid w:val="09996115"/>
    <w:rsid w:val="0A60731B"/>
    <w:rsid w:val="0A934EBD"/>
    <w:rsid w:val="0AAB7EC3"/>
    <w:rsid w:val="0B1B03D9"/>
    <w:rsid w:val="0B684C81"/>
    <w:rsid w:val="0B76488A"/>
    <w:rsid w:val="0BDA131D"/>
    <w:rsid w:val="0BDF04B6"/>
    <w:rsid w:val="0CCD336F"/>
    <w:rsid w:val="0CCF562D"/>
    <w:rsid w:val="0D13494D"/>
    <w:rsid w:val="0D307CBB"/>
    <w:rsid w:val="0DEE3248"/>
    <w:rsid w:val="0E1A1555"/>
    <w:rsid w:val="0E244600"/>
    <w:rsid w:val="0E867961"/>
    <w:rsid w:val="0EC129E7"/>
    <w:rsid w:val="0F2545F1"/>
    <w:rsid w:val="0F3B239C"/>
    <w:rsid w:val="0F730527"/>
    <w:rsid w:val="101407AE"/>
    <w:rsid w:val="1033058D"/>
    <w:rsid w:val="10342676"/>
    <w:rsid w:val="10972BB2"/>
    <w:rsid w:val="10A522C3"/>
    <w:rsid w:val="10AA2B31"/>
    <w:rsid w:val="11532F8E"/>
    <w:rsid w:val="116C0199"/>
    <w:rsid w:val="11D110F0"/>
    <w:rsid w:val="11E75964"/>
    <w:rsid w:val="11F74C1A"/>
    <w:rsid w:val="12104619"/>
    <w:rsid w:val="122C0661"/>
    <w:rsid w:val="123226C4"/>
    <w:rsid w:val="12757381"/>
    <w:rsid w:val="1286617C"/>
    <w:rsid w:val="135525A9"/>
    <w:rsid w:val="140705B7"/>
    <w:rsid w:val="14F70D4C"/>
    <w:rsid w:val="15102EA3"/>
    <w:rsid w:val="15467774"/>
    <w:rsid w:val="160D1AF4"/>
    <w:rsid w:val="160D4A3A"/>
    <w:rsid w:val="16455DA8"/>
    <w:rsid w:val="16476C15"/>
    <w:rsid w:val="16AE32E0"/>
    <w:rsid w:val="16D12722"/>
    <w:rsid w:val="16FB5A1F"/>
    <w:rsid w:val="174937F8"/>
    <w:rsid w:val="179371CE"/>
    <w:rsid w:val="179D62A4"/>
    <w:rsid w:val="17AB2FD0"/>
    <w:rsid w:val="17B230CD"/>
    <w:rsid w:val="18011435"/>
    <w:rsid w:val="188D4DAA"/>
    <w:rsid w:val="189A3C1A"/>
    <w:rsid w:val="18AA4F86"/>
    <w:rsid w:val="18E76639"/>
    <w:rsid w:val="19183667"/>
    <w:rsid w:val="1994650F"/>
    <w:rsid w:val="19AB703B"/>
    <w:rsid w:val="1A022BA2"/>
    <w:rsid w:val="1A24466B"/>
    <w:rsid w:val="1A6A44DC"/>
    <w:rsid w:val="1A823503"/>
    <w:rsid w:val="1AC242D5"/>
    <w:rsid w:val="1B026DFF"/>
    <w:rsid w:val="1B4A0726"/>
    <w:rsid w:val="1B543759"/>
    <w:rsid w:val="1BD63AD5"/>
    <w:rsid w:val="1C0F6CD9"/>
    <w:rsid w:val="1C2155D6"/>
    <w:rsid w:val="1C453C6E"/>
    <w:rsid w:val="1C4F6F10"/>
    <w:rsid w:val="1C787FA8"/>
    <w:rsid w:val="1D0633EC"/>
    <w:rsid w:val="1D1E39BC"/>
    <w:rsid w:val="1D7873F9"/>
    <w:rsid w:val="1DA17923"/>
    <w:rsid w:val="1E165709"/>
    <w:rsid w:val="1E252AC8"/>
    <w:rsid w:val="1E4C37D5"/>
    <w:rsid w:val="1E5B5D7C"/>
    <w:rsid w:val="1F4D2F78"/>
    <w:rsid w:val="1F8835DB"/>
    <w:rsid w:val="1FE151B4"/>
    <w:rsid w:val="202C4527"/>
    <w:rsid w:val="208A15F2"/>
    <w:rsid w:val="208C1543"/>
    <w:rsid w:val="20D61E2E"/>
    <w:rsid w:val="2144592D"/>
    <w:rsid w:val="21A74D88"/>
    <w:rsid w:val="220B5CE7"/>
    <w:rsid w:val="221C56F3"/>
    <w:rsid w:val="227E13F5"/>
    <w:rsid w:val="22A927F3"/>
    <w:rsid w:val="22DE4249"/>
    <w:rsid w:val="23275CF7"/>
    <w:rsid w:val="232937AD"/>
    <w:rsid w:val="23D87733"/>
    <w:rsid w:val="23EA10E9"/>
    <w:rsid w:val="248D0D8E"/>
    <w:rsid w:val="249D1F14"/>
    <w:rsid w:val="24AD08BA"/>
    <w:rsid w:val="25222D3D"/>
    <w:rsid w:val="25A23DF1"/>
    <w:rsid w:val="25B43FE9"/>
    <w:rsid w:val="2623482B"/>
    <w:rsid w:val="26256DC1"/>
    <w:rsid w:val="26516975"/>
    <w:rsid w:val="26713B54"/>
    <w:rsid w:val="267A7894"/>
    <w:rsid w:val="26FD6084"/>
    <w:rsid w:val="27242FB3"/>
    <w:rsid w:val="27775FA5"/>
    <w:rsid w:val="27827F3F"/>
    <w:rsid w:val="27F01025"/>
    <w:rsid w:val="27F177CD"/>
    <w:rsid w:val="282A6BFD"/>
    <w:rsid w:val="286F6BA7"/>
    <w:rsid w:val="287F7F28"/>
    <w:rsid w:val="28E25AED"/>
    <w:rsid w:val="290A384F"/>
    <w:rsid w:val="295E1782"/>
    <w:rsid w:val="29C6486A"/>
    <w:rsid w:val="29FD274E"/>
    <w:rsid w:val="2A072474"/>
    <w:rsid w:val="2A2264FA"/>
    <w:rsid w:val="2A7F14BA"/>
    <w:rsid w:val="2A8778DB"/>
    <w:rsid w:val="2AF62BDF"/>
    <w:rsid w:val="2AFB621A"/>
    <w:rsid w:val="2B286A29"/>
    <w:rsid w:val="2B55002F"/>
    <w:rsid w:val="2BC76739"/>
    <w:rsid w:val="2BF96B8B"/>
    <w:rsid w:val="2C483892"/>
    <w:rsid w:val="2C5D7341"/>
    <w:rsid w:val="2C7336D0"/>
    <w:rsid w:val="2C740D5C"/>
    <w:rsid w:val="2C7F4218"/>
    <w:rsid w:val="2C891FE9"/>
    <w:rsid w:val="2CA56D0D"/>
    <w:rsid w:val="2CFE2C85"/>
    <w:rsid w:val="2D5159CF"/>
    <w:rsid w:val="2D7A4331"/>
    <w:rsid w:val="2DB4303D"/>
    <w:rsid w:val="2DDB07AB"/>
    <w:rsid w:val="2E2D6B0F"/>
    <w:rsid w:val="2E417FF4"/>
    <w:rsid w:val="2E8D5CCE"/>
    <w:rsid w:val="2EA67C56"/>
    <w:rsid w:val="2ED233D2"/>
    <w:rsid w:val="2EFA7C5A"/>
    <w:rsid w:val="2F032994"/>
    <w:rsid w:val="2F0C0DAA"/>
    <w:rsid w:val="2F564FEA"/>
    <w:rsid w:val="2FBF3EDB"/>
    <w:rsid w:val="2FD72ADE"/>
    <w:rsid w:val="30BB664C"/>
    <w:rsid w:val="315E7F26"/>
    <w:rsid w:val="316141E6"/>
    <w:rsid w:val="31A077C9"/>
    <w:rsid w:val="31AA4C71"/>
    <w:rsid w:val="32185367"/>
    <w:rsid w:val="322C22B0"/>
    <w:rsid w:val="32472096"/>
    <w:rsid w:val="332306B4"/>
    <w:rsid w:val="33780BD7"/>
    <w:rsid w:val="33D17892"/>
    <w:rsid w:val="33E3586F"/>
    <w:rsid w:val="343277C4"/>
    <w:rsid w:val="344430BD"/>
    <w:rsid w:val="34545F3A"/>
    <w:rsid w:val="3459155A"/>
    <w:rsid w:val="346579F4"/>
    <w:rsid w:val="34695C2B"/>
    <w:rsid w:val="34A95ABE"/>
    <w:rsid w:val="34B15E25"/>
    <w:rsid w:val="34C016D3"/>
    <w:rsid w:val="34EC7611"/>
    <w:rsid w:val="35072977"/>
    <w:rsid w:val="35337E0C"/>
    <w:rsid w:val="35714818"/>
    <w:rsid w:val="35911B18"/>
    <w:rsid w:val="35962335"/>
    <w:rsid w:val="35AE3AF9"/>
    <w:rsid w:val="35C46168"/>
    <w:rsid w:val="361A2D08"/>
    <w:rsid w:val="362A215E"/>
    <w:rsid w:val="363242AD"/>
    <w:rsid w:val="364F5FD8"/>
    <w:rsid w:val="36C07AFE"/>
    <w:rsid w:val="36C87C9D"/>
    <w:rsid w:val="36FF22B8"/>
    <w:rsid w:val="37355F87"/>
    <w:rsid w:val="379A6975"/>
    <w:rsid w:val="37EF193B"/>
    <w:rsid w:val="38387910"/>
    <w:rsid w:val="38A635AE"/>
    <w:rsid w:val="391904B9"/>
    <w:rsid w:val="39AE50EB"/>
    <w:rsid w:val="39F75EBA"/>
    <w:rsid w:val="3B7A1DFC"/>
    <w:rsid w:val="3B9058CA"/>
    <w:rsid w:val="3BF12975"/>
    <w:rsid w:val="3C02673B"/>
    <w:rsid w:val="3C963FB8"/>
    <w:rsid w:val="3CF726D7"/>
    <w:rsid w:val="3D0B2ECF"/>
    <w:rsid w:val="3D0E5C77"/>
    <w:rsid w:val="3D844571"/>
    <w:rsid w:val="3DA10BF8"/>
    <w:rsid w:val="3DB112E3"/>
    <w:rsid w:val="3E102E82"/>
    <w:rsid w:val="3E5634E0"/>
    <w:rsid w:val="3E977672"/>
    <w:rsid w:val="3ECB244C"/>
    <w:rsid w:val="3F283A6E"/>
    <w:rsid w:val="3FCC2491"/>
    <w:rsid w:val="3FD57EEE"/>
    <w:rsid w:val="405D57A2"/>
    <w:rsid w:val="4063029D"/>
    <w:rsid w:val="40884D16"/>
    <w:rsid w:val="40887F25"/>
    <w:rsid w:val="408E0F6B"/>
    <w:rsid w:val="40AD6F62"/>
    <w:rsid w:val="41742331"/>
    <w:rsid w:val="41981A07"/>
    <w:rsid w:val="41D26579"/>
    <w:rsid w:val="41E12669"/>
    <w:rsid w:val="424337F2"/>
    <w:rsid w:val="425C65F2"/>
    <w:rsid w:val="42D2244B"/>
    <w:rsid w:val="42E458C2"/>
    <w:rsid w:val="42E70DD3"/>
    <w:rsid w:val="43043ABB"/>
    <w:rsid w:val="439C3417"/>
    <w:rsid w:val="43A6089B"/>
    <w:rsid w:val="43EF2BBE"/>
    <w:rsid w:val="44547303"/>
    <w:rsid w:val="445B5A1D"/>
    <w:rsid w:val="44F66ABF"/>
    <w:rsid w:val="453946EA"/>
    <w:rsid w:val="45AD743F"/>
    <w:rsid w:val="462B710A"/>
    <w:rsid w:val="46900BCA"/>
    <w:rsid w:val="46E54F06"/>
    <w:rsid w:val="47095C13"/>
    <w:rsid w:val="472977ED"/>
    <w:rsid w:val="47312560"/>
    <w:rsid w:val="474926B2"/>
    <w:rsid w:val="47A61CD8"/>
    <w:rsid w:val="48347F0E"/>
    <w:rsid w:val="49213A4A"/>
    <w:rsid w:val="493D277D"/>
    <w:rsid w:val="49445AF3"/>
    <w:rsid w:val="49666D30"/>
    <w:rsid w:val="496E75D4"/>
    <w:rsid w:val="4AA2424A"/>
    <w:rsid w:val="4B847953"/>
    <w:rsid w:val="4BA35709"/>
    <w:rsid w:val="4BC5582C"/>
    <w:rsid w:val="4C286379"/>
    <w:rsid w:val="4CAA1DB9"/>
    <w:rsid w:val="4D346DB0"/>
    <w:rsid w:val="4D3B6823"/>
    <w:rsid w:val="4D772495"/>
    <w:rsid w:val="4DBE2CD4"/>
    <w:rsid w:val="4DCB026D"/>
    <w:rsid w:val="4E5825C5"/>
    <w:rsid w:val="4EA40AAC"/>
    <w:rsid w:val="4EF10D9F"/>
    <w:rsid w:val="4F386939"/>
    <w:rsid w:val="51877B58"/>
    <w:rsid w:val="524D0959"/>
    <w:rsid w:val="52CB1A09"/>
    <w:rsid w:val="52D7405D"/>
    <w:rsid w:val="52EE250C"/>
    <w:rsid w:val="53013A4B"/>
    <w:rsid w:val="53116BA1"/>
    <w:rsid w:val="534A3C95"/>
    <w:rsid w:val="53587C15"/>
    <w:rsid w:val="535A5C00"/>
    <w:rsid w:val="53A15461"/>
    <w:rsid w:val="53D758C2"/>
    <w:rsid w:val="53D87D15"/>
    <w:rsid w:val="542B4FAE"/>
    <w:rsid w:val="54744E21"/>
    <w:rsid w:val="548215A5"/>
    <w:rsid w:val="54A85829"/>
    <w:rsid w:val="55342219"/>
    <w:rsid w:val="554D078F"/>
    <w:rsid w:val="56325324"/>
    <w:rsid w:val="56910805"/>
    <w:rsid w:val="569318DB"/>
    <w:rsid w:val="56D14A44"/>
    <w:rsid w:val="56D36A13"/>
    <w:rsid w:val="57171D81"/>
    <w:rsid w:val="577F5EA1"/>
    <w:rsid w:val="57AD0F69"/>
    <w:rsid w:val="580C1868"/>
    <w:rsid w:val="58433EDF"/>
    <w:rsid w:val="58465F2C"/>
    <w:rsid w:val="584B47FB"/>
    <w:rsid w:val="58E31495"/>
    <w:rsid w:val="591469D0"/>
    <w:rsid w:val="591E7196"/>
    <w:rsid w:val="59555EE8"/>
    <w:rsid w:val="596115AC"/>
    <w:rsid w:val="597A5475"/>
    <w:rsid w:val="598711CA"/>
    <w:rsid w:val="59B23598"/>
    <w:rsid w:val="59CE7435"/>
    <w:rsid w:val="5A085671"/>
    <w:rsid w:val="5A105E9D"/>
    <w:rsid w:val="5B560BEF"/>
    <w:rsid w:val="5BEA0C9C"/>
    <w:rsid w:val="5C02479D"/>
    <w:rsid w:val="5C2E2A00"/>
    <w:rsid w:val="5C3B6163"/>
    <w:rsid w:val="5C9D776E"/>
    <w:rsid w:val="5CE67624"/>
    <w:rsid w:val="5CF91525"/>
    <w:rsid w:val="5D941214"/>
    <w:rsid w:val="5DB62E22"/>
    <w:rsid w:val="5DC7395C"/>
    <w:rsid w:val="5DE55AAD"/>
    <w:rsid w:val="5DF92A7B"/>
    <w:rsid w:val="5E8132FA"/>
    <w:rsid w:val="5E957C30"/>
    <w:rsid w:val="5EA3702B"/>
    <w:rsid w:val="5EF7296A"/>
    <w:rsid w:val="5EF820B1"/>
    <w:rsid w:val="5F7A0DCF"/>
    <w:rsid w:val="5F8266B0"/>
    <w:rsid w:val="5F8800AD"/>
    <w:rsid w:val="5FC24B65"/>
    <w:rsid w:val="60196ACC"/>
    <w:rsid w:val="602F3AC7"/>
    <w:rsid w:val="60462E14"/>
    <w:rsid w:val="605F532C"/>
    <w:rsid w:val="610734E9"/>
    <w:rsid w:val="6121464D"/>
    <w:rsid w:val="61B07621"/>
    <w:rsid w:val="61C6591D"/>
    <w:rsid w:val="621E36AD"/>
    <w:rsid w:val="622A28CA"/>
    <w:rsid w:val="622C7FA1"/>
    <w:rsid w:val="62535A99"/>
    <w:rsid w:val="62AD6A84"/>
    <w:rsid w:val="62B4676B"/>
    <w:rsid w:val="62EA2020"/>
    <w:rsid w:val="62F66D88"/>
    <w:rsid w:val="63462059"/>
    <w:rsid w:val="63C059D2"/>
    <w:rsid w:val="63D653F3"/>
    <w:rsid w:val="641B6599"/>
    <w:rsid w:val="641F25D2"/>
    <w:rsid w:val="64505CB8"/>
    <w:rsid w:val="645D179A"/>
    <w:rsid w:val="6486542C"/>
    <w:rsid w:val="64A34F81"/>
    <w:rsid w:val="64B14EDC"/>
    <w:rsid w:val="64E506BE"/>
    <w:rsid w:val="64F57C6E"/>
    <w:rsid w:val="65415AAE"/>
    <w:rsid w:val="658018F7"/>
    <w:rsid w:val="659169F2"/>
    <w:rsid w:val="65E1314F"/>
    <w:rsid w:val="66627414"/>
    <w:rsid w:val="666526F9"/>
    <w:rsid w:val="669A732D"/>
    <w:rsid w:val="67A27A68"/>
    <w:rsid w:val="67CF34A0"/>
    <w:rsid w:val="680F42DB"/>
    <w:rsid w:val="681159CB"/>
    <w:rsid w:val="68704024"/>
    <w:rsid w:val="68B94D4F"/>
    <w:rsid w:val="68C137BA"/>
    <w:rsid w:val="68CD6381"/>
    <w:rsid w:val="68CF737E"/>
    <w:rsid w:val="694C07E5"/>
    <w:rsid w:val="695E28E2"/>
    <w:rsid w:val="6968091F"/>
    <w:rsid w:val="6A75758F"/>
    <w:rsid w:val="6A833BAC"/>
    <w:rsid w:val="6AD72D3B"/>
    <w:rsid w:val="6B0810E0"/>
    <w:rsid w:val="6B0C448E"/>
    <w:rsid w:val="6B1762D9"/>
    <w:rsid w:val="6B501853"/>
    <w:rsid w:val="6B740DBA"/>
    <w:rsid w:val="6C314077"/>
    <w:rsid w:val="6C696C5B"/>
    <w:rsid w:val="6CDF7424"/>
    <w:rsid w:val="6D1841DC"/>
    <w:rsid w:val="6D477461"/>
    <w:rsid w:val="6D48372F"/>
    <w:rsid w:val="6D814E1E"/>
    <w:rsid w:val="6DCF505D"/>
    <w:rsid w:val="6E6A368B"/>
    <w:rsid w:val="6EBD6146"/>
    <w:rsid w:val="6EEC4937"/>
    <w:rsid w:val="6F062293"/>
    <w:rsid w:val="6F5B698D"/>
    <w:rsid w:val="6F7C5106"/>
    <w:rsid w:val="6F9317B9"/>
    <w:rsid w:val="708E79F5"/>
    <w:rsid w:val="717D49AF"/>
    <w:rsid w:val="71C40D8D"/>
    <w:rsid w:val="723278B7"/>
    <w:rsid w:val="723F01F2"/>
    <w:rsid w:val="729552C8"/>
    <w:rsid w:val="72D769C4"/>
    <w:rsid w:val="73110529"/>
    <w:rsid w:val="73492896"/>
    <w:rsid w:val="73BE0ABA"/>
    <w:rsid w:val="73E958E9"/>
    <w:rsid w:val="73F62E23"/>
    <w:rsid w:val="7434432A"/>
    <w:rsid w:val="74EF26D4"/>
    <w:rsid w:val="75434D5C"/>
    <w:rsid w:val="75A95FB4"/>
    <w:rsid w:val="75AE501A"/>
    <w:rsid w:val="75C627A2"/>
    <w:rsid w:val="75E0081B"/>
    <w:rsid w:val="75E37CF2"/>
    <w:rsid w:val="7659580F"/>
    <w:rsid w:val="766706A4"/>
    <w:rsid w:val="76841D98"/>
    <w:rsid w:val="76CF1F80"/>
    <w:rsid w:val="76D642AD"/>
    <w:rsid w:val="76F23F83"/>
    <w:rsid w:val="77017B06"/>
    <w:rsid w:val="770E2391"/>
    <w:rsid w:val="77FE22AB"/>
    <w:rsid w:val="787C7092"/>
    <w:rsid w:val="78984FBE"/>
    <w:rsid w:val="78AD3FCF"/>
    <w:rsid w:val="7922513F"/>
    <w:rsid w:val="798B3F0C"/>
    <w:rsid w:val="79CD4BC1"/>
    <w:rsid w:val="79EF0B61"/>
    <w:rsid w:val="7A385403"/>
    <w:rsid w:val="7A4B2978"/>
    <w:rsid w:val="7A5A3AC3"/>
    <w:rsid w:val="7A9B4A8E"/>
    <w:rsid w:val="7AE550DC"/>
    <w:rsid w:val="7B195331"/>
    <w:rsid w:val="7B216417"/>
    <w:rsid w:val="7B382280"/>
    <w:rsid w:val="7CA04924"/>
    <w:rsid w:val="7D3F3206"/>
    <w:rsid w:val="7D9E30E4"/>
    <w:rsid w:val="7DA466C2"/>
    <w:rsid w:val="7DCC6F53"/>
    <w:rsid w:val="7DE672E2"/>
    <w:rsid w:val="7E4E5843"/>
    <w:rsid w:val="7EA233D5"/>
    <w:rsid w:val="7EA73EBF"/>
    <w:rsid w:val="7EAB7C34"/>
    <w:rsid w:val="7F33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99"/>
    <w:rPr>
      <w:rFonts w:cs="Times New Roman"/>
      <w:b/>
      <w:bCs/>
    </w:rPr>
  </w:style>
  <w:style w:type="character" w:styleId="10">
    <w:name w:val="Hyperlink"/>
    <w:basedOn w:val="8"/>
    <w:qFormat/>
    <w:uiPriority w:val="0"/>
    <w:rPr>
      <w:color w:val="0000FF"/>
      <w:u w:val="single"/>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qFormat/>
    <w:uiPriority w:val="99"/>
    <w:rPr>
      <w:rFonts w:asciiTheme="minorHAnsi" w:hAnsiTheme="minorHAnsi" w:eastAsiaTheme="minorEastAsia" w:cstheme="minorBidi"/>
      <w:kern w:val="2"/>
      <w:sz w:val="21"/>
      <w:szCs w:val="22"/>
    </w:rPr>
  </w:style>
  <w:style w:type="paragraph" w:customStyle="1" w:styleId="15">
    <w:name w:val="列出段落1"/>
    <w:basedOn w:val="1"/>
    <w:qFormat/>
    <w:uiPriority w:val="99"/>
    <w:pPr>
      <w:ind w:firstLine="420" w:firstLineChars="200"/>
    </w:pPr>
    <w:rPr>
      <w:rFonts w:cs="Times New Roman"/>
    </w:rPr>
  </w:style>
  <w:style w:type="character" w:customStyle="1" w:styleId="16">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E9191-051F-4396-A387-426D6F71C9F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547</Words>
  <Characters>3122</Characters>
  <Lines>26</Lines>
  <Paragraphs>7</Paragraphs>
  <TotalTime>4</TotalTime>
  <ScaleCrop>false</ScaleCrop>
  <LinksUpToDate>false</LinksUpToDate>
  <CharactersWithSpaces>3662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2019-04-04T07:28:00Z</dcterms:created>
  <dc:creator>PP P</dc:creator>
  <cp:lastModifiedBy>Administrator</cp:lastModifiedBy>
  <cp:lastPrinted>2020-08-07T06:50:00Z</cp:lastPrinted>
  <dcterms:modified xsi:type="dcterms:W3CDTF">2020-09-27T01:23:53Z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