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ascii="楷体" w:hAnsi="楷体" w:eastAsia="楷体" w:cs="宋体"/>
                <w:color w:val="000000"/>
                <w:szCs w:val="24"/>
                <w:lang w:val="zh-CN"/>
              </w:rPr>
              <w:t xml:space="preserve"> </w:t>
            </w:r>
            <w:r>
              <w:rPr>
                <w:rFonts w:cs="宋体"/>
                <w:color w:val="FF0000"/>
                <w:sz w:val="70"/>
                <w:szCs w:val="70"/>
              </w:rPr>
              <w:t>中 国 投 资 协 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jc w:val="center"/>
              <w:rPr>
                <w:rFonts w:hint="default" w:ascii="楷体" w:hAnsi="楷体" w:eastAsia="楷体"/>
                <w:color w:val="000000"/>
                <w:sz w:val="66"/>
                <w:szCs w:val="66"/>
              </w:rPr>
            </w:pPr>
            <w:r>
              <w:rPr>
                <w:rFonts w:cs="宋体"/>
                <w:sz w:val="30"/>
                <w:szCs w:val="30"/>
              </w:rPr>
              <w:t>投融培字〔2020〕</w:t>
            </w:r>
            <w:r>
              <w:rPr>
                <w:rFonts w:hint="eastAsia" w:cs="宋体"/>
                <w:sz w:val="30"/>
                <w:szCs w:val="30"/>
                <w:lang w:val="en-US" w:eastAsia="zh-CN"/>
              </w:rPr>
              <w:t>15</w:t>
            </w:r>
            <w:r>
              <w:rPr>
                <w:rFonts w:cs="宋体"/>
                <w:sz w:val="30"/>
                <w:szCs w:val="30"/>
              </w:rPr>
              <w:t>号</w:t>
            </w:r>
          </w:p>
        </w:tc>
      </w:tr>
    </w:tbl>
    <w:p>
      <w:pPr>
        <w:widowControl/>
        <w:autoSpaceDE/>
        <w:autoSpaceDN/>
        <w:adjustRightInd/>
        <w:spacing w:line="440" w:lineRule="exact"/>
        <w:ind w:left="721" w:hanging="721" w:hangingChars="200"/>
        <w:jc w:val="center"/>
        <w:rPr>
          <w:rFonts w:ascii="华文中宋" w:hAnsi="华文中宋" w:eastAsia="华文中宋" w:cs="宋体"/>
          <w:b/>
          <w:color w:val="000000"/>
          <w:sz w:val="36"/>
          <w:szCs w:val="36"/>
        </w:rPr>
      </w:pPr>
    </w:p>
    <w:p>
      <w:pPr>
        <w:widowControl/>
        <w:autoSpaceDE/>
        <w:autoSpaceDN/>
        <w:adjustRightInd/>
        <w:spacing w:line="440" w:lineRule="exact"/>
        <w:ind w:left="721" w:hanging="721" w:hangingChars="200"/>
        <w:jc w:val="center"/>
        <w:rPr>
          <w:rFonts w:hint="default" w:ascii="华文中宋" w:hAnsi="华文中宋" w:eastAsia="华文中宋" w:cs="宋体"/>
          <w:b/>
          <w:color w:val="000000"/>
          <w:sz w:val="36"/>
          <w:szCs w:val="36"/>
        </w:rPr>
      </w:pPr>
      <w:r>
        <w:rPr>
          <w:rFonts w:ascii="华文中宋" w:hAnsi="华文中宋" w:eastAsia="华文中宋" w:cs="宋体"/>
          <w:b/>
          <w:color w:val="000000"/>
          <w:sz w:val="36"/>
          <w:szCs w:val="36"/>
        </w:rPr>
        <w:t>关于举办新形势下产业新城综合片区开发项目投融资模式</w:t>
      </w:r>
    </w:p>
    <w:p>
      <w:pPr>
        <w:widowControl/>
        <w:autoSpaceDE/>
        <w:autoSpaceDN/>
        <w:adjustRightInd/>
        <w:spacing w:line="440" w:lineRule="exact"/>
        <w:ind w:left="721" w:hanging="721" w:hangingChars="200"/>
        <w:jc w:val="center"/>
        <w:rPr>
          <w:rFonts w:hint="default" w:ascii="华文中宋" w:hAnsi="华文中宋" w:eastAsia="华文中宋" w:cstheme="majorEastAsia"/>
          <w:sz w:val="36"/>
          <w:szCs w:val="36"/>
        </w:rPr>
      </w:pPr>
      <w:r>
        <w:rPr>
          <w:rFonts w:ascii="华文中宋" w:hAnsi="华文中宋" w:eastAsia="华文中宋" w:cs="宋体"/>
          <w:b/>
          <w:color w:val="000000"/>
          <w:sz w:val="36"/>
          <w:szCs w:val="36"/>
        </w:rPr>
        <w:t>创新实务与实战案例培训班的通知</w:t>
      </w:r>
    </w:p>
    <w:p>
      <w:pPr>
        <w:pStyle w:val="7"/>
        <w:spacing w:line="440" w:lineRule="exact"/>
        <w:jc w:val="left"/>
        <w:rPr>
          <w:rFonts w:hint="default" w:ascii="仿宋" w:hAnsi="仿宋" w:eastAsia="仿宋" w:cs="仿宋"/>
          <w:b w:val="0"/>
          <w:kern w:val="2"/>
          <w:sz w:val="28"/>
          <w:szCs w:val="28"/>
        </w:rPr>
      </w:pPr>
      <w:r>
        <w:rPr>
          <w:rFonts w:ascii="仿宋" w:hAnsi="仿宋" w:eastAsia="仿宋" w:cs="仿宋"/>
          <w:kern w:val="2"/>
          <w:sz w:val="28"/>
          <w:szCs w:val="28"/>
        </w:rPr>
        <w:t>各有关单位:</w:t>
      </w:r>
    </w:p>
    <w:p>
      <w:pPr>
        <w:autoSpaceDE/>
        <w:autoSpaceDN/>
        <w:adjustRightInd/>
        <w:spacing w:line="312"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开发区建设是我国改革开放的成功实践，对促进</w:t>
      </w:r>
      <w:r>
        <w:rPr>
          <w:rFonts w:hint="eastAsia" w:ascii="仿宋" w:hAnsi="仿宋" w:eastAsia="仿宋" w:cs="仿宋"/>
          <w:bCs/>
          <w:kern w:val="2"/>
          <w:sz w:val="28"/>
          <w:szCs w:val="28"/>
          <w:lang w:val="en-US" w:eastAsia="zh-CN"/>
        </w:rPr>
        <w:t>经济</w:t>
      </w:r>
      <w:r>
        <w:rPr>
          <w:rFonts w:ascii="仿宋" w:hAnsi="仿宋" w:eastAsia="仿宋" w:cs="仿宋"/>
          <w:bCs/>
          <w:kern w:val="2"/>
          <w:sz w:val="28"/>
          <w:szCs w:val="28"/>
        </w:rPr>
        <w:t>体制改革、改善投资环境、引导产业集聚、发展开放型经济发挥了不可替代的作用，开发区已成为推动我国工业化、城镇化快速发展和对外开放的重要平台。开发区应充分发挥市场在资源配置中的决定性作用，更好发挥政府作用，激发市场活力和创造力，培育经济发展新动能。</w:t>
      </w:r>
    </w:p>
    <w:p>
      <w:pPr>
        <w:autoSpaceDE/>
        <w:autoSpaceDN/>
        <w:adjustRightInd/>
        <w:spacing w:line="312"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为贯彻落实《国务院办公厅关于促进开发区改革和创新发展的若干意见》(国办发〔2017〕7号)、《国务院关于推进国家级经济技术开发区创新提升打造改革开放新高地的意见》（国发〔2019〕11号）、《关于促进具备条件的开发区向城市综合功能区转型的指导意见》（发改规划〔2015〕2832号）以及国务院</w:t>
      </w:r>
      <w:r>
        <w:rPr>
          <w:rFonts w:hint="eastAsia" w:ascii="仿宋" w:hAnsi="仿宋" w:eastAsia="仿宋" w:cs="仿宋"/>
          <w:bCs/>
          <w:kern w:val="2"/>
          <w:sz w:val="28"/>
          <w:szCs w:val="28"/>
          <w:lang w:val="en-US" w:eastAsia="zh-CN"/>
        </w:rPr>
        <w:t>有关</w:t>
      </w:r>
      <w:r>
        <w:rPr>
          <w:rFonts w:ascii="仿宋" w:hAnsi="仿宋" w:eastAsia="仿宋" w:cs="仿宋"/>
          <w:bCs/>
          <w:kern w:val="2"/>
          <w:sz w:val="28"/>
          <w:szCs w:val="28"/>
        </w:rPr>
        <w:t>部委关于开发区、工业园区的一系列工作部署，推进各开发主体</w:t>
      </w:r>
      <w:r>
        <w:rPr>
          <w:rFonts w:hint="eastAsia" w:ascii="仿宋" w:hAnsi="仿宋" w:eastAsia="仿宋" w:cs="仿宋"/>
          <w:bCs/>
          <w:kern w:val="2"/>
          <w:sz w:val="28"/>
          <w:szCs w:val="28"/>
          <w:lang w:val="en-US" w:eastAsia="zh-CN"/>
        </w:rPr>
        <w:t>的建设运营</w:t>
      </w:r>
      <w:r>
        <w:rPr>
          <w:rFonts w:ascii="仿宋" w:hAnsi="仿宋" w:eastAsia="仿宋" w:cs="仿宋"/>
          <w:bCs/>
          <w:kern w:val="2"/>
          <w:sz w:val="28"/>
          <w:szCs w:val="28"/>
        </w:rPr>
        <w:t>，引导社会资本参与开发区建设，按照国家有关规定享受开发区相关政策，促进开发区</w:t>
      </w:r>
      <w:r>
        <w:rPr>
          <w:rFonts w:hint="eastAsia" w:ascii="仿宋" w:hAnsi="仿宋" w:eastAsia="仿宋" w:cs="仿宋"/>
          <w:bCs/>
          <w:kern w:val="2"/>
          <w:sz w:val="28"/>
          <w:szCs w:val="28"/>
          <w:lang w:val="en-US" w:eastAsia="zh-CN"/>
        </w:rPr>
        <w:t>深化</w:t>
      </w:r>
      <w:r>
        <w:rPr>
          <w:rFonts w:ascii="仿宋" w:hAnsi="仿宋" w:eastAsia="仿宋" w:cs="仿宋"/>
          <w:bCs/>
          <w:kern w:val="2"/>
          <w:sz w:val="28"/>
          <w:szCs w:val="28"/>
        </w:rPr>
        <w:t>改革和创新发展，中国投资协会项目投融资专业委员会会同</w:t>
      </w:r>
      <w:r>
        <w:rPr>
          <w:rFonts w:hint="eastAsia" w:ascii="仿宋" w:hAnsi="仿宋" w:eastAsia="仿宋" w:cs="仿宋"/>
          <w:bCs/>
          <w:kern w:val="2"/>
          <w:sz w:val="28"/>
          <w:szCs w:val="28"/>
          <w:highlight w:val="none"/>
        </w:rPr>
        <w:t>北京中科善若教育咨询有限公司</w:t>
      </w:r>
      <w:r>
        <w:rPr>
          <w:rFonts w:ascii="仿宋" w:hAnsi="仿宋" w:eastAsia="仿宋" w:cs="仿宋"/>
          <w:bCs/>
          <w:kern w:val="2"/>
          <w:sz w:val="28"/>
          <w:szCs w:val="28"/>
        </w:rPr>
        <w:t>举办新形势下产业新城综合片区开发项目投融资模式创新实务与实战案例培训班。现将具体事项通知如下：</w:t>
      </w:r>
    </w:p>
    <w:p>
      <w:pPr>
        <w:autoSpaceDE/>
        <w:autoSpaceDN/>
        <w:adjustRightInd/>
        <w:spacing w:line="312"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一、组织机构</w:t>
      </w:r>
    </w:p>
    <w:p>
      <w:pPr>
        <w:autoSpaceDE/>
        <w:autoSpaceDN/>
        <w:adjustRightInd/>
        <w:spacing w:line="312" w:lineRule="exact"/>
        <w:ind w:firstLine="560" w:firstLineChars="200"/>
        <w:jc w:val="both"/>
        <w:rPr>
          <w:rFonts w:hint="default" w:ascii="仿宋" w:hAnsi="仿宋" w:eastAsia="仿宋"/>
          <w:kern w:val="2"/>
          <w:sz w:val="28"/>
          <w:szCs w:val="28"/>
        </w:rPr>
      </w:pPr>
      <w:r>
        <w:rPr>
          <w:rFonts w:ascii="仿宋" w:hAnsi="仿宋" w:eastAsia="仿宋"/>
          <w:kern w:val="2"/>
          <w:sz w:val="28"/>
          <w:szCs w:val="28"/>
        </w:rPr>
        <w:t>主办单位：中国投资协会项目投融资专业委员会</w:t>
      </w:r>
    </w:p>
    <w:p>
      <w:pPr>
        <w:autoSpaceDE/>
        <w:autoSpaceDN/>
        <w:spacing w:line="312" w:lineRule="exact"/>
        <w:ind w:firstLine="560" w:firstLineChars="200"/>
        <w:rPr>
          <w:rFonts w:hint="default" w:ascii="仿宋_GB2312" w:hAnsi="仿宋_GB2312" w:eastAsia="仿宋_GB2312" w:cs="仿宋_GB2312"/>
          <w:bCs/>
          <w:color w:val="000000"/>
          <w:kern w:val="2"/>
          <w:sz w:val="28"/>
          <w:szCs w:val="28"/>
        </w:rPr>
      </w:pPr>
      <w:r>
        <w:rPr>
          <w:rFonts w:ascii="仿宋" w:hAnsi="仿宋" w:eastAsia="仿宋"/>
          <w:kern w:val="2"/>
          <w:sz w:val="28"/>
          <w:szCs w:val="28"/>
        </w:rPr>
        <w:t>承办单位：</w:t>
      </w:r>
      <w:r>
        <w:rPr>
          <w:rFonts w:hint="eastAsia" w:ascii="仿宋" w:hAnsi="仿宋" w:eastAsia="仿宋" w:cs="仿宋"/>
          <w:bCs/>
          <w:kern w:val="2"/>
          <w:sz w:val="28"/>
          <w:szCs w:val="28"/>
          <w:highlight w:val="none"/>
        </w:rPr>
        <w:t>北京中科善若教育咨询有限公司</w:t>
      </w:r>
    </w:p>
    <w:p>
      <w:pPr>
        <w:spacing w:line="312"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二、培训内容（详细内容见附件）</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1.园区开发相关政策要点解读</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2.片区开发的主要模式分析</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3.产业勾地模式介绍及操作要点分析</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4.开发型</w:t>
      </w:r>
      <w:r>
        <w:rPr>
          <w:rFonts w:hint="default" w:ascii="仿宋" w:hAnsi="仿宋" w:eastAsia="仿宋"/>
          <w:kern w:val="2"/>
          <w:sz w:val="28"/>
          <w:szCs w:val="28"/>
        </w:rPr>
        <w:t>PPP模式的应用与案例分享</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5.</w:t>
      </w:r>
      <w:r>
        <w:rPr>
          <w:rFonts w:hint="default" w:ascii="仿宋" w:hAnsi="仿宋" w:eastAsia="仿宋"/>
          <w:kern w:val="2"/>
          <w:sz w:val="28"/>
          <w:szCs w:val="28"/>
        </w:rPr>
        <w:t>“管委会+平台”模式实施片区开发项目的应用</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6.园区开发建设公司市场化投资片区开发项目的应用</w:t>
      </w:r>
    </w:p>
    <w:p>
      <w:pPr>
        <w:spacing w:line="312" w:lineRule="exact"/>
        <w:ind w:firstLine="560" w:firstLineChars="200"/>
        <w:rPr>
          <w:rFonts w:hint="default" w:ascii="仿宋" w:hAnsi="仿宋" w:eastAsia="仿宋"/>
          <w:kern w:val="2"/>
          <w:sz w:val="28"/>
          <w:szCs w:val="28"/>
        </w:rPr>
      </w:pPr>
      <w:r>
        <w:rPr>
          <w:rFonts w:ascii="仿宋" w:hAnsi="仿宋" w:eastAsia="仿宋"/>
          <w:kern w:val="2"/>
          <w:sz w:val="28"/>
          <w:szCs w:val="28"/>
        </w:rPr>
        <w:t>7.片区开发项目的融资分析</w:t>
      </w:r>
    </w:p>
    <w:p>
      <w:pPr>
        <w:spacing w:line="312"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三、培训对象</w:t>
      </w:r>
    </w:p>
    <w:p>
      <w:pPr>
        <w:autoSpaceDE/>
        <w:autoSpaceDN/>
        <w:adjustRightInd/>
        <w:spacing w:line="312"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1.各地财政</w:t>
      </w:r>
      <w:r>
        <w:rPr>
          <w:rFonts w:hint="default" w:ascii="仿宋" w:hAnsi="仿宋" w:eastAsia="仿宋" w:cs="仿宋"/>
          <w:bCs/>
          <w:kern w:val="2"/>
          <w:sz w:val="28"/>
          <w:szCs w:val="28"/>
        </w:rPr>
        <w:t>、</w:t>
      </w:r>
      <w:r>
        <w:rPr>
          <w:rFonts w:ascii="仿宋" w:hAnsi="仿宋" w:eastAsia="仿宋" w:cs="仿宋"/>
          <w:bCs/>
          <w:kern w:val="2"/>
          <w:sz w:val="28"/>
          <w:szCs w:val="28"/>
        </w:rPr>
        <w:t>住建、</w:t>
      </w:r>
      <w:r>
        <w:rPr>
          <w:rFonts w:hint="default" w:ascii="仿宋" w:hAnsi="仿宋" w:eastAsia="仿宋" w:cs="仿宋"/>
          <w:bCs/>
          <w:kern w:val="2"/>
          <w:sz w:val="28"/>
          <w:szCs w:val="28"/>
        </w:rPr>
        <w:t>审计部门有关工作人员;</w:t>
      </w:r>
    </w:p>
    <w:p>
      <w:pPr>
        <w:autoSpaceDE/>
        <w:autoSpaceDN/>
        <w:adjustRightInd/>
        <w:spacing w:line="312" w:lineRule="exact"/>
        <w:ind w:firstLine="560" w:firstLineChars="200"/>
        <w:jc w:val="both"/>
        <w:rPr>
          <w:rFonts w:hint="default" w:ascii="仿宋" w:hAnsi="仿宋" w:eastAsia="仿宋"/>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各行政事业单位从事基本建设管理</w:t>
      </w:r>
      <w:r>
        <w:rPr>
          <w:rFonts w:ascii="仿宋" w:hAnsi="仿宋" w:eastAsia="仿宋" w:cs="仿宋"/>
          <w:bCs/>
          <w:kern w:val="2"/>
          <w:sz w:val="28"/>
          <w:szCs w:val="28"/>
        </w:rPr>
        <w:t>负责人与项目投融资相关的交通能源、生态环境、产业园区、融资平台、科研院所、建投施工、资产管理、资本经营、</w:t>
      </w:r>
      <w:r>
        <w:rPr>
          <w:rFonts w:hint="default" w:ascii="仿宋" w:hAnsi="仿宋" w:eastAsia="仿宋" w:cs="仿宋"/>
          <w:bCs/>
          <w:kern w:val="2"/>
          <w:sz w:val="28"/>
          <w:szCs w:val="28"/>
        </w:rPr>
        <w:t>SPV公司</w:t>
      </w:r>
      <w:r>
        <w:rPr>
          <w:rFonts w:ascii="仿宋" w:hAnsi="仿宋" w:eastAsia="仿宋" w:cs="仿宋"/>
          <w:bCs/>
          <w:kern w:val="2"/>
          <w:sz w:val="28"/>
          <w:szCs w:val="28"/>
        </w:rPr>
        <w:t>等方面负责人。</w:t>
      </w:r>
    </w:p>
    <w:p>
      <w:pPr>
        <w:spacing w:line="312" w:lineRule="exact"/>
        <w:ind w:firstLine="560" w:firstLineChars="200"/>
        <w:rPr>
          <w:rFonts w:hint="default" w:ascii="仿宋" w:hAnsi="仿宋" w:eastAsia="仿宋"/>
          <w:color w:val="000000"/>
          <w:sz w:val="28"/>
          <w:szCs w:val="28"/>
        </w:rPr>
      </w:pPr>
      <w:r>
        <w:rPr>
          <w:rFonts w:ascii="黑体" w:hAnsi="黑体" w:eastAsia="黑体" w:cs="黑体"/>
          <w:kern w:val="2"/>
          <w:sz w:val="28"/>
          <w:szCs w:val="28"/>
        </w:rPr>
        <w:t>四、授课专家</w:t>
      </w:r>
      <w:r>
        <w:rPr>
          <w:rFonts w:ascii="仿宋" w:hAnsi="仿宋" w:eastAsia="仿宋"/>
          <w:color w:val="000000"/>
          <w:sz w:val="28"/>
          <w:szCs w:val="28"/>
        </w:rPr>
        <w:t xml:space="preserve">                </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拟邀请国家发展改革委、财政部PPP项目相关领域专家授课；拟由证券公司、咨询公司、律师事务所、会计师事务所实操专家以专题讲座、案例分析、方案咨询、研讨交流等形式进行讲解。</w:t>
      </w:r>
    </w:p>
    <w:p>
      <w:pPr>
        <w:spacing w:line="312"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五、时间地点</w:t>
      </w:r>
    </w:p>
    <w:p>
      <w:pPr>
        <w:spacing w:line="312"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2020年10月22日—10月26日 西安市（22日全天报到）</w:t>
      </w:r>
    </w:p>
    <w:p>
      <w:pPr>
        <w:spacing w:line="312"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2020年11月18日—11月22日 成都市（18日全天报到）</w:t>
      </w:r>
    </w:p>
    <w:p>
      <w:pPr>
        <w:spacing w:line="312"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2020年12月16日—12月20日 南京市（16日全天报到）</w:t>
      </w:r>
    </w:p>
    <w:p>
      <w:pPr>
        <w:spacing w:line="312"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2020年12月23日—12月27日 长沙市（23日全天报到）</w:t>
      </w:r>
    </w:p>
    <w:p>
      <w:pPr>
        <w:spacing w:line="312"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2021年</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1月14日—</w:t>
      </w:r>
      <w:r>
        <w:rPr>
          <w:rFonts w:hint="eastAsia" w:ascii="仿宋" w:hAnsi="仿宋" w:eastAsia="仿宋"/>
          <w:color w:val="000000"/>
          <w:sz w:val="28"/>
          <w:szCs w:val="28"/>
          <w:lang w:val="en-US" w:eastAsia="zh-CN"/>
        </w:rPr>
        <w:t>01</w:t>
      </w:r>
      <w:r>
        <w:rPr>
          <w:rFonts w:hint="eastAsia" w:ascii="仿宋" w:hAnsi="仿宋" w:eastAsia="仿宋"/>
          <w:color w:val="000000"/>
          <w:sz w:val="28"/>
          <w:szCs w:val="28"/>
        </w:rPr>
        <w:t>月19日 海口市（14日全天报到）</w:t>
      </w:r>
    </w:p>
    <w:p>
      <w:pPr>
        <w:spacing w:line="312" w:lineRule="exact"/>
        <w:ind w:firstLine="560" w:firstLineChars="200"/>
        <w:rPr>
          <w:rFonts w:hint="default" w:ascii="黑体" w:hAnsi="黑体" w:eastAsia="黑体" w:cs="黑体"/>
          <w:kern w:val="2"/>
          <w:sz w:val="28"/>
          <w:szCs w:val="28"/>
        </w:rPr>
      </w:pPr>
      <w:r>
        <w:rPr>
          <w:rFonts w:ascii="黑体" w:hAnsi="黑体" w:eastAsia="黑体" w:cs="黑体"/>
          <w:kern w:val="2"/>
          <w:sz w:val="28"/>
          <w:szCs w:val="28"/>
        </w:rPr>
        <w:t>六、相关事宜</w:t>
      </w:r>
    </w:p>
    <w:p>
      <w:pPr>
        <w:spacing w:line="312" w:lineRule="exact"/>
        <w:ind w:firstLine="560" w:firstLineChars="200"/>
        <w:rPr>
          <w:rFonts w:hint="default" w:ascii="仿宋" w:hAnsi="仿宋" w:eastAsia="仿宋"/>
          <w:b/>
          <w:color w:val="000000"/>
          <w:sz w:val="28"/>
          <w:szCs w:val="28"/>
        </w:rPr>
      </w:pPr>
      <w:r>
        <w:rPr>
          <w:rFonts w:ascii="仿宋" w:hAnsi="仿宋" w:eastAsia="仿宋"/>
          <w:b/>
          <w:color w:val="000000"/>
          <w:sz w:val="28"/>
          <w:szCs w:val="28"/>
        </w:rPr>
        <w:t>（一）培训费用</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A.2980元/人（含培训费、资料费、课件、场地、会议期间午餐），住宿统一安排，费用自理。</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B.3980元/人（含证书、培训费、资料费、课件、场地、会议期间午餐），住宿统一安排，费用自理。</w:t>
      </w:r>
    </w:p>
    <w:p>
      <w:pPr>
        <w:spacing w:line="312" w:lineRule="exact"/>
        <w:ind w:firstLine="560" w:firstLineChars="200"/>
        <w:rPr>
          <w:rFonts w:ascii="仿宋" w:hAnsi="仿宋" w:eastAsia="仿宋"/>
          <w:color w:val="000000"/>
          <w:sz w:val="28"/>
          <w:szCs w:val="28"/>
        </w:rPr>
      </w:pPr>
      <w:r>
        <w:rPr>
          <w:rFonts w:ascii="仿宋" w:hAnsi="仿宋" w:eastAsia="仿宋"/>
          <w:color w:val="000000"/>
          <w:sz w:val="28"/>
          <w:szCs w:val="28"/>
        </w:rPr>
        <w:t>C.5980元/人（含证书、培训费、资料费、课件、场地、会议期间食宿）。</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备注：证书由中国国家人事人才培训网、北京企业管理咨询协会共同颁发《投融资管理师》《金融风险管理师》，证书可在国培网网站人才数据库查询。</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需提供报名材料：报名表、</w:t>
      </w:r>
      <w:r>
        <w:rPr>
          <w:rFonts w:hint="default" w:ascii="仿宋" w:hAnsi="仿宋" w:eastAsia="仿宋"/>
          <w:color w:val="000000"/>
          <w:sz w:val="28"/>
          <w:szCs w:val="28"/>
        </w:rPr>
        <w:t>2寸电子照片（白底免冠彩照）、身份证复印件、学历证书复印件各一份。</w:t>
      </w:r>
    </w:p>
    <w:p>
      <w:pPr>
        <w:spacing w:line="312" w:lineRule="exact"/>
        <w:ind w:firstLine="560" w:firstLineChars="200"/>
        <w:rPr>
          <w:rFonts w:hint="default" w:ascii="仿宋" w:hAnsi="仿宋" w:eastAsia="仿宋"/>
          <w:b/>
          <w:color w:val="000000"/>
          <w:sz w:val="28"/>
          <w:szCs w:val="28"/>
        </w:rPr>
      </w:pPr>
      <w:r>
        <w:rPr>
          <w:rFonts w:ascii="仿宋" w:hAnsi="仿宋" w:eastAsia="仿宋"/>
          <w:b/>
          <w:color w:val="000000"/>
          <w:sz w:val="28"/>
          <w:szCs w:val="28"/>
        </w:rPr>
        <w:t>（二）联系方式</w:t>
      </w:r>
    </w:p>
    <w:p>
      <w:pPr>
        <w:spacing w:line="312"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报名负责人：聂红军 主任18211071700（微信）  </w:t>
      </w:r>
    </w:p>
    <w:p>
      <w:pPr>
        <w:spacing w:line="312"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电话（传真）：010-87697580           邮  箱：zqgphwz@126.com  </w:t>
      </w:r>
    </w:p>
    <w:p>
      <w:pPr>
        <w:spacing w:line="312" w:lineRule="exact"/>
        <w:ind w:firstLine="560" w:firstLineChars="200"/>
        <w:rPr>
          <w:rFonts w:hint="default" w:ascii="仿宋" w:hAnsi="仿宋" w:eastAsia="仿宋"/>
          <w:color w:val="000000"/>
          <w:sz w:val="28"/>
          <w:szCs w:val="28"/>
          <w:lang w:val="en-US" w:eastAsia="zh-CN"/>
        </w:rPr>
      </w:pPr>
      <w:r>
        <w:rPr>
          <w:rFonts w:hint="eastAsia" w:ascii="仿宋_GB2312" w:hAnsi="仿宋_GB2312" w:eastAsia="仿宋_GB2312" w:cs="仿宋_GB2312"/>
          <w:bCs/>
          <w:color w:val="000000"/>
          <w:sz w:val="28"/>
          <w:szCs w:val="28"/>
        </w:rPr>
        <w:t>网址查询：http://www.zqgpchina.cn/   qq咨询：3177524020</w:t>
      </w:r>
    </w:p>
    <w:p>
      <w:pPr>
        <w:spacing w:line="312" w:lineRule="exact"/>
        <w:ind w:firstLine="560" w:firstLineChars="200"/>
        <w:rPr>
          <w:rFonts w:hint="default" w:ascii="仿宋" w:hAnsi="仿宋" w:eastAsia="仿宋"/>
          <w:color w:val="000000"/>
          <w:sz w:val="28"/>
          <w:szCs w:val="28"/>
        </w:rPr>
      </w:pPr>
    </w:p>
    <w:p>
      <w:pPr>
        <w:spacing w:line="312" w:lineRule="exact"/>
        <w:ind w:firstLine="560" w:firstLineChars="200"/>
        <w:rPr>
          <w:rFonts w:hint="default" w:ascii="仿宋" w:hAnsi="仿宋" w:eastAsia="仿宋"/>
          <w:color w:val="000000"/>
          <w:sz w:val="28"/>
          <w:szCs w:val="28"/>
        </w:rPr>
      </w:pPr>
    </w:p>
    <w:p>
      <w:pPr>
        <w:spacing w:line="312" w:lineRule="exact"/>
        <w:ind w:firstLine="560" w:firstLineChars="200"/>
        <w:rPr>
          <w:rFonts w:hint="default" w:ascii="黑体" w:hAnsi="黑体" w:eastAsia="黑体" w:cs="黑体"/>
          <w:bCs/>
          <w:color w:val="000000"/>
          <w:kern w:val="2"/>
          <w:sz w:val="28"/>
          <w:szCs w:val="28"/>
        </w:rPr>
      </w:pPr>
      <w:r>
        <w:rPr>
          <w:rFonts w:ascii="黑体" w:hAnsi="黑体" w:eastAsia="黑体" w:cs="黑体"/>
          <w:color w:val="000000"/>
          <w:sz w:val="28"/>
          <w:szCs w:val="28"/>
        </w:rPr>
        <w:t>附件</w:t>
      </w:r>
      <w:r>
        <w:rPr>
          <w:rFonts w:ascii="黑体" w:hAnsi="黑体" w:eastAsia="黑体" w:cs="黑体"/>
          <w:bCs/>
          <w:color w:val="000000"/>
          <w:kern w:val="2"/>
          <w:sz w:val="28"/>
          <w:szCs w:val="28"/>
        </w:rPr>
        <w:t>：</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1.培训内容</w:t>
      </w:r>
    </w:p>
    <w:p>
      <w:pPr>
        <w:spacing w:line="312" w:lineRule="exact"/>
        <w:ind w:firstLine="560" w:firstLineChars="200"/>
        <w:rPr>
          <w:rFonts w:hint="default" w:ascii="仿宋" w:hAnsi="仿宋" w:eastAsia="仿宋"/>
          <w:color w:val="000000"/>
          <w:sz w:val="28"/>
          <w:szCs w:val="28"/>
        </w:rPr>
      </w:pPr>
      <w:r>
        <w:rPr>
          <w:rFonts w:ascii="仿宋" w:hAnsi="仿宋" w:eastAsia="仿宋"/>
          <w:color w:val="000000"/>
          <w:sz w:val="28"/>
          <w:szCs w:val="28"/>
        </w:rPr>
        <w:t>2.</w:t>
      </w:r>
      <w:r>
        <w:rPr>
          <w:rFonts w:ascii="仿宋" w:hAnsi="仿宋" w:eastAsia="仿宋" w:cs="仿宋"/>
          <w:bCs/>
          <w:kern w:val="2"/>
          <w:sz w:val="28"/>
          <w:szCs w:val="28"/>
        </w:rPr>
        <w:t>新形势下产业新城综合片区开发项目投融资模式的创新实务与实战案例培训班</w:t>
      </w:r>
      <w:r>
        <w:rPr>
          <w:rFonts w:ascii="仿宋_GB2312" w:hAnsi="仿宋_GB2312" w:eastAsia="仿宋_GB2312" w:cs="仿宋_GB2312"/>
          <w:bCs/>
          <w:color w:val="000000"/>
          <w:kern w:val="2"/>
          <w:sz w:val="28"/>
          <w:szCs w:val="28"/>
        </w:rPr>
        <w:t>《</w:t>
      </w:r>
      <w:r>
        <w:rPr>
          <w:rFonts w:ascii="仿宋" w:hAnsi="仿宋" w:eastAsia="仿宋"/>
          <w:color w:val="000000"/>
          <w:sz w:val="28"/>
          <w:szCs w:val="28"/>
        </w:rPr>
        <w:t>报名回执表》</w:t>
      </w: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r>
        <w:rPr>
          <w:rFonts w:hint="eastAsia" w:ascii="仿宋" w:hAnsi="仿宋" w:eastAsia="仿宋" w:cs="仿宋"/>
          <w:bCs/>
          <w:sz w:val="28"/>
          <w:szCs w:val="28"/>
        </w:rPr>
        <w:drawing>
          <wp:anchor distT="0" distB="0" distL="114935" distR="114935" simplePos="0" relativeHeight="251658240" behindDoc="0" locked="0" layoutInCell="1" allowOverlap="1">
            <wp:simplePos x="0" y="0"/>
            <wp:positionH relativeFrom="column">
              <wp:posOffset>3093720</wp:posOffset>
            </wp:positionH>
            <wp:positionV relativeFrom="paragraph">
              <wp:posOffset>157480</wp:posOffset>
            </wp:positionV>
            <wp:extent cx="1310640" cy="1280160"/>
            <wp:effectExtent l="0" t="0" r="0" b="0"/>
            <wp:wrapNone/>
            <wp:docPr id="2" name="图片 2" descr="微信图片_2020092417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924173628"/>
                    <pic:cNvPicPr>
                      <a:picLocks noChangeAspect="1"/>
                    </pic:cNvPicPr>
                  </pic:nvPicPr>
                  <pic:blipFill>
                    <a:blip r:embed="rId5"/>
                    <a:stretch>
                      <a:fillRect/>
                    </a:stretch>
                  </pic:blipFill>
                  <pic:spPr>
                    <a:xfrm>
                      <a:off x="0" y="0"/>
                      <a:ext cx="1310640" cy="1280160"/>
                    </a:xfrm>
                    <a:prstGeom prst="rect">
                      <a:avLst/>
                    </a:prstGeom>
                  </pic:spPr>
                </pic:pic>
              </a:graphicData>
            </a:graphic>
          </wp:anchor>
        </w:drawing>
      </w:r>
    </w:p>
    <w:p>
      <w:pPr>
        <w:autoSpaceDE/>
        <w:autoSpaceDN/>
        <w:adjustRightInd/>
        <w:spacing w:line="560" w:lineRule="exact"/>
        <w:ind w:firstLine="560" w:firstLineChars="200"/>
        <w:jc w:val="both"/>
        <w:rPr>
          <w:rFonts w:hint="eastAsia" w:ascii="仿宋" w:hAnsi="仿宋" w:eastAsia="仿宋" w:cs="宋体"/>
          <w:color w:val="000000"/>
          <w:sz w:val="28"/>
          <w:szCs w:val="28"/>
        </w:rPr>
      </w:pPr>
    </w:p>
    <w:p>
      <w:pPr>
        <w:autoSpaceDE/>
        <w:autoSpaceDN/>
        <w:adjustRightInd/>
        <w:spacing w:line="560" w:lineRule="exact"/>
        <w:ind w:firstLine="4080" w:firstLineChars="1700"/>
        <w:jc w:val="both"/>
        <w:rPr>
          <w:rFonts w:hint="eastAsia" w:ascii="仿宋" w:hAnsi="仿宋" w:eastAsia="仿宋" w:cs="宋体"/>
          <w:color w:val="000000"/>
          <w:sz w:val="24"/>
          <w:szCs w:val="24"/>
        </w:rPr>
      </w:pPr>
      <w:r>
        <w:rPr>
          <w:rFonts w:hint="eastAsia" w:ascii="仿宋" w:hAnsi="仿宋" w:eastAsia="仿宋" w:cs="宋体"/>
          <w:color w:val="000000"/>
          <w:sz w:val="24"/>
          <w:szCs w:val="24"/>
        </w:rPr>
        <w:t>中国投资</w:t>
      </w:r>
      <w:r>
        <w:rPr>
          <w:rFonts w:hint="eastAsia" w:ascii="仿宋" w:hAnsi="仿宋" w:eastAsia="仿宋" w:cs="宋体"/>
          <w:color w:val="000000"/>
          <w:sz w:val="24"/>
          <w:szCs w:val="24"/>
          <w:lang w:val="en-US" w:eastAsia="zh-CN"/>
        </w:rPr>
        <w:t xml:space="preserve">                </w:t>
      </w:r>
      <w:r>
        <w:rPr>
          <w:rFonts w:hint="eastAsia" w:ascii="仿宋" w:hAnsi="仿宋" w:eastAsia="仿宋" w:cs="宋体"/>
          <w:color w:val="000000"/>
          <w:sz w:val="24"/>
          <w:szCs w:val="24"/>
        </w:rPr>
        <w:t>业委员会</w:t>
      </w:r>
    </w:p>
    <w:p>
      <w:pPr>
        <w:autoSpaceDE/>
        <w:autoSpaceDN/>
        <w:adjustRightInd/>
        <w:spacing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                            </w:t>
      </w:r>
      <w:r>
        <w:rPr>
          <w:rFonts w:hint="eastAsia" w:ascii="仿宋" w:hAnsi="仿宋" w:eastAsia="仿宋" w:cs="宋体"/>
          <w:color w:val="000000"/>
          <w:sz w:val="28"/>
          <w:szCs w:val="28"/>
          <w:lang w:val="en-US" w:eastAsia="zh-CN"/>
        </w:rPr>
        <w:t xml:space="preserve">           </w:t>
      </w: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p>
    <w:p>
      <w:pPr>
        <w:widowControl w:val="0"/>
        <w:autoSpaceDE w:val="0"/>
        <w:autoSpaceDN w:val="0"/>
        <w:spacing w:line="312" w:lineRule="exact"/>
        <w:jc w:val="both"/>
        <w:rPr>
          <w:rFonts w:hint="default" w:cs="黑体" w:asciiTheme="majorEastAsia" w:hAnsiTheme="majorEastAsia" w:eastAsiaTheme="majorEastAsia"/>
          <w:b/>
          <w:kern w:val="2"/>
          <w:sz w:val="28"/>
          <w:szCs w:val="28"/>
          <w:lang w:bidi="zh-CN"/>
        </w:rPr>
      </w:pPr>
      <w:r>
        <w:rPr>
          <w:rFonts w:cs="黑体" w:asciiTheme="majorEastAsia" w:hAnsiTheme="majorEastAsia" w:eastAsiaTheme="majorEastAsia"/>
          <w:b/>
          <w:kern w:val="2"/>
          <w:sz w:val="28"/>
          <w:szCs w:val="28"/>
          <w:lang w:bidi="zh-CN"/>
        </w:rPr>
        <w:t xml:space="preserve">附件一.培训内容 </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（一）园区开发相关政策要点解读</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《国务院办公厅关于促进开发区改革和创新发展的若干意见》(国办发〔2017〕7号)要点解读</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《国务院关于推进国家级经济技术开发区创新提升打造改革开放新高地的意见》（国发〔2019〕11号）要点解读</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《关于促进具备条件的开发区向城市综合功能区转型的指导意见》、《关于深入推进新型工业化产业示范基地建设的指导意见》等相关政策要点解读</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政府债务、隐性债务监管与处置相关政策解读</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土储新政解读</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（二）片区开发的主要模式分析</w:t>
      </w:r>
      <w:r>
        <w:rPr>
          <w:rFonts w:hint="default" w:ascii="仿宋" w:hAnsi="仿宋" w:eastAsia="仿宋" w:cs="仿宋"/>
          <w:b/>
          <w:bCs/>
          <w:kern w:val="2"/>
          <w:sz w:val="28"/>
          <w:szCs w:val="28"/>
        </w:rPr>
        <w:t xml:space="preserve"> </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产业地产的开发环境及市场机遇分析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地产开发模式及典型案例</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产业新城开发模式及典型案例</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产业基金投资模式及典型案例</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（三）产业勾地模式介绍及操作要点分析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产业勾地的概念及其特点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产业勾地的历史见现状</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当前产业勾地主流模式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（1）</w:t>
      </w:r>
      <w:r>
        <w:rPr>
          <w:rFonts w:hint="default" w:ascii="仿宋" w:hAnsi="仿宋" w:eastAsia="仿宋" w:cs="仿宋"/>
          <w:bCs/>
          <w:kern w:val="2"/>
          <w:sz w:val="28"/>
          <w:szCs w:val="28"/>
        </w:rPr>
        <w:t>产业新城勾地模式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2）产业小镇勾地模式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3）商业综合体勾地模式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4）文旅勾地模式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5）工业地产勾地模式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勾地各个阶段的操作要点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关于城市能级与勾地难易程度的分析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产业勾地的设条件及控地问题</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产业勾地的发展趋势</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（四）开发型</w:t>
      </w:r>
      <w:r>
        <w:rPr>
          <w:rFonts w:hint="default" w:ascii="仿宋" w:hAnsi="仿宋" w:eastAsia="仿宋" w:cs="仿宋"/>
          <w:b/>
          <w:bCs/>
          <w:kern w:val="2"/>
          <w:sz w:val="28"/>
          <w:szCs w:val="28"/>
        </w:rPr>
        <w:t xml:space="preserve">PPP模式的应用与案例分享 </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1</w:t>
      </w:r>
      <w:r>
        <w:rPr>
          <w:rFonts w:ascii="仿宋" w:hAnsi="仿宋" w:eastAsia="仿宋" w:cs="仿宋"/>
          <w:kern w:val="2"/>
          <w:sz w:val="28"/>
          <w:szCs w:val="28"/>
        </w:rPr>
        <w:t>.</w:t>
      </w:r>
      <w:r>
        <w:rPr>
          <w:rFonts w:hint="default" w:ascii="仿宋" w:hAnsi="仿宋" w:eastAsia="仿宋" w:cs="仿宋"/>
          <w:kern w:val="2"/>
          <w:sz w:val="28"/>
          <w:szCs w:val="28"/>
        </w:rPr>
        <w:t>经营性项目的深入分析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1）经营性项目的性质特点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2）经营性项目的融资分析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3）片区开发PPP项目采用使用者付费模式的操作特点分析</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2</w:t>
      </w:r>
      <w:r>
        <w:rPr>
          <w:rFonts w:ascii="仿宋" w:hAnsi="仿宋" w:eastAsia="仿宋" w:cs="仿宋"/>
          <w:kern w:val="2"/>
          <w:sz w:val="28"/>
          <w:szCs w:val="28"/>
        </w:rPr>
        <w:t>.</w:t>
      </w:r>
      <w:r>
        <w:rPr>
          <w:rFonts w:hint="default" w:ascii="仿宋" w:hAnsi="仿宋" w:eastAsia="仿宋" w:cs="仿宋"/>
          <w:kern w:val="2"/>
          <w:sz w:val="28"/>
          <w:szCs w:val="28"/>
        </w:rPr>
        <w:t>政府付费PPP项目的落地要点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1）政府财政付费PPP项目的合规性要求</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2）合规性兜底与违规性兜底的特征与区别</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3）不同政府及园区状况下政府付费项目落地的难度分析</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3</w:t>
      </w:r>
      <w:r>
        <w:rPr>
          <w:rFonts w:ascii="仿宋" w:hAnsi="仿宋" w:eastAsia="仿宋" w:cs="仿宋"/>
          <w:kern w:val="2"/>
          <w:sz w:val="28"/>
          <w:szCs w:val="28"/>
        </w:rPr>
        <w:t>.</w:t>
      </w:r>
      <w:r>
        <w:rPr>
          <w:rFonts w:hint="default" w:ascii="仿宋" w:hAnsi="仿宋" w:eastAsia="仿宋" w:cs="仿宋"/>
          <w:kern w:val="2"/>
          <w:sz w:val="28"/>
          <w:szCs w:val="28"/>
        </w:rPr>
        <w:t>资源补偿模式PPP项目的落地要点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1）如何处理土地招拍挂问题（尤其关注涉及商业地产的合规性问题）</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2）片区开发类项目如何充分利用土地资源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3）深入分析资源补偿类项目的融资难点</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4</w:t>
      </w:r>
      <w:r>
        <w:rPr>
          <w:rFonts w:ascii="仿宋" w:hAnsi="仿宋" w:eastAsia="仿宋" w:cs="仿宋"/>
          <w:kern w:val="2"/>
          <w:sz w:val="28"/>
          <w:szCs w:val="28"/>
        </w:rPr>
        <w:t>.</w:t>
      </w:r>
      <w:r>
        <w:rPr>
          <w:rFonts w:hint="default" w:ascii="仿宋" w:hAnsi="仿宋" w:eastAsia="仿宋" w:cs="仿宋"/>
          <w:kern w:val="2"/>
          <w:sz w:val="28"/>
          <w:szCs w:val="28"/>
        </w:rPr>
        <w:t>财政补贴模式的落地要点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1）实质性运营与PPP 模式挂钩问题</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2）使用者付费在PPP项目中的占比问题</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3）金融机构的关注点分析</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5</w:t>
      </w:r>
      <w:r>
        <w:rPr>
          <w:rFonts w:ascii="仿宋" w:hAnsi="仿宋" w:eastAsia="仿宋" w:cs="仿宋"/>
          <w:kern w:val="2"/>
          <w:sz w:val="28"/>
          <w:szCs w:val="28"/>
        </w:rPr>
        <w:t>.</w:t>
      </w:r>
      <w:r>
        <w:rPr>
          <w:rFonts w:hint="default" w:ascii="仿宋" w:hAnsi="仿宋" w:eastAsia="仿宋" w:cs="仿宋"/>
          <w:kern w:val="2"/>
          <w:sz w:val="28"/>
          <w:szCs w:val="28"/>
        </w:rPr>
        <w:t>产业新城PPP项目的关注点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1）“土地一二级联动开发”事宜</w:t>
      </w:r>
    </w:p>
    <w:p>
      <w:pPr>
        <w:autoSpaceDE/>
        <w:autoSpaceDN/>
        <w:adjustRightInd/>
        <w:spacing w:line="370" w:lineRule="exact"/>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2）土地规划、土地指标、土地开发计划等对产业新城PPP项目的影响分析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3）产业新城PPP项目回报机制设计以及与土地利用的相关性分析</w:t>
      </w:r>
    </w:p>
    <w:p>
      <w:pPr>
        <w:autoSpaceDE/>
        <w:autoSpaceDN/>
        <w:adjustRightInd/>
        <w:spacing w:line="370" w:lineRule="exact"/>
        <w:ind w:firstLine="420" w:firstLineChars="150"/>
        <w:jc w:val="both"/>
        <w:rPr>
          <w:rFonts w:hint="default" w:ascii="仿宋" w:hAnsi="仿宋" w:eastAsia="仿宋" w:cs="仿宋"/>
          <w:kern w:val="2"/>
          <w:sz w:val="28"/>
          <w:szCs w:val="28"/>
        </w:rPr>
      </w:pPr>
      <w:r>
        <w:rPr>
          <w:rFonts w:hint="default" w:ascii="仿宋" w:hAnsi="仿宋" w:eastAsia="仿宋" w:cs="仿宋"/>
          <w:kern w:val="2"/>
          <w:sz w:val="28"/>
          <w:szCs w:val="28"/>
        </w:rPr>
        <w:t>6</w:t>
      </w:r>
      <w:r>
        <w:rPr>
          <w:rFonts w:ascii="仿宋" w:hAnsi="仿宋" w:eastAsia="仿宋" w:cs="仿宋"/>
          <w:kern w:val="2"/>
          <w:sz w:val="28"/>
          <w:szCs w:val="28"/>
        </w:rPr>
        <w:t>.</w:t>
      </w:r>
      <w:r>
        <w:rPr>
          <w:rFonts w:hint="default" w:ascii="仿宋" w:hAnsi="仿宋" w:eastAsia="仿宋" w:cs="仿宋"/>
          <w:kern w:val="2"/>
          <w:sz w:val="28"/>
          <w:szCs w:val="28"/>
        </w:rPr>
        <w:t>产业新城PPP项目实务案例</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1）项目投融资结构设计及资金来源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2）项目回报机制设计要点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3）实务操作中项目绩效考核体系的搭建要点分析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4）项目风险分配</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ascii="仿宋" w:hAnsi="仿宋" w:eastAsia="仿宋" w:cs="仿宋"/>
          <w:bCs/>
          <w:kern w:val="2"/>
          <w:sz w:val="28"/>
          <w:szCs w:val="28"/>
        </w:rPr>
        <w:t>（</w:t>
      </w:r>
      <w:r>
        <w:rPr>
          <w:rFonts w:hint="default" w:ascii="仿宋" w:hAnsi="仿宋" w:eastAsia="仿宋" w:cs="仿宋"/>
          <w:bCs/>
          <w:kern w:val="2"/>
          <w:sz w:val="28"/>
          <w:szCs w:val="28"/>
        </w:rPr>
        <w:t>5）产业新城PPP项目难点分析及案例分享</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（五）“管委会</w:t>
      </w:r>
      <w:r>
        <w:rPr>
          <w:rFonts w:hint="default" w:ascii="仿宋" w:hAnsi="仿宋" w:eastAsia="仿宋" w:cs="仿宋"/>
          <w:b/>
          <w:bCs/>
          <w:kern w:val="2"/>
          <w:sz w:val="28"/>
          <w:szCs w:val="28"/>
        </w:rPr>
        <w:t>+平台”模式实施片区开发项目的应用</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“管委会+平台”操作模式简述</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“管委会+平台”模式中管委会与平台公司的核心权责界定</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平台公司的转型与重组</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平台公司如何介入园区一二级开发从而实现上市的目标</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相关案例分享</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（六）园区开发建设公司市场化投资片区开发项目的应用</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《政府投资条例》的配套安排</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政府投资与企业投资在基建项目中的比较与应用</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如何运用企业投资模式市场化承接片区开发项目</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平台公司市场化投资模式下资源补偿的应用</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相关案例分享（平台公司投资片区开发项目高度依赖项目自身的盈利能力和社会资本的资金筹集能力）</w:t>
      </w:r>
    </w:p>
    <w:p>
      <w:pPr>
        <w:autoSpaceDE/>
        <w:autoSpaceDN/>
        <w:adjustRightInd/>
        <w:spacing w:line="370" w:lineRule="exact"/>
        <w:jc w:val="both"/>
        <w:rPr>
          <w:rFonts w:hint="default" w:ascii="仿宋" w:hAnsi="仿宋" w:eastAsia="仿宋" w:cs="仿宋"/>
          <w:b/>
          <w:bCs/>
          <w:kern w:val="2"/>
          <w:sz w:val="28"/>
          <w:szCs w:val="28"/>
        </w:rPr>
      </w:pPr>
      <w:r>
        <w:rPr>
          <w:rFonts w:ascii="仿宋" w:hAnsi="仿宋" w:eastAsia="仿宋" w:cs="仿宋"/>
          <w:b/>
          <w:bCs/>
          <w:kern w:val="2"/>
          <w:sz w:val="28"/>
          <w:szCs w:val="28"/>
        </w:rPr>
        <w:t>（七）片区开发项目的融资分析</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片区开发项目融资的主要特点</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项目资本金的难点与解决思路</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土储基金在片区开发项目的创新运作模式</w:t>
      </w:r>
    </w:p>
    <w:p>
      <w:pPr>
        <w:autoSpaceDE/>
        <w:autoSpaceDN/>
        <w:adjustRightInd/>
        <w:spacing w:line="37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片区开发之产业基金运作案例解析</w:t>
      </w:r>
    </w:p>
    <w:p>
      <w:pPr>
        <w:autoSpaceDE/>
        <w:autoSpaceDN/>
        <w:adjustRightInd/>
        <w:spacing w:line="370" w:lineRule="exact"/>
        <w:ind w:firstLine="420" w:firstLineChars="150"/>
        <w:jc w:val="both"/>
        <w:rPr>
          <w:rStyle w:val="10"/>
          <w:rFonts w:hint="default" w:ascii="仿宋" w:hAnsi="仿宋" w:eastAsia="仿宋" w:cs="仿宋"/>
          <w:b w:val="0"/>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片区开发项目采用综合实施模式的案例解析</w:t>
      </w:r>
    </w:p>
    <w:p>
      <w:pPr>
        <w:widowControl/>
        <w:autoSpaceDE/>
        <w:autoSpaceDN/>
        <w:spacing w:line="360" w:lineRule="exact"/>
        <w:jc w:val="center"/>
        <w:rPr>
          <w:rStyle w:val="10"/>
          <w:rFonts w:hint="default" w:ascii="华文中宋" w:hAnsi="华文中宋" w:eastAsia="华文中宋" w:cs="黑体"/>
          <w:color w:val="000000"/>
          <w:sz w:val="28"/>
          <w:szCs w:val="28"/>
          <w:lang w:val="zh-CN"/>
        </w:rPr>
      </w:pPr>
      <w:r>
        <w:rPr>
          <w:rStyle w:val="10"/>
          <w:rFonts w:ascii="黑体" w:hAnsi="黑体" w:eastAsia="黑体" w:cs="黑体"/>
          <w:b w:val="0"/>
          <w:bCs w:val="0"/>
          <w:color w:val="000000"/>
          <w:sz w:val="28"/>
          <w:szCs w:val="28"/>
        </w:rPr>
        <w:t>附件二.</w:t>
      </w:r>
      <w:r>
        <w:rPr>
          <w:rStyle w:val="10"/>
          <w:rFonts w:ascii="华文中宋" w:hAnsi="华文中宋" w:eastAsia="华文中宋" w:cs="黑体"/>
          <w:color w:val="000000"/>
          <w:sz w:val="28"/>
          <w:szCs w:val="28"/>
          <w:lang w:val="zh-CN"/>
        </w:rPr>
        <w:t>新形势下产业新城综合片区开发项目投融资模式的创新实务与实战案例</w:t>
      </w:r>
      <w:r>
        <w:rPr>
          <w:rStyle w:val="10"/>
          <w:rFonts w:ascii="华文中宋" w:hAnsi="华文中宋" w:eastAsia="华文中宋" w:cs="黑体"/>
          <w:color w:val="000000"/>
          <w:sz w:val="28"/>
          <w:szCs w:val="28"/>
        </w:rPr>
        <w:t>培训班</w:t>
      </w:r>
      <w:r>
        <w:rPr>
          <w:rStyle w:val="10"/>
          <w:rFonts w:ascii="华文中宋" w:hAnsi="华文中宋" w:eastAsia="华文中宋" w:cs="黑体"/>
          <w:color w:val="000000"/>
          <w:sz w:val="28"/>
          <w:szCs w:val="28"/>
          <w:lang w:val="zh-CN"/>
        </w:rPr>
        <w:t>报名回执表</w:t>
      </w:r>
    </w:p>
    <w:p>
      <w:pPr>
        <w:widowControl/>
        <w:autoSpaceDE/>
        <w:autoSpaceDN/>
        <w:spacing w:line="360" w:lineRule="exact"/>
        <w:rPr>
          <w:rStyle w:val="10"/>
          <w:rFonts w:hint="default" w:ascii="华文中宋" w:hAnsi="华文中宋" w:eastAsia="华文中宋" w:cs="黑体"/>
          <w:color w:val="000000"/>
          <w:sz w:val="28"/>
          <w:szCs w:val="28"/>
          <w:lang w:val="zh-CN"/>
        </w:rPr>
      </w:pPr>
    </w:p>
    <w:tbl>
      <w:tblPr>
        <w:tblStyle w:val="8"/>
        <w:tblpPr w:leftFromText="180" w:rightFromText="180" w:vertAnchor="page" w:horzAnchor="margin" w:tblpY="264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715"/>
        <w:gridCol w:w="567"/>
        <w:gridCol w:w="1984"/>
        <w:gridCol w:w="157"/>
        <w:gridCol w:w="815"/>
        <w:gridCol w:w="181"/>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单位名称</w:t>
            </w:r>
          </w:p>
        </w:tc>
        <w:tc>
          <w:tcPr>
            <w:tcW w:w="5087" w:type="dxa"/>
            <w:gridSpan w:val="6"/>
            <w:vAlign w:val="center"/>
          </w:tcPr>
          <w:p>
            <w:pPr>
              <w:autoSpaceDE/>
              <w:autoSpaceDN/>
              <w:adjustRightInd/>
              <w:spacing w:line="360" w:lineRule="exact"/>
              <w:ind w:right="-168" w:rightChars="-70"/>
              <w:jc w:val="center"/>
              <w:rPr>
                <w:rFonts w:hint="default" w:ascii="仿宋_GB2312" w:hAnsi="等线" w:eastAsia="仿宋_GB2312"/>
                <w:kern w:val="2"/>
                <w:szCs w:val="22"/>
              </w:rPr>
            </w:pPr>
          </w:p>
        </w:tc>
        <w:tc>
          <w:tcPr>
            <w:tcW w:w="722"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r>
              <w:rPr>
                <w:rFonts w:ascii="仿宋_GB2312" w:hAnsi="等线" w:eastAsia="仿宋_GB2312"/>
                <w:kern w:val="2"/>
                <w:szCs w:val="22"/>
              </w:rPr>
              <w:t>邮编</w:t>
            </w:r>
          </w:p>
        </w:tc>
        <w:tc>
          <w:tcPr>
            <w:tcW w:w="2275" w:type="dxa"/>
            <w:gridSpan w:val="2"/>
            <w:vAlign w:val="center"/>
          </w:tcPr>
          <w:p>
            <w:pPr>
              <w:autoSpaceDE/>
              <w:autoSpaceDN/>
              <w:adjustRightInd/>
              <w:spacing w:line="360" w:lineRule="exact"/>
              <w:ind w:right="-168" w:rightChars="-70" w:firstLine="96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单位地址</w:t>
            </w:r>
          </w:p>
        </w:tc>
        <w:tc>
          <w:tcPr>
            <w:tcW w:w="8084" w:type="dxa"/>
            <w:gridSpan w:val="10"/>
            <w:vAlign w:val="center"/>
          </w:tcPr>
          <w:p>
            <w:pPr>
              <w:autoSpaceDE/>
              <w:autoSpaceDN/>
              <w:adjustRightInd/>
              <w:spacing w:line="360" w:lineRule="exact"/>
              <w:ind w:right="-168" w:rightChars="-70" w:firstLine="96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联系人</w:t>
            </w:r>
          </w:p>
        </w:tc>
        <w:tc>
          <w:tcPr>
            <w:tcW w:w="2131" w:type="dxa"/>
            <w:gridSpan w:val="3"/>
            <w:vAlign w:val="center"/>
          </w:tcPr>
          <w:p>
            <w:pPr>
              <w:autoSpaceDE/>
              <w:autoSpaceDN/>
              <w:adjustRightInd/>
              <w:spacing w:line="360" w:lineRule="exact"/>
              <w:ind w:right="-168" w:rightChars="-70" w:firstLine="960"/>
              <w:jc w:val="both"/>
              <w:rPr>
                <w:rFonts w:hint="default" w:ascii="仿宋_GB2312" w:hAnsi="等线" w:eastAsia="仿宋_GB2312"/>
                <w:kern w:val="2"/>
                <w:szCs w:val="22"/>
              </w:rPr>
            </w:pPr>
          </w:p>
        </w:tc>
        <w:tc>
          <w:tcPr>
            <w:tcW w:w="2956" w:type="dxa"/>
            <w:gridSpan w:val="3"/>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职位/岗位</w:t>
            </w:r>
          </w:p>
        </w:tc>
        <w:tc>
          <w:tcPr>
            <w:tcW w:w="2997" w:type="dxa"/>
            <w:gridSpan w:val="4"/>
            <w:vAlign w:val="center"/>
          </w:tcPr>
          <w:p>
            <w:pPr>
              <w:autoSpaceDE/>
              <w:autoSpaceDN/>
              <w:adjustRightInd/>
              <w:spacing w:line="360" w:lineRule="exact"/>
              <w:ind w:right="-168" w:rightChars="-70" w:firstLine="96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办公电话</w:t>
            </w:r>
          </w:p>
        </w:tc>
        <w:tc>
          <w:tcPr>
            <w:tcW w:w="2131" w:type="dxa"/>
            <w:gridSpan w:val="3"/>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2956" w:type="dxa"/>
            <w:gridSpan w:val="3"/>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手    机</w:t>
            </w:r>
          </w:p>
        </w:tc>
        <w:tc>
          <w:tcPr>
            <w:tcW w:w="2997" w:type="dxa"/>
            <w:gridSpan w:val="4"/>
            <w:vAlign w:val="center"/>
          </w:tcPr>
          <w:p>
            <w:pPr>
              <w:autoSpaceDE/>
              <w:autoSpaceDN/>
              <w:adjustRightInd/>
              <w:spacing w:line="360" w:lineRule="exact"/>
              <w:ind w:right="-168" w:rightChars="-70" w:firstLine="96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传   真</w:t>
            </w:r>
          </w:p>
        </w:tc>
        <w:tc>
          <w:tcPr>
            <w:tcW w:w="2131" w:type="dxa"/>
            <w:gridSpan w:val="3"/>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2956" w:type="dxa"/>
            <w:gridSpan w:val="3"/>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电子信箱</w:t>
            </w:r>
          </w:p>
        </w:tc>
        <w:tc>
          <w:tcPr>
            <w:tcW w:w="2997" w:type="dxa"/>
            <w:gridSpan w:val="4"/>
            <w:vAlign w:val="center"/>
          </w:tcPr>
          <w:p>
            <w:pPr>
              <w:autoSpaceDE/>
              <w:autoSpaceDN/>
              <w:adjustRightInd/>
              <w:spacing w:line="360" w:lineRule="exact"/>
              <w:ind w:right="-168" w:rightChars="-70" w:firstLine="96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参加培训人员</w:t>
            </w:r>
          </w:p>
        </w:tc>
        <w:tc>
          <w:tcPr>
            <w:tcW w:w="849"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性别</w:t>
            </w:r>
          </w:p>
        </w:tc>
        <w:tc>
          <w:tcPr>
            <w:tcW w:w="1282" w:type="dxa"/>
            <w:gridSpan w:val="2"/>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职务</w:t>
            </w:r>
          </w:p>
        </w:tc>
        <w:tc>
          <w:tcPr>
            <w:tcW w:w="1984"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电话</w:t>
            </w:r>
          </w:p>
        </w:tc>
        <w:tc>
          <w:tcPr>
            <w:tcW w:w="1985" w:type="dxa"/>
            <w:gridSpan w:val="5"/>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手机</w:t>
            </w:r>
          </w:p>
        </w:tc>
        <w:tc>
          <w:tcPr>
            <w:tcW w:w="1984"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282"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282"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282"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282"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849"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282" w:type="dxa"/>
            <w:gridSpan w:val="2"/>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5" w:type="dxa"/>
            <w:gridSpan w:val="5"/>
            <w:vAlign w:val="center"/>
          </w:tcPr>
          <w:p>
            <w:pPr>
              <w:autoSpaceDE/>
              <w:autoSpaceDN/>
              <w:adjustRightInd/>
              <w:spacing w:line="360" w:lineRule="exact"/>
              <w:ind w:right="-168" w:rightChars="-70"/>
              <w:jc w:val="both"/>
              <w:rPr>
                <w:rFonts w:hint="default" w:ascii="仿宋_GB2312" w:hAnsi="等线" w:eastAsia="仿宋_GB2312"/>
                <w:kern w:val="2"/>
                <w:szCs w:val="22"/>
              </w:rPr>
            </w:pPr>
          </w:p>
        </w:tc>
        <w:tc>
          <w:tcPr>
            <w:tcW w:w="1984" w:type="dxa"/>
            <w:vAlign w:val="center"/>
          </w:tcPr>
          <w:p>
            <w:pPr>
              <w:autoSpaceDE/>
              <w:autoSpaceDN/>
              <w:adjustRightInd/>
              <w:spacing w:line="360" w:lineRule="exact"/>
              <w:ind w:right="-168" w:rightChars="-70"/>
              <w:jc w:val="both"/>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27" w:type="dxa"/>
            <w:gridSpan w:val="3"/>
            <w:vAlign w:val="center"/>
          </w:tcPr>
          <w:p>
            <w:pPr>
              <w:autoSpaceDE/>
              <w:autoSpaceDN/>
              <w:adjustRightInd/>
              <w:spacing w:line="360" w:lineRule="exact"/>
              <w:ind w:right="-168" w:rightChars="-70" w:firstLine="960" w:firstLineChars="400"/>
              <w:rPr>
                <w:rFonts w:hint="default" w:ascii="仿宋_GB2312" w:hAnsi="等线" w:eastAsia="仿宋_GB2312"/>
                <w:color w:val="FF0000"/>
                <w:kern w:val="2"/>
                <w:szCs w:val="22"/>
              </w:rPr>
            </w:pPr>
            <w:r>
              <w:rPr>
                <w:rFonts w:ascii="仿宋_GB2312" w:hAnsi="等线" w:eastAsia="仿宋_GB2312"/>
                <w:color w:val="000000"/>
                <w:kern w:val="2"/>
                <w:szCs w:val="22"/>
              </w:rPr>
              <w:t>证书申报</w:t>
            </w:r>
          </w:p>
        </w:tc>
        <w:tc>
          <w:tcPr>
            <w:tcW w:w="6520" w:type="dxa"/>
            <w:gridSpan w:val="8"/>
            <w:vAlign w:val="center"/>
          </w:tcPr>
          <w:p>
            <w:pPr>
              <w:autoSpaceDE/>
              <w:autoSpaceDN/>
              <w:adjustRightInd/>
              <w:spacing w:line="360" w:lineRule="exact"/>
              <w:ind w:right="-168" w:rightChars="-70"/>
              <w:rPr>
                <w:rFonts w:hint="default" w:ascii="仿宋_GB2312" w:hAnsi="等线" w:eastAsia="仿宋_GB2312"/>
                <w:color w:val="FF000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标准选项</w:t>
            </w:r>
          </w:p>
        </w:tc>
        <w:tc>
          <w:tcPr>
            <w:tcW w:w="8084" w:type="dxa"/>
            <w:gridSpan w:val="10"/>
            <w:vAlign w:val="center"/>
          </w:tcPr>
          <w:p>
            <w:pPr>
              <w:autoSpaceDE/>
              <w:autoSpaceDN/>
              <w:adjustRightInd/>
              <w:spacing w:line="360" w:lineRule="exact"/>
              <w:ind w:right="-168" w:rightChars="-70"/>
              <w:rPr>
                <w:rFonts w:hint="default" w:ascii="仿宋_GB2312" w:hAnsi="等线" w:eastAsia="仿宋_GB2312"/>
                <w:color w:val="000000"/>
                <w:kern w:val="2"/>
                <w:szCs w:val="22"/>
              </w:rPr>
            </w:pPr>
            <w:r>
              <w:rPr>
                <w:rFonts w:hint="default" w:ascii="仿宋_GB2312" w:eastAsia="仿宋_GB2312" w:cs="宋体"/>
                <w:b/>
                <w:color w:val="000000"/>
                <w:sz w:val="28"/>
                <w:szCs w:val="28"/>
              </w:rPr>
              <w:t>A：2980元□       B：3980元□     C</w:t>
            </w:r>
            <w:r>
              <w:rPr>
                <w:rFonts w:hint="eastAsia" w:ascii="仿宋_GB2312" w:eastAsia="仿宋_GB2312" w:cs="宋体"/>
                <w:b/>
                <w:color w:val="000000"/>
                <w:sz w:val="28"/>
                <w:szCs w:val="28"/>
                <w:lang w:eastAsia="zh-CN"/>
              </w:rPr>
              <w:t>：</w:t>
            </w:r>
            <w:r>
              <w:rPr>
                <w:rFonts w:hint="default" w:ascii="仿宋_GB2312" w:eastAsia="仿宋_GB2312" w:cs="宋体"/>
                <w:b/>
                <w:color w:val="000000"/>
                <w:sz w:val="28"/>
                <w:szCs w:val="28"/>
              </w:rPr>
              <w:t>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付款方式</w:t>
            </w:r>
          </w:p>
        </w:tc>
        <w:tc>
          <w:tcPr>
            <w:tcW w:w="4272" w:type="dxa"/>
            <w:gridSpan w:val="5"/>
          </w:tcPr>
          <w:p>
            <w:pPr>
              <w:widowControl/>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 xml:space="preserve">□银行     □网银 </w:t>
            </w:r>
          </w:p>
        </w:tc>
        <w:tc>
          <w:tcPr>
            <w:tcW w:w="996" w:type="dxa"/>
            <w:gridSpan w:val="2"/>
          </w:tcPr>
          <w:p>
            <w:pPr>
              <w:widowControl/>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金额</w:t>
            </w:r>
          </w:p>
        </w:tc>
        <w:tc>
          <w:tcPr>
            <w:tcW w:w="2816" w:type="dxa"/>
            <w:gridSpan w:val="3"/>
          </w:tcPr>
          <w:p>
            <w:pPr>
              <w:widowControl/>
              <w:autoSpaceDE/>
              <w:autoSpaceDN/>
              <w:adjustRightInd/>
              <w:spacing w:line="360" w:lineRule="exact"/>
              <w:ind w:right="-168" w:rightChars="-7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vAlign w:val="center"/>
          </w:tcPr>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需要与专家</w:t>
            </w:r>
          </w:p>
          <w:p>
            <w:pPr>
              <w:autoSpaceDE/>
              <w:autoSpaceDN/>
              <w:adjustRightInd/>
              <w:spacing w:line="360" w:lineRule="exact"/>
              <w:ind w:right="-168" w:rightChars="-70"/>
              <w:jc w:val="center"/>
              <w:rPr>
                <w:rFonts w:hint="default" w:ascii="仿宋_GB2312" w:hAnsi="等线" w:eastAsia="仿宋_GB2312"/>
                <w:kern w:val="2"/>
                <w:szCs w:val="22"/>
              </w:rPr>
            </w:pPr>
            <w:r>
              <w:rPr>
                <w:rFonts w:ascii="仿宋_GB2312" w:hAnsi="等线" w:eastAsia="仿宋_GB2312"/>
                <w:kern w:val="2"/>
                <w:szCs w:val="22"/>
              </w:rPr>
              <w:t>沟通的问题</w:t>
            </w:r>
          </w:p>
        </w:tc>
        <w:tc>
          <w:tcPr>
            <w:tcW w:w="8084" w:type="dxa"/>
            <w:gridSpan w:val="10"/>
          </w:tcPr>
          <w:p>
            <w:pPr>
              <w:widowControl/>
              <w:autoSpaceDE/>
              <w:autoSpaceDN/>
              <w:adjustRightInd/>
              <w:spacing w:line="360" w:lineRule="exact"/>
              <w:ind w:right="-168" w:rightChars="-70"/>
              <w:jc w:val="center"/>
              <w:rPr>
                <w:rFonts w:hint="default" w:ascii="仿宋_GB2312" w:hAnsi="等线"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autoSpaceDE/>
              <w:autoSpaceDN/>
              <w:adjustRightInd/>
              <w:spacing w:line="360" w:lineRule="exact"/>
              <w:ind w:right="-168" w:rightChars="-70"/>
              <w:jc w:val="center"/>
              <w:rPr>
                <w:rFonts w:hint="default" w:ascii="仿宋_GB2312" w:hAnsi="等线" w:eastAsia="仿宋_GB2312"/>
                <w:kern w:val="2"/>
                <w:szCs w:val="22"/>
                <w:highlight w:val="yellow"/>
              </w:rPr>
            </w:pPr>
            <w:r>
              <w:rPr>
                <w:rFonts w:ascii="仿宋" w:hAnsi="仿宋" w:eastAsia="仿宋" w:cs="仿宋"/>
                <w:kern w:val="2"/>
                <w:szCs w:val="22"/>
                <w:lang w:val="zh-CN"/>
              </w:rPr>
              <w:t>收款账户</w:t>
            </w:r>
          </w:p>
        </w:tc>
        <w:tc>
          <w:tcPr>
            <w:tcW w:w="8084" w:type="dxa"/>
            <w:gridSpan w:val="10"/>
            <w:vAlign w:val="center"/>
          </w:tcPr>
          <w:p>
            <w:pPr>
              <w:widowControl/>
              <w:spacing w:line="360" w:lineRule="exact"/>
              <w:jc w:val="both"/>
              <w:rPr>
                <w:rFonts w:ascii="仿宋" w:hAnsi="仿宋" w:eastAsia="仿宋" w:cs="仿宋"/>
                <w:szCs w:val="22"/>
                <w:lang w:val="zh-CN"/>
              </w:rPr>
            </w:pPr>
            <w:r>
              <w:rPr>
                <w:rFonts w:ascii="仿宋" w:hAnsi="仿宋" w:eastAsia="仿宋" w:cs="仿宋"/>
                <w:szCs w:val="22"/>
                <w:lang w:val="zh-CN"/>
              </w:rPr>
              <w:t>单位名称：</w:t>
            </w:r>
            <w:r>
              <w:rPr>
                <w:rFonts w:hint="eastAsia" w:ascii="仿宋" w:hAnsi="仿宋" w:eastAsia="仿宋" w:cs="仿宋"/>
                <w:szCs w:val="22"/>
                <w:lang w:val="zh-CN"/>
              </w:rPr>
              <w:t>北京</w:t>
            </w:r>
            <w:r>
              <w:rPr>
                <w:rFonts w:hint="eastAsia" w:ascii="仿宋" w:hAnsi="仿宋" w:eastAsia="仿宋" w:cs="仿宋"/>
                <w:szCs w:val="22"/>
                <w:lang w:val="zh-CN" w:eastAsia="zh-CN"/>
              </w:rPr>
              <w:t>中科善若教育咨询有限公司</w:t>
            </w:r>
          </w:p>
          <w:p>
            <w:pPr>
              <w:widowControl/>
              <w:spacing w:line="360" w:lineRule="exact"/>
              <w:jc w:val="both"/>
              <w:rPr>
                <w:rFonts w:ascii="仿宋" w:hAnsi="仿宋" w:eastAsia="仿宋" w:cs="仿宋"/>
                <w:szCs w:val="22"/>
                <w:lang w:val="zh-CN"/>
              </w:rPr>
            </w:pPr>
            <w:r>
              <w:rPr>
                <w:rFonts w:ascii="仿宋" w:hAnsi="仿宋" w:eastAsia="仿宋" w:cs="仿宋"/>
                <w:szCs w:val="22"/>
                <w:lang w:val="zh-CN"/>
              </w:rPr>
              <w:t>开 户 行：中国工商银行股份有限公司北京</w:t>
            </w:r>
            <w:r>
              <w:rPr>
                <w:rFonts w:hint="eastAsia" w:ascii="仿宋" w:hAnsi="仿宋" w:eastAsia="仿宋" w:cs="仿宋"/>
                <w:szCs w:val="22"/>
                <w:lang w:val="en-US" w:eastAsia="zh-CN"/>
              </w:rPr>
              <w:t>永定路</w:t>
            </w:r>
            <w:r>
              <w:rPr>
                <w:rFonts w:ascii="仿宋" w:hAnsi="仿宋" w:eastAsia="仿宋" w:cs="仿宋"/>
                <w:szCs w:val="22"/>
                <w:lang w:val="zh-CN"/>
              </w:rPr>
              <w:t xml:space="preserve">支行 </w:t>
            </w:r>
          </w:p>
          <w:p>
            <w:pPr>
              <w:widowControl/>
              <w:spacing w:line="360" w:lineRule="exact"/>
              <w:jc w:val="both"/>
              <w:rPr>
                <w:rFonts w:hint="eastAsia" w:ascii="仿宋" w:hAnsi="仿宋" w:eastAsia="仿宋" w:cs="仿宋"/>
                <w:szCs w:val="22"/>
                <w:lang w:val="en-US" w:eastAsia="zh-CN"/>
              </w:rPr>
            </w:pPr>
            <w:r>
              <w:rPr>
                <w:rFonts w:ascii="仿宋" w:hAnsi="仿宋" w:eastAsia="仿宋" w:cs="仿宋"/>
                <w:szCs w:val="22"/>
                <w:lang w:val="zh-CN"/>
              </w:rPr>
              <w:t>账    号：</w:t>
            </w:r>
            <w:r>
              <w:rPr>
                <w:rFonts w:hint="eastAsia" w:ascii="仿宋" w:hAnsi="仿宋" w:eastAsia="仿宋" w:cs="仿宋"/>
                <w:szCs w:val="22"/>
                <w:lang w:val="zh-CN"/>
              </w:rPr>
              <w:t>02002470092000</w:t>
            </w:r>
            <w:r>
              <w:rPr>
                <w:rFonts w:hint="eastAsia" w:ascii="仿宋" w:hAnsi="仿宋" w:eastAsia="仿宋" w:cs="仿宋"/>
                <w:szCs w:val="22"/>
                <w:lang w:val="en-US" w:eastAsia="zh-CN"/>
              </w:rPr>
              <w:t>77514</w:t>
            </w:r>
          </w:p>
          <w:p>
            <w:pPr>
              <w:widowControl/>
              <w:spacing w:line="360" w:lineRule="exact"/>
              <w:jc w:val="both"/>
              <w:rPr>
                <w:rFonts w:hint="default" w:ascii="仿宋_GB2312" w:hAnsi="等线" w:eastAsia="仿宋_GB2312"/>
                <w:kern w:val="2"/>
                <w:sz w:val="28"/>
                <w:szCs w:val="28"/>
                <w:highlight w:val="yellow"/>
              </w:rPr>
            </w:pPr>
            <w:r>
              <w:rPr>
                <w:rFonts w:hint="eastAsia" w:ascii="仿宋" w:hAnsi="仿宋" w:eastAsia="仿宋" w:cs="仿宋"/>
                <w:szCs w:val="22"/>
                <w:lang w:val="zh-CN"/>
              </w:rPr>
              <w:t>行</w:t>
            </w:r>
            <w:r>
              <w:rPr>
                <w:rFonts w:hint="eastAsia" w:ascii="仿宋" w:hAnsi="仿宋" w:eastAsia="仿宋" w:cs="仿宋"/>
                <w:szCs w:val="22"/>
                <w:lang w:val="en-US" w:eastAsia="zh-CN"/>
              </w:rPr>
              <w:t xml:space="preserve">    </w:t>
            </w:r>
            <w:r>
              <w:rPr>
                <w:rFonts w:hint="eastAsia" w:ascii="仿宋" w:hAnsi="仿宋" w:eastAsia="仿宋" w:cs="仿宋"/>
                <w:szCs w:val="22"/>
                <w:lang w:val="zh-CN"/>
              </w:rPr>
              <w:t>号</w:t>
            </w:r>
            <w:r>
              <w:rPr>
                <w:rFonts w:hint="eastAsia" w:ascii="仿宋" w:hAnsi="仿宋" w:eastAsia="仿宋" w:cs="仿宋"/>
                <w:szCs w:val="22"/>
                <w:lang w:val="zh-CN" w:eastAsia="zh-CN"/>
              </w:rPr>
              <w:t>：</w:t>
            </w:r>
            <w:r>
              <w:rPr>
                <w:rFonts w:ascii="仿宋" w:hAnsi="仿宋" w:eastAsia="仿宋" w:cs="仿宋"/>
                <w:szCs w:val="22"/>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autoSpaceDE/>
              <w:autoSpaceDN/>
              <w:adjustRightInd/>
              <w:spacing w:line="360" w:lineRule="exact"/>
              <w:ind w:right="-168" w:rightChars="-70"/>
              <w:jc w:val="center"/>
              <w:rPr>
                <w:rFonts w:hint="default" w:ascii="仿宋_GB2312" w:hAnsi="等线" w:eastAsia="仿宋_GB2312"/>
                <w:b/>
                <w:bCs/>
                <w:kern w:val="2"/>
                <w:szCs w:val="22"/>
              </w:rPr>
            </w:pPr>
            <w:r>
              <w:rPr>
                <w:rFonts w:ascii="仿宋_GB2312" w:hAnsi="等线" w:eastAsia="仿宋_GB2312"/>
                <w:kern w:val="2"/>
                <w:szCs w:val="22"/>
              </w:rPr>
              <w:t>备注</w:t>
            </w:r>
          </w:p>
        </w:tc>
        <w:tc>
          <w:tcPr>
            <w:tcW w:w="5087" w:type="dxa"/>
            <w:gridSpan w:val="6"/>
            <w:vAlign w:val="center"/>
          </w:tcPr>
          <w:p>
            <w:pPr>
              <w:autoSpaceDE/>
              <w:autoSpaceDN/>
              <w:adjustRightInd/>
              <w:spacing w:line="360" w:lineRule="exact"/>
              <w:ind w:right="-168" w:rightChars="-70"/>
              <w:rPr>
                <w:rFonts w:hint="default" w:ascii="仿宋_GB2312" w:hAnsi="等线" w:eastAsia="仿宋_GB2312"/>
                <w:kern w:val="2"/>
                <w:szCs w:val="22"/>
              </w:rPr>
            </w:pPr>
            <w:r>
              <w:rPr>
                <w:rFonts w:ascii="仿宋_GB2312" w:eastAsia="仿宋_GB2312"/>
                <w:szCs w:val="22"/>
              </w:rPr>
              <w:t>请将《报名回执表》回传至会务组，并在报名3日内办理培训费，会务组确认到款后即发《参会凭证》，详细说明培训具体安排事项。</w:t>
            </w:r>
          </w:p>
        </w:tc>
        <w:tc>
          <w:tcPr>
            <w:tcW w:w="2997" w:type="dxa"/>
            <w:gridSpan w:val="4"/>
            <w:vAlign w:val="center"/>
          </w:tcPr>
          <w:p>
            <w:pPr>
              <w:autoSpaceDE/>
              <w:autoSpaceDN/>
              <w:adjustRightInd/>
              <w:spacing w:line="360" w:lineRule="exact"/>
              <w:ind w:right="-168" w:rightChars="-70" w:firstLine="1080" w:firstLineChars="450"/>
              <w:jc w:val="both"/>
              <w:rPr>
                <w:rFonts w:hint="default" w:ascii="仿宋_GB2312" w:hAnsi="等线" w:eastAsia="仿宋_GB2312"/>
                <w:kern w:val="2"/>
                <w:szCs w:val="22"/>
              </w:rPr>
            </w:pPr>
            <w:r>
              <w:rPr>
                <w:rFonts w:ascii="仿宋_GB2312" w:hAnsi="等线" w:eastAsia="仿宋_GB2312"/>
                <w:kern w:val="2"/>
                <w:szCs w:val="22"/>
              </w:rPr>
              <w:t>单位印章</w:t>
            </w:r>
          </w:p>
          <w:p>
            <w:pPr>
              <w:autoSpaceDE/>
              <w:autoSpaceDN/>
              <w:adjustRightInd/>
              <w:spacing w:line="360" w:lineRule="exact"/>
              <w:ind w:right="-168" w:rightChars="-70" w:firstLine="480" w:firstLineChars="200"/>
              <w:jc w:val="both"/>
              <w:rPr>
                <w:rFonts w:hint="default" w:ascii="仿宋_GB2312" w:hAnsi="等线" w:eastAsia="仿宋_GB2312"/>
                <w:kern w:val="2"/>
                <w:szCs w:val="22"/>
              </w:rPr>
            </w:pPr>
            <w:r>
              <w:rPr>
                <w:rFonts w:ascii="仿宋_GB2312" w:hAnsi="等线" w:eastAsia="仿宋_GB2312"/>
                <w:kern w:val="2"/>
                <w:szCs w:val="22"/>
              </w:rPr>
              <w:t>2020 年    月    日</w:t>
            </w:r>
          </w:p>
        </w:tc>
      </w:tr>
    </w:tbl>
    <w:p>
      <w:pPr>
        <w:keepNext w:val="0"/>
        <w:keepLines w:val="0"/>
        <w:pageBreakBefore w:val="0"/>
        <w:widowControl/>
        <w:kinsoku/>
        <w:wordWrap/>
        <w:overflowPunct/>
        <w:topLinePunct w:val="0"/>
        <w:autoSpaceDE w:val="0"/>
        <w:autoSpaceDN w:val="0"/>
        <w:bidi w:val="0"/>
        <w:adjustRightInd w:val="0"/>
        <w:snapToGrid/>
        <w:spacing w:line="340" w:lineRule="exact"/>
        <w:textAlignment w:val="auto"/>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备注：培训班名额有限,请尽早报名，额满为止。</w:t>
      </w:r>
    </w:p>
    <w:p>
      <w:pPr>
        <w:spacing w:line="330" w:lineRule="exact"/>
        <w:ind w:firstLine="560" w:firstLineChars="200"/>
        <w:rPr>
          <w:rFonts w:hint="eastAsia" w:ascii="宋体" w:hAnsi="宋体"/>
          <w:sz w:val="28"/>
          <w:szCs w:val="28"/>
        </w:rPr>
      </w:pPr>
      <w:r>
        <w:rPr>
          <w:rFonts w:hint="eastAsia" w:ascii="宋体" w:hAnsi="宋体"/>
          <w:sz w:val="28"/>
          <w:szCs w:val="28"/>
        </w:rPr>
        <w:t xml:space="preserve">报名负责人：聂红军 主任18211071700（微信）  </w:t>
      </w:r>
    </w:p>
    <w:p>
      <w:pPr>
        <w:spacing w:line="330" w:lineRule="exact"/>
        <w:ind w:firstLine="560" w:firstLineChars="200"/>
        <w:rPr>
          <w:rFonts w:hint="eastAsia" w:ascii="宋体" w:hAnsi="宋体"/>
          <w:sz w:val="28"/>
          <w:szCs w:val="28"/>
        </w:rPr>
      </w:pPr>
      <w:r>
        <w:rPr>
          <w:rFonts w:hint="eastAsia" w:ascii="宋体" w:hAnsi="宋体"/>
          <w:sz w:val="28"/>
          <w:szCs w:val="28"/>
        </w:rPr>
        <w:t xml:space="preserve">电话（传真）：010-87697580           邮  箱：zqgphwz@126.com  </w:t>
      </w:r>
    </w:p>
    <w:p>
      <w:pPr>
        <w:spacing w:line="330" w:lineRule="exact"/>
        <w:ind w:firstLine="560" w:firstLineChars="200"/>
        <w:rPr>
          <w:rStyle w:val="10"/>
          <w:rFonts w:hint="default" w:ascii="仿宋" w:hAnsi="仿宋" w:eastAsia="仿宋" w:cs="仿宋"/>
          <w:b w:val="0"/>
          <w:kern w:val="2"/>
          <w:sz w:val="28"/>
          <w:szCs w:val="28"/>
        </w:rPr>
      </w:pPr>
      <w:r>
        <w:rPr>
          <w:rFonts w:hint="eastAsia" w:ascii="宋体" w:hAnsi="宋体"/>
          <w:sz w:val="28"/>
          <w:szCs w:val="28"/>
        </w:rPr>
        <w:t>网址查询：http://www.zqgpchina.cn/   qq咨询：3177524020</w:t>
      </w:r>
      <w:bookmarkStart w:id="0" w:name="_GoBack"/>
      <w:bookmarkEnd w:id="0"/>
    </w:p>
    <w:sectPr>
      <w:footerReference r:id="rId3"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23D51"/>
    <w:rsid w:val="00035C2D"/>
    <w:rsid w:val="00067BD4"/>
    <w:rsid w:val="0009632B"/>
    <w:rsid w:val="000B5CF0"/>
    <w:rsid w:val="000E468A"/>
    <w:rsid w:val="000F0735"/>
    <w:rsid w:val="00112650"/>
    <w:rsid w:val="001320AD"/>
    <w:rsid w:val="001B15FC"/>
    <w:rsid w:val="001C423C"/>
    <w:rsid w:val="001D5820"/>
    <w:rsid w:val="001F266D"/>
    <w:rsid w:val="001F2CC6"/>
    <w:rsid w:val="001F5DBA"/>
    <w:rsid w:val="002016D4"/>
    <w:rsid w:val="00262218"/>
    <w:rsid w:val="002733FA"/>
    <w:rsid w:val="002A5354"/>
    <w:rsid w:val="002B53F2"/>
    <w:rsid w:val="002D7C2D"/>
    <w:rsid w:val="00303B6C"/>
    <w:rsid w:val="00360AC6"/>
    <w:rsid w:val="00366D1D"/>
    <w:rsid w:val="003B1F67"/>
    <w:rsid w:val="003D3698"/>
    <w:rsid w:val="003E36E5"/>
    <w:rsid w:val="003F712A"/>
    <w:rsid w:val="004127EC"/>
    <w:rsid w:val="0042016E"/>
    <w:rsid w:val="0042243A"/>
    <w:rsid w:val="00444929"/>
    <w:rsid w:val="00490AAB"/>
    <w:rsid w:val="004B699A"/>
    <w:rsid w:val="004C2C6B"/>
    <w:rsid w:val="00507BEB"/>
    <w:rsid w:val="00510FDD"/>
    <w:rsid w:val="005258A8"/>
    <w:rsid w:val="005F7916"/>
    <w:rsid w:val="006011E8"/>
    <w:rsid w:val="00601C30"/>
    <w:rsid w:val="00605B40"/>
    <w:rsid w:val="006068B5"/>
    <w:rsid w:val="00616606"/>
    <w:rsid w:val="00657822"/>
    <w:rsid w:val="00660D1E"/>
    <w:rsid w:val="006618C6"/>
    <w:rsid w:val="00663868"/>
    <w:rsid w:val="00670351"/>
    <w:rsid w:val="00671816"/>
    <w:rsid w:val="006B69A3"/>
    <w:rsid w:val="006D6D3A"/>
    <w:rsid w:val="006E23D4"/>
    <w:rsid w:val="006F117C"/>
    <w:rsid w:val="006F58F0"/>
    <w:rsid w:val="00706D80"/>
    <w:rsid w:val="00724E89"/>
    <w:rsid w:val="00757AA3"/>
    <w:rsid w:val="00760628"/>
    <w:rsid w:val="0078469F"/>
    <w:rsid w:val="00786656"/>
    <w:rsid w:val="007A06B7"/>
    <w:rsid w:val="007B7767"/>
    <w:rsid w:val="007F29DF"/>
    <w:rsid w:val="007F5FC8"/>
    <w:rsid w:val="00832BCD"/>
    <w:rsid w:val="008334D8"/>
    <w:rsid w:val="00836D30"/>
    <w:rsid w:val="00843C21"/>
    <w:rsid w:val="0085248F"/>
    <w:rsid w:val="00860964"/>
    <w:rsid w:val="00881445"/>
    <w:rsid w:val="00882120"/>
    <w:rsid w:val="008A39AB"/>
    <w:rsid w:val="008B199B"/>
    <w:rsid w:val="008E378E"/>
    <w:rsid w:val="008E633F"/>
    <w:rsid w:val="008E79C6"/>
    <w:rsid w:val="009176A2"/>
    <w:rsid w:val="00920D6E"/>
    <w:rsid w:val="00925ADE"/>
    <w:rsid w:val="009308F0"/>
    <w:rsid w:val="00930C9B"/>
    <w:rsid w:val="009472B7"/>
    <w:rsid w:val="00957A5B"/>
    <w:rsid w:val="009601BE"/>
    <w:rsid w:val="00981D3A"/>
    <w:rsid w:val="009A4718"/>
    <w:rsid w:val="009A4BA7"/>
    <w:rsid w:val="00A0339F"/>
    <w:rsid w:val="00A16535"/>
    <w:rsid w:val="00A17C72"/>
    <w:rsid w:val="00A21947"/>
    <w:rsid w:val="00A35324"/>
    <w:rsid w:val="00A55121"/>
    <w:rsid w:val="00A6651E"/>
    <w:rsid w:val="00A76A48"/>
    <w:rsid w:val="00AB4C35"/>
    <w:rsid w:val="00AF6597"/>
    <w:rsid w:val="00B0351C"/>
    <w:rsid w:val="00B73582"/>
    <w:rsid w:val="00B865F7"/>
    <w:rsid w:val="00B87A6C"/>
    <w:rsid w:val="00B953A2"/>
    <w:rsid w:val="00BC37A5"/>
    <w:rsid w:val="00BE0FB0"/>
    <w:rsid w:val="00C10B2E"/>
    <w:rsid w:val="00C234E4"/>
    <w:rsid w:val="00C44BC1"/>
    <w:rsid w:val="00C5747F"/>
    <w:rsid w:val="00C660E6"/>
    <w:rsid w:val="00C7524A"/>
    <w:rsid w:val="00C96EFB"/>
    <w:rsid w:val="00CA083A"/>
    <w:rsid w:val="00CE67E2"/>
    <w:rsid w:val="00CF1181"/>
    <w:rsid w:val="00D33D09"/>
    <w:rsid w:val="00D47982"/>
    <w:rsid w:val="00D74547"/>
    <w:rsid w:val="00DA154B"/>
    <w:rsid w:val="00DB24B2"/>
    <w:rsid w:val="00DB62D4"/>
    <w:rsid w:val="00DC5B74"/>
    <w:rsid w:val="00DF3CB1"/>
    <w:rsid w:val="00E23AA1"/>
    <w:rsid w:val="00E24129"/>
    <w:rsid w:val="00E364AD"/>
    <w:rsid w:val="00E40FB3"/>
    <w:rsid w:val="00E51A5B"/>
    <w:rsid w:val="00E54A37"/>
    <w:rsid w:val="00E65A89"/>
    <w:rsid w:val="00E73D9A"/>
    <w:rsid w:val="00EB3F9D"/>
    <w:rsid w:val="00EC2070"/>
    <w:rsid w:val="00F2027E"/>
    <w:rsid w:val="00F31608"/>
    <w:rsid w:val="00F4034C"/>
    <w:rsid w:val="00F52CD5"/>
    <w:rsid w:val="00F75886"/>
    <w:rsid w:val="00F847DA"/>
    <w:rsid w:val="00FA5D57"/>
    <w:rsid w:val="00FD3268"/>
    <w:rsid w:val="00FD7D45"/>
    <w:rsid w:val="0115065C"/>
    <w:rsid w:val="01873FBC"/>
    <w:rsid w:val="024758F8"/>
    <w:rsid w:val="02866310"/>
    <w:rsid w:val="02B01FAE"/>
    <w:rsid w:val="03BD2A1A"/>
    <w:rsid w:val="03DE1A18"/>
    <w:rsid w:val="040074A3"/>
    <w:rsid w:val="04421273"/>
    <w:rsid w:val="04FA6554"/>
    <w:rsid w:val="05264D9D"/>
    <w:rsid w:val="055F0F75"/>
    <w:rsid w:val="059A2F73"/>
    <w:rsid w:val="059D13C6"/>
    <w:rsid w:val="05DB6A0D"/>
    <w:rsid w:val="05F05251"/>
    <w:rsid w:val="06562BCE"/>
    <w:rsid w:val="06A76AC5"/>
    <w:rsid w:val="07DD1D97"/>
    <w:rsid w:val="09574C75"/>
    <w:rsid w:val="0A19645B"/>
    <w:rsid w:val="0A1F1C61"/>
    <w:rsid w:val="0AE00BC8"/>
    <w:rsid w:val="0B97030C"/>
    <w:rsid w:val="0BD31815"/>
    <w:rsid w:val="0C654FEF"/>
    <w:rsid w:val="0C757B9B"/>
    <w:rsid w:val="0CA967FE"/>
    <w:rsid w:val="0DA135C5"/>
    <w:rsid w:val="0DE9579D"/>
    <w:rsid w:val="0E6A7443"/>
    <w:rsid w:val="0E82376F"/>
    <w:rsid w:val="0EB13649"/>
    <w:rsid w:val="0EC9239C"/>
    <w:rsid w:val="0ED45BB5"/>
    <w:rsid w:val="0F233D68"/>
    <w:rsid w:val="0F816F20"/>
    <w:rsid w:val="103819F7"/>
    <w:rsid w:val="1053724B"/>
    <w:rsid w:val="108965B9"/>
    <w:rsid w:val="111D32E7"/>
    <w:rsid w:val="113E3B6A"/>
    <w:rsid w:val="115E0DC8"/>
    <w:rsid w:val="11AB1900"/>
    <w:rsid w:val="11B32288"/>
    <w:rsid w:val="125B567F"/>
    <w:rsid w:val="12F92A2E"/>
    <w:rsid w:val="13BA4E76"/>
    <w:rsid w:val="14246519"/>
    <w:rsid w:val="14813515"/>
    <w:rsid w:val="14B761FD"/>
    <w:rsid w:val="155C0CB5"/>
    <w:rsid w:val="15AB2D48"/>
    <w:rsid w:val="16816EC6"/>
    <w:rsid w:val="16D42978"/>
    <w:rsid w:val="1714344D"/>
    <w:rsid w:val="17E562F3"/>
    <w:rsid w:val="18180676"/>
    <w:rsid w:val="186F35B0"/>
    <w:rsid w:val="189509C3"/>
    <w:rsid w:val="18AB4577"/>
    <w:rsid w:val="19A44506"/>
    <w:rsid w:val="19DB6AAB"/>
    <w:rsid w:val="1A0B2771"/>
    <w:rsid w:val="1A8D572D"/>
    <w:rsid w:val="1BF26C26"/>
    <w:rsid w:val="1C303806"/>
    <w:rsid w:val="1C4117B3"/>
    <w:rsid w:val="1D4F4D9A"/>
    <w:rsid w:val="1EE61D2F"/>
    <w:rsid w:val="1EE679B8"/>
    <w:rsid w:val="1F71124A"/>
    <w:rsid w:val="20263587"/>
    <w:rsid w:val="20440B47"/>
    <w:rsid w:val="20E53D47"/>
    <w:rsid w:val="215A3612"/>
    <w:rsid w:val="21DF2625"/>
    <w:rsid w:val="21E97F2A"/>
    <w:rsid w:val="22072402"/>
    <w:rsid w:val="22BC1795"/>
    <w:rsid w:val="237E71FA"/>
    <w:rsid w:val="23C37729"/>
    <w:rsid w:val="25123D82"/>
    <w:rsid w:val="25A25ED6"/>
    <w:rsid w:val="25C16AB4"/>
    <w:rsid w:val="262354A3"/>
    <w:rsid w:val="26342E4D"/>
    <w:rsid w:val="2668544C"/>
    <w:rsid w:val="26F0697A"/>
    <w:rsid w:val="27641A88"/>
    <w:rsid w:val="27715140"/>
    <w:rsid w:val="27F45FB8"/>
    <w:rsid w:val="295A4D47"/>
    <w:rsid w:val="29765048"/>
    <w:rsid w:val="2A69694D"/>
    <w:rsid w:val="2A753D5F"/>
    <w:rsid w:val="2ADE4A98"/>
    <w:rsid w:val="2B350720"/>
    <w:rsid w:val="2B4C33D5"/>
    <w:rsid w:val="2C5D22DE"/>
    <w:rsid w:val="2CA40883"/>
    <w:rsid w:val="2CBE75F5"/>
    <w:rsid w:val="2CF814B4"/>
    <w:rsid w:val="2D0E42D8"/>
    <w:rsid w:val="2D1A7EA0"/>
    <w:rsid w:val="2DB46FA5"/>
    <w:rsid w:val="2DE83DB8"/>
    <w:rsid w:val="2E9040A3"/>
    <w:rsid w:val="2EFC4A1E"/>
    <w:rsid w:val="2FDA21C9"/>
    <w:rsid w:val="307748D0"/>
    <w:rsid w:val="30CD0A31"/>
    <w:rsid w:val="31565A94"/>
    <w:rsid w:val="316A211F"/>
    <w:rsid w:val="318E7FC4"/>
    <w:rsid w:val="320E3755"/>
    <w:rsid w:val="325C70AD"/>
    <w:rsid w:val="326F69DE"/>
    <w:rsid w:val="328155E6"/>
    <w:rsid w:val="341F4D62"/>
    <w:rsid w:val="34672D65"/>
    <w:rsid w:val="349C765D"/>
    <w:rsid w:val="34BB53BA"/>
    <w:rsid w:val="35045D6D"/>
    <w:rsid w:val="35416C6E"/>
    <w:rsid w:val="3573365D"/>
    <w:rsid w:val="35C9302D"/>
    <w:rsid w:val="36505182"/>
    <w:rsid w:val="3661655B"/>
    <w:rsid w:val="36D9309D"/>
    <w:rsid w:val="36EC0361"/>
    <w:rsid w:val="37A51045"/>
    <w:rsid w:val="37C24B91"/>
    <w:rsid w:val="38723749"/>
    <w:rsid w:val="38822136"/>
    <w:rsid w:val="39977B66"/>
    <w:rsid w:val="39B96CC3"/>
    <w:rsid w:val="39F239E4"/>
    <w:rsid w:val="3A450054"/>
    <w:rsid w:val="3A8A4DE5"/>
    <w:rsid w:val="3AA74822"/>
    <w:rsid w:val="3AD21349"/>
    <w:rsid w:val="3ADD7E98"/>
    <w:rsid w:val="3B346A17"/>
    <w:rsid w:val="3B7309FF"/>
    <w:rsid w:val="3BE44AA9"/>
    <w:rsid w:val="3C03029A"/>
    <w:rsid w:val="3C0F1800"/>
    <w:rsid w:val="3D20698D"/>
    <w:rsid w:val="3D3B2FAA"/>
    <w:rsid w:val="3D6F02C3"/>
    <w:rsid w:val="3EA465AA"/>
    <w:rsid w:val="3F05595C"/>
    <w:rsid w:val="3F447022"/>
    <w:rsid w:val="4079291A"/>
    <w:rsid w:val="40910BEF"/>
    <w:rsid w:val="41C55CDB"/>
    <w:rsid w:val="41D26947"/>
    <w:rsid w:val="438A0138"/>
    <w:rsid w:val="438F31E1"/>
    <w:rsid w:val="44CA4883"/>
    <w:rsid w:val="45041B70"/>
    <w:rsid w:val="45065223"/>
    <w:rsid w:val="451E0702"/>
    <w:rsid w:val="458A6696"/>
    <w:rsid w:val="459831FD"/>
    <w:rsid w:val="45DC4AB6"/>
    <w:rsid w:val="467D407E"/>
    <w:rsid w:val="46B14C57"/>
    <w:rsid w:val="46E6706D"/>
    <w:rsid w:val="470F75CA"/>
    <w:rsid w:val="47AE7D34"/>
    <w:rsid w:val="48153718"/>
    <w:rsid w:val="4821332C"/>
    <w:rsid w:val="486263F0"/>
    <w:rsid w:val="489F4365"/>
    <w:rsid w:val="48A82B51"/>
    <w:rsid w:val="4A423AB9"/>
    <w:rsid w:val="4A9D0A10"/>
    <w:rsid w:val="4B044599"/>
    <w:rsid w:val="4B0A0426"/>
    <w:rsid w:val="4B165694"/>
    <w:rsid w:val="4BF35F73"/>
    <w:rsid w:val="4C1E23D7"/>
    <w:rsid w:val="4D39437A"/>
    <w:rsid w:val="4EA52361"/>
    <w:rsid w:val="4F516ADE"/>
    <w:rsid w:val="4FEF1CD4"/>
    <w:rsid w:val="501B18DD"/>
    <w:rsid w:val="503D0BF9"/>
    <w:rsid w:val="50736840"/>
    <w:rsid w:val="50F64C4A"/>
    <w:rsid w:val="51BA57D7"/>
    <w:rsid w:val="51E348B7"/>
    <w:rsid w:val="53184694"/>
    <w:rsid w:val="53534B98"/>
    <w:rsid w:val="535644D0"/>
    <w:rsid w:val="537C7F93"/>
    <w:rsid w:val="53C87612"/>
    <w:rsid w:val="54313F0D"/>
    <w:rsid w:val="55791D47"/>
    <w:rsid w:val="55822B8C"/>
    <w:rsid w:val="55921102"/>
    <w:rsid w:val="55B47ADA"/>
    <w:rsid w:val="561724F7"/>
    <w:rsid w:val="5649565E"/>
    <w:rsid w:val="566F5F59"/>
    <w:rsid w:val="5685733F"/>
    <w:rsid w:val="56DF70FF"/>
    <w:rsid w:val="57F227C1"/>
    <w:rsid w:val="584E7013"/>
    <w:rsid w:val="584F0362"/>
    <w:rsid w:val="58825BDE"/>
    <w:rsid w:val="59D55AC8"/>
    <w:rsid w:val="5A130EEF"/>
    <w:rsid w:val="5A2F58EB"/>
    <w:rsid w:val="5A787A2B"/>
    <w:rsid w:val="5A8A431E"/>
    <w:rsid w:val="5A9F29EB"/>
    <w:rsid w:val="5B082961"/>
    <w:rsid w:val="5B0A0F3F"/>
    <w:rsid w:val="5C1C7827"/>
    <w:rsid w:val="5CD91E7E"/>
    <w:rsid w:val="5CF60B01"/>
    <w:rsid w:val="5D125496"/>
    <w:rsid w:val="5D242384"/>
    <w:rsid w:val="5D650E25"/>
    <w:rsid w:val="5DBC4F9A"/>
    <w:rsid w:val="5ECB22E5"/>
    <w:rsid w:val="5ECB26F7"/>
    <w:rsid w:val="5F661586"/>
    <w:rsid w:val="5F79218C"/>
    <w:rsid w:val="5FA21376"/>
    <w:rsid w:val="5FD513B4"/>
    <w:rsid w:val="602E7496"/>
    <w:rsid w:val="60D85A40"/>
    <w:rsid w:val="60D92C10"/>
    <w:rsid w:val="610608E6"/>
    <w:rsid w:val="61163276"/>
    <w:rsid w:val="612348F6"/>
    <w:rsid w:val="613356AA"/>
    <w:rsid w:val="61D74FCE"/>
    <w:rsid w:val="62244D2D"/>
    <w:rsid w:val="62757094"/>
    <w:rsid w:val="62973E84"/>
    <w:rsid w:val="62EA2875"/>
    <w:rsid w:val="63156D9A"/>
    <w:rsid w:val="63213512"/>
    <w:rsid w:val="635321F9"/>
    <w:rsid w:val="63624E82"/>
    <w:rsid w:val="657C0323"/>
    <w:rsid w:val="65850CFA"/>
    <w:rsid w:val="6607320A"/>
    <w:rsid w:val="665B4076"/>
    <w:rsid w:val="683E3339"/>
    <w:rsid w:val="68426149"/>
    <w:rsid w:val="68C75DEC"/>
    <w:rsid w:val="69115685"/>
    <w:rsid w:val="69D236DB"/>
    <w:rsid w:val="6A34700B"/>
    <w:rsid w:val="6A881BC4"/>
    <w:rsid w:val="6B1D5C22"/>
    <w:rsid w:val="6B4216B7"/>
    <w:rsid w:val="6B990934"/>
    <w:rsid w:val="6BDF4F70"/>
    <w:rsid w:val="6C494665"/>
    <w:rsid w:val="6C6421C5"/>
    <w:rsid w:val="6C9934FE"/>
    <w:rsid w:val="6E493106"/>
    <w:rsid w:val="6E4C296A"/>
    <w:rsid w:val="6ED645B3"/>
    <w:rsid w:val="6EFF2097"/>
    <w:rsid w:val="6F7955F4"/>
    <w:rsid w:val="6FA943CE"/>
    <w:rsid w:val="712D6722"/>
    <w:rsid w:val="715058B1"/>
    <w:rsid w:val="71511A8C"/>
    <w:rsid w:val="71721E0D"/>
    <w:rsid w:val="721B0BB0"/>
    <w:rsid w:val="73AE3E3E"/>
    <w:rsid w:val="73B52DB2"/>
    <w:rsid w:val="73E55BE1"/>
    <w:rsid w:val="74FB3D31"/>
    <w:rsid w:val="752C2A78"/>
    <w:rsid w:val="75754C4E"/>
    <w:rsid w:val="75DD4471"/>
    <w:rsid w:val="76697649"/>
    <w:rsid w:val="76D44FD5"/>
    <w:rsid w:val="772967FA"/>
    <w:rsid w:val="772D3AF3"/>
    <w:rsid w:val="77733156"/>
    <w:rsid w:val="7796460A"/>
    <w:rsid w:val="785D1EBF"/>
    <w:rsid w:val="790D2B37"/>
    <w:rsid w:val="79C75F40"/>
    <w:rsid w:val="7A4805B8"/>
    <w:rsid w:val="7A796D36"/>
    <w:rsid w:val="7B013A9A"/>
    <w:rsid w:val="7BD400D4"/>
    <w:rsid w:val="7BDE019B"/>
    <w:rsid w:val="7C055D07"/>
    <w:rsid w:val="7C4B1DF3"/>
    <w:rsid w:val="7D021991"/>
    <w:rsid w:val="7D7E4898"/>
    <w:rsid w:val="7DB912C0"/>
    <w:rsid w:val="7DE351D1"/>
    <w:rsid w:val="7E324E80"/>
    <w:rsid w:val="7E7C4D97"/>
    <w:rsid w:val="7ED47C49"/>
    <w:rsid w:val="7F301A67"/>
    <w:rsid w:val="7F88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8"/>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7">
    <w:name w:val="Title"/>
    <w:basedOn w:val="1"/>
    <w:next w:val="1"/>
    <w:link w:val="17"/>
    <w:qFormat/>
    <w:uiPriority w:val="10"/>
    <w:pPr>
      <w:spacing w:before="240" w:after="60"/>
      <w:jc w:val="center"/>
      <w:outlineLvl w:val="0"/>
    </w:pPr>
    <w:rPr>
      <w:rFonts w:asciiTheme="majorHAnsi" w:hAnsiTheme="majorHAnsi" w:cstheme="majorBidi"/>
      <w:b/>
      <w:bCs/>
      <w:sz w:val="32"/>
      <w:szCs w:val="32"/>
    </w:rPr>
  </w:style>
  <w:style w:type="character" w:styleId="10">
    <w:name w:val="Strong"/>
    <w:basedOn w:val="9"/>
    <w:qFormat/>
    <w:uiPriority w:val="99"/>
    <w:rPr>
      <w:rFonts w:cs="Times New Roman"/>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34"/>
    <w:pPr>
      <w:widowControl/>
      <w:autoSpaceDE/>
      <w:autoSpaceDN/>
      <w:adjustRightInd/>
      <w:ind w:firstLine="420" w:firstLineChars="200"/>
    </w:pPr>
    <w:rPr>
      <w:rFonts w:hint="default" w:cs="宋体"/>
      <w:szCs w:val="24"/>
    </w:rPr>
  </w:style>
  <w:style w:type="character" w:customStyle="1" w:styleId="15">
    <w:name w:val="日期 Char"/>
    <w:basedOn w:val="9"/>
    <w:link w:val="2"/>
    <w:semiHidden/>
    <w:qFormat/>
    <w:uiPriority w:val="99"/>
    <w:rPr>
      <w:rFonts w:ascii="宋体" w:hAnsi="宋体" w:eastAsia="宋体" w:cs="Times New Roman"/>
      <w:kern w:val="0"/>
      <w:sz w:val="24"/>
      <w:szCs w:val="20"/>
    </w:rPr>
  </w:style>
  <w:style w:type="paragraph" w:customStyle="1" w:styleId="16">
    <w:name w:val="列出段落1"/>
    <w:basedOn w:val="1"/>
    <w:qFormat/>
    <w:uiPriority w:val="99"/>
    <w:pPr>
      <w:ind w:firstLine="420" w:firstLineChars="200"/>
    </w:pPr>
    <w:rPr>
      <w:szCs w:val="22"/>
    </w:rPr>
  </w:style>
  <w:style w:type="character" w:customStyle="1" w:styleId="17">
    <w:name w:val="标题 Char"/>
    <w:basedOn w:val="9"/>
    <w:link w:val="7"/>
    <w:qFormat/>
    <w:uiPriority w:val="10"/>
    <w:rPr>
      <w:rFonts w:asciiTheme="majorHAnsi" w:hAnsiTheme="majorHAnsi" w:cstheme="majorBidi"/>
      <w:b/>
      <w:bCs/>
      <w:sz w:val="32"/>
      <w:szCs w:val="32"/>
    </w:rPr>
  </w:style>
  <w:style w:type="character" w:customStyle="1" w:styleId="18">
    <w:name w:val="批注框文本 Char"/>
    <w:basedOn w:val="9"/>
    <w:link w:val="3"/>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FA3AB-6B68-4C76-9EF6-1CEA56AAE9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547</Words>
  <Characters>3120</Characters>
  <Lines>26</Lines>
  <Paragraphs>7</Paragraphs>
  <TotalTime>2</TotalTime>
  <ScaleCrop>false</ScaleCrop>
  <LinksUpToDate>false</LinksUpToDate>
  <CharactersWithSpaces>3660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2020-04-22T07:41:00Z</cp:lastPrinted>
  <dcterms:modified xsi:type="dcterms:W3CDTF">2020-09-27T01:27:44Z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