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48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distribute"/>
              <w:rPr>
                <w:rFonts w:hint="eastAsia" w:ascii="宋体" w:hAnsi="宋体" w:eastAsia="宋体" w:cs="宋体"/>
                <w:color w:val="FF0000"/>
                <w:kern w:val="0"/>
                <w:sz w:val="70"/>
                <w:szCs w:val="70"/>
              </w:rPr>
            </w:pPr>
            <w:r>
              <w:rPr>
                <w:rFonts w:ascii="楷体" w:hAnsi="楷体" w:eastAsia="楷体" w:cs="宋体"/>
                <w:color w:val="00000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70"/>
                <w:szCs w:val="70"/>
              </w:rPr>
              <w:t>中 国 投 资 协 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distribute"/>
              <w:rPr>
                <w:rFonts w:hint="eastAsia" w:ascii="楷体" w:hAnsi="楷体" w:eastAsia="楷体"/>
                <w:color w:val="FF0000"/>
                <w:kern w:val="0"/>
                <w:sz w:val="70"/>
                <w:szCs w:val="7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70"/>
                <w:szCs w:val="70"/>
              </w:rPr>
              <w:t>项目投融资专业委员会文件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楷体" w:hAnsi="楷体" w:eastAsia="楷体"/>
                <w:color w:val="000000"/>
                <w:kern w:val="0"/>
                <w:sz w:val="66"/>
                <w:szCs w:val="66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val="en-US" w:eastAsia="zh-CN"/>
              </w:rPr>
              <w:t>投融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培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字〔20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〕</w:t>
            </w:r>
            <w:r>
              <w:rPr>
                <w:rFonts w:hint="eastAsia" w:cs="宋体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号</w:t>
            </w:r>
          </w:p>
        </w:tc>
      </w:tr>
    </w:tbl>
    <w:p>
      <w:pPr>
        <w:pStyle w:val="8"/>
        <w:spacing w:line="360" w:lineRule="auto"/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关于举办2020基建REITs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专项债券“借用还”全过程管理及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PPP绩效考核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SPV运营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竣工验收与审计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专题培训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班的通知</w:t>
      </w:r>
    </w:p>
    <w:p>
      <w:pPr>
        <w:autoSpaceDE/>
        <w:autoSpaceDN/>
        <w:adjustRightInd/>
        <w:spacing w:line="360" w:lineRule="auto"/>
        <w:jc w:val="both"/>
        <w:rPr>
          <w:rFonts w:ascii="仿宋" w:hAnsi="仿宋" w:eastAsia="仿宋" w:cs="仿宋"/>
          <w:b w:val="0"/>
          <w:bCs w:val="0"/>
          <w:kern w:val="2"/>
          <w:sz w:val="22"/>
          <w:szCs w:val="22"/>
        </w:rPr>
      </w:pPr>
    </w:p>
    <w:p>
      <w:pPr>
        <w:autoSpaceDE/>
        <w:autoSpaceDN/>
        <w:adjustRightInd/>
        <w:spacing w:line="360" w:lineRule="auto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</w:rPr>
        <w:t>各有关单位:</w:t>
      </w:r>
    </w:p>
    <w:p>
      <w:pPr>
        <w:autoSpaceDE/>
        <w:autoSpaceDN/>
        <w:adjustRightInd/>
        <w:spacing w:line="360" w:lineRule="auto"/>
        <w:ind w:firstLine="560" w:firstLineChars="200"/>
        <w:jc w:val="both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开展基础设施领域不动产投资信托基金（REITs）试点，是贯彻落实党中央、国务院关于防风险、去杠杆、稳投资、补短板决策部署的有效政策工具，是投融资机制的重大创新，有助于盘活存量资产，广泛调动各类社会资本积极性，促进基础设施高质量发展。</w:t>
      </w:r>
    </w:p>
    <w:p>
      <w:pPr>
        <w:autoSpaceDE/>
        <w:autoSpaceDN/>
        <w:adjustRightInd/>
        <w:spacing w:line="360" w:lineRule="auto"/>
        <w:ind w:firstLine="560" w:firstLineChars="200"/>
        <w:jc w:val="both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为帮助有关部门解决REITs试点实操中的实际问题，提高PPP项目风险防控能力，加快建立规范的融资机制，探索创新多元化融资模式，学习掌握专项债券相关政策法规和实务操作，强化发展战略、运营管理、市场监管、绩效考核等职责，中国投资协会项目投融资专业委员会会同</w:t>
      </w:r>
      <w:r>
        <w:rPr>
          <w:rFonts w:hint="eastAsia" w:ascii="仿宋" w:hAnsi="仿宋" w:eastAsia="仿宋" w:cs="宋体"/>
          <w:color w:val="000000"/>
          <w:sz w:val="28"/>
          <w:szCs w:val="28"/>
          <w:lang w:val="zh-CN" w:eastAsia="zh-CN"/>
        </w:rPr>
        <w:t>北京中科善若教育咨询有限公司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举办2020基建REITs、专项债券“借用还”全过程管理及PPP绩效考核、SPV运营、竣工验收与审计专题培训班。现将有关培训事项通知如下：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主办单位：中国投资协会项目投融资专业委员会</w:t>
      </w:r>
    </w:p>
    <w:p>
      <w:pPr>
        <w:autoSpaceDE/>
        <w:autoSpaceDN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承办单位：</w:t>
      </w:r>
      <w:r>
        <w:rPr>
          <w:rFonts w:hint="eastAsia" w:ascii="华文仿宋" w:hAnsi="华文仿宋" w:eastAsia="华文仿宋"/>
          <w:sz w:val="30"/>
          <w:szCs w:val="30"/>
          <w:lang w:val="zh-CN"/>
        </w:rPr>
        <w:t>北京中科善若教育咨询有限公司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、培训内容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（详细内容见附件）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1.基础设施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REITs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带来的市场机会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REITs的法律实务与风险防范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3.专项债券类型与内容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4.专项债券的限额、预算和发行以及财务分析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5.专项债券的合规性审查以及申报全流程解读和案例解析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PPP项目各利益方的本质剖析（目标设定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7.基于案例的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SPV公司管理全剖解（任务分解）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8.基于案例的高频典型实务问题解析（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检查纠偏）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PPP项目的绩效考核专题解析（实践高效成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果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10.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PPP项目执行经验总结与建议（总结提炼）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11.实务问题互动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1.各地方政府发改、教育、科技、司法、财政、环保、住建、交通、水利、农业、林业、文旅、卫健、能源等部门相关工作人员；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2.各地相关仓储物流、污水垃圾处理、固废危废垃圾处理、供水供气供热、清洁能源、环境保护、信息网络、园区开发、建筑建材等领域企业管理人员，国有大中型企业、大型民企以及PPP项目SPV各领域企事业单位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华文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3.</w:t>
      </w:r>
      <w:r>
        <w:rPr>
          <w:rFonts w:hint="eastAsia" w:ascii="华文仿宋" w:hAnsi="华文仿宋" w:eastAsia="华文仿宋"/>
          <w:sz w:val="30"/>
          <w:szCs w:val="30"/>
          <w:lang w:val="en-US"/>
        </w:rPr>
        <w:t>证券、基金、商业银行、信托、资产管理、融资租赁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等金融机构负责人</w:t>
      </w:r>
      <w:r>
        <w:rPr>
          <w:rFonts w:hint="eastAsia" w:ascii="华文仿宋" w:hAnsi="华文仿宋" w:eastAsia="华文仿宋"/>
          <w:sz w:val="30"/>
          <w:szCs w:val="30"/>
          <w:lang w:val="en-US"/>
        </w:rPr>
        <w:t>以及工程咨询设计、财务顾问、法律行业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等单位管理人员。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四、授课专家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拟邀请国家发展改革委、财政部PPP项目相关领域专家授课，拟由证券公司、咨询公司、律师事务所、会计师事务所等机构专家以专题讲座、案例分析、现场答疑、方案咨询、研讨交流等形式进行讲解。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2020年10月22日—10月26日   西安市  （22日全天报到）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2020年11月18日—11月22日   成都市  （18日全天报到）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2020年12月16日--12月20日   南京市  （16日全天报到）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2020年12月23日--12月27日   长沙市  （23日全天报到）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2021年01月14日--01月19日   海口市  （14日全天报到）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（一）培训费用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A.2980元/人（含培训费、资料费、电子课件、场地、会议期间午餐），住宿统一安排，费用自理。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B.3980元/人（含证书、培训费、资料费、电子课件、场地、会议期间午餐），住宿统一安排，费用自理。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C.5980元/人（含证书、培训费、资料费、电子课件、场地、会议期间食宿、交流等）。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备注：证书由中国国家人事人才培训网、北京企业管理咨询协会共同颁发《PPP项目管理师》《债券咨询师》，证书查询网址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instrText xml:space="preserve"> HYPERLINK "http://www.chinanet.gov.cn/" </w:instrTex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http://www.chinanet.gov.cn/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需提供报名材料：报名表、2寸照电子照片（白底免冠彩照）、身份证复印件、学历证书复印件各一份。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（二）联系方式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报名负责人：聂红军 主任18211071700（微信）  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电话（传真）：010-87697580           邮  箱：zqgphwz@126.com  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>网址查询：http://www.zqgpchina.cn/   qq咨询：3177524020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1.培训内容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2.2020基建REITs、专项债券“借用还”全过程管理及PPP绩效考核、SPV运营、竣工验收与审计专题培训班《报名回执表》</w:t>
      </w:r>
    </w:p>
    <w:p>
      <w:pPr>
        <w:spacing w:line="360" w:lineRule="auto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autoSpaceDE/>
        <w:autoSpaceDN/>
        <w:adjustRightInd/>
        <w:spacing w:line="360" w:lineRule="auto"/>
        <w:ind w:firstLine="480" w:firstLineChars="200"/>
        <w:jc w:val="both"/>
        <w:outlineLvl w:val="3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231140</wp:posOffset>
            </wp:positionV>
            <wp:extent cx="1310640" cy="1280160"/>
            <wp:effectExtent l="0" t="0" r="0" b="0"/>
            <wp:wrapNone/>
            <wp:docPr id="2" name="图片 2" descr="微信图片_2020092417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24173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/>
        <w:autoSpaceDN/>
        <w:adjustRightInd/>
        <w:spacing w:line="380" w:lineRule="exact"/>
        <w:ind w:firstLine="560" w:firstLineChars="200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</w:rPr>
        <w:t xml:space="preserve">      </w:t>
      </w:r>
    </w:p>
    <w:p>
      <w:pPr>
        <w:autoSpaceDE/>
        <w:autoSpaceDN/>
        <w:adjustRightInd/>
        <w:spacing w:line="560" w:lineRule="exact"/>
        <w:ind w:firstLine="4320" w:firstLineChars="1800"/>
        <w:jc w:val="both"/>
        <w:rPr>
          <w:rFonts w:hint="eastAsia"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中国投资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业委员会</w:t>
      </w:r>
    </w:p>
    <w:p>
      <w:pPr>
        <w:autoSpaceDE/>
        <w:autoSpaceDN/>
        <w:adjustRightInd/>
        <w:spacing w:line="360" w:lineRule="auto"/>
        <w:ind w:firstLine="6443" w:firstLineChars="2300"/>
        <w:jc w:val="both"/>
        <w:rPr>
          <w:rFonts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 xml:space="preserve">    </w:t>
      </w:r>
    </w:p>
    <w:p>
      <w:pPr>
        <w:autoSpaceDE/>
        <w:autoSpaceDN/>
        <w:adjustRightInd/>
        <w:spacing w:line="360" w:lineRule="auto"/>
        <w:ind w:firstLine="6440" w:firstLineChars="2300"/>
        <w:jc w:val="both"/>
        <w:rPr>
          <w:rFonts w:ascii="仿宋" w:hAnsi="仿宋" w:eastAsia="仿宋" w:cs="仿宋"/>
          <w:b w:val="0"/>
          <w:bCs w:val="0"/>
          <w:kern w:val="2"/>
          <w:sz w:val="28"/>
          <w:szCs w:val="28"/>
        </w:rPr>
      </w:pPr>
    </w:p>
    <w:p>
      <w:pPr>
        <w:autoSpaceDE/>
        <w:autoSpaceDN/>
        <w:adjustRightInd/>
        <w:spacing w:line="360" w:lineRule="auto"/>
        <w:ind w:firstLine="6440" w:firstLineChars="2300"/>
        <w:jc w:val="both"/>
        <w:rPr>
          <w:rFonts w:ascii="仿宋" w:hAnsi="仿宋" w:eastAsia="仿宋" w:cs="仿宋"/>
          <w:b w:val="0"/>
          <w:bCs w:val="0"/>
          <w:kern w:val="2"/>
          <w:sz w:val="28"/>
          <w:szCs w:val="28"/>
        </w:rPr>
      </w:pPr>
    </w:p>
    <w:p>
      <w:pPr>
        <w:autoSpaceDE/>
        <w:autoSpaceDN/>
        <w:adjustRightInd/>
        <w:spacing w:line="360" w:lineRule="auto"/>
        <w:jc w:val="both"/>
        <w:rPr>
          <w:rFonts w:ascii="仿宋" w:hAnsi="仿宋" w:eastAsia="仿宋" w:cs="仿宋"/>
          <w:b w:val="0"/>
          <w:bCs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bidi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bidi="zh-CN"/>
        </w:rPr>
        <w:t>一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bidi="zh-CN"/>
        </w:rPr>
        <w:t xml:space="preserve">培训内容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bidi="ar-SA"/>
        </w:rPr>
        <w:t>模块一:基础设施REITs带来的市场机会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（一）REITs基本原理与交易结构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的原理和特征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与类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比较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3.权益型和抵押型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、公募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与私募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的交易结构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（二）基础设施REITs优劣势及存在问题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1.基础设施REITs的双重属性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2.基础设施REITs的优势和劣势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3.国内外类REITs的探索和介绍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4.基础设施REITs存在的问题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（三）基础设施REITs试点带来的市场机会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1.《关于推进基础设施领域REITs试点相关工作的通知》解读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2.《公开募集基础设施证券投资基金指引》解读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3.“公募基金+ABS”结构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4.基础设施REITs发行流程和作用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（四）REITs底层资产的转让及测算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1.基础资产的估值及项目净现金流测算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2.适合发行REITs的基础设施领域和和资产类型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3.作为底层资产的基础设施资产及特许经营权转让政策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4.基础资产的估值及项目净现金流测算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5.REITs红利分配环节和底层资产的运营管理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（五）REITs案例与分析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 xml:space="preserve">模块二：REITs的法律实务与风险防范 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（一）REITs在国内的发展历程及涉及的法律法规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1.《关于推进基础设施领域不动产投资信托基金（REITs）试点相关工作的通知》要点分析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2.《公开公募基础设施证券投资基金指引(试行)》要点分析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（二）我国境内REITs的主要交易结构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1.基本类型：“公募基金+单一基础设施资产支持证券”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2.股债结构：如果基础设施项目有银行贷款，想要通过REITs再融资，交易结构上该如何设计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3.股债结构：如果基础设施项目没有银行贷款，如何搭建资本弱化的交易结构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（三）尽职调查及风险分析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1.一般尽职调查方式和注意事项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2.不同类型物业尽职调查的风险点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（四）会计和税收实务探讨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1.REITs的会计介绍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2.REITs的税收实务研讨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（五）REITs的投资逻辑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1.机构投资者对REITs的投资动机及其需求分析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2.REITs与其他投资的比较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模块三: 专项债券类型与内容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（一）专项债券的性质与特征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1.专项债券的五大特征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2.专项债权对项目收益的要求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3.政府性基金预算的特点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4.公益性项目如何对应政府基金预算或专项收入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（二）专项债券的政策背景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1.《国务院关于加强地方政府性债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务管理的意见》（国发〔2014〕43号）中提出的政府合规举债的途径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2.哪些模式目前无法做或不合规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3.专项债的优势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（三）专项债权“借用还”的基本原则及实务理解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1.借：法定限额管理、省级政府发债模式、全口径预算管理等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2.用：公益性资本支出、专款专用等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3.还：自借自还、科目偿债责任、项目偿债责任等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（四）地方政府专项债券的类型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1.置换专项债券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2.新增专项债券（普通专项债、项目收益专项债）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3.再融资专项债券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4.普通专项债券与项目收益专项债券的区别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5.重大项目专项债券（国常会及财政部最新部署安排）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（五）专项债券的要素实务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1.构成专项债券内容的八大要素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2.各要素的实操应用要点及注意事项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（六）专项债券与其他模式的组合应用要点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1.专项债券+项目资本金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2.专项债券+银行贷款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3.专项债券+PPP模式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模块四:专项债券的限额、预算和发行以及财务分析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（一）正常下达限额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1.限额的审批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2.限额下达前的建议、限额的逐级下达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3.正常下达限额的发债节奏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（二）提前下达限额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（三）历年统计限额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（四）全口径预算管理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（五）专项债券的发行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1.公开承销模式及其特点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2.招标模式（荷兰式招标与美国式招标）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3.地方专项债在交易所发行上市业务流程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（六）什么是偿债备付率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（七）“可用于还本付息的现金流”的计算方法一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（八）“可用于还本付息的现金流”的计算方法二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（九）专项债券用于项目资本金时财务特征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（十）专项债券的参与主体及要求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1.发行和偿债主体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2.各级政府分工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3.投资人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4.托管机构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5.中介服务机构（承销商、评级机构、会所、律所等）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模块五:专项债券的合规性审查以及申报全流程解读和案例解析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（一）参与方的合规性审查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（二）债券与项目的合规性审查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（三）债券发行的信息披露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（四）专项债券借用还的流程及环节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1.项目选择和策划的要点分析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2.项目方案编制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3.专业机构评价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4.项目申报和债券发行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5.资金使用和融资偿还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（五）分类发行专项债的相关方案制作及案例解析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1.交通基础设施类—机场专项债项目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2.能源类—供气专项债操作指引及湖南耒阳供气专项债项目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3.水利专项债—广东珠江三角洲水资源配置专项债项目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4.生态环保类专项债操作指引及—成都固废处理专项债项目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5.其他非标专项债项目案例介绍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 xml:space="preserve">模块六：PPP项目各利益方的本质剖析（目标设定）                   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（一）分析政府方、社会资本方/SPV公司、第三方机构参与PPP的最终目标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（二）社会资本方/SPV公司的最终目标与实现障碍剖析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（三）对标分析，确立核心要点（本项是SPV公司管理中最容易出问题的地方，也是下面所有模块课程的计准前提，所以必须存在）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模块七：基于案例的SPV公司管理全剖解（PD：任务分解）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（一）SPV公司经营管理内容全分解，及其风险分析与应对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1.SPV公司成立前的关键工作剖解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2.SPV公司成立后，《股东协议》、《公司章程》的具体工作WBS分解：注册资本金、项目资本金的到位；三会议案清单的分解与执行；股东会、董事会、监事会、总经理办公会的分解与执行等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3.工商管理内容全分解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（二）PPP项目工程管理全分解，及其风险分析与应对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1.识别、准备、执行阶段的行政合规性手续及程序合规性手续WBS分解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2.主合同管理与执行WBS分解（《PPP项目合同》《融资协议》《施工总承包合同》），第三方转移合同管理与执行WBS分解，SPV公司主导合同管理与执行WBS分解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3.其他管理工作范围WBS分解与解析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4.36个执行项目管理经验性建议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（三）行业运营管理部分分析与应对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模块八：基于案例的高频典型实务问题解析（CA：检查纠偏）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（一）超概问题的成因与应对专题解析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（二）无证施工的风险分析与应对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（三）政府口头通知、基金模式、股东借款、设计优化的风险分析与应对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（四）30%建设成本绩效考核、三方合同承继、政府投资缩小风险分析与应对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（五）开工日期确定、档案信息范围等问题的风险分析与应对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ascii="华文仿宋" w:hAnsi="华文仿宋" w:eastAsia="华文仿宋"/>
          <w:spacing w:val="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（六）PPP项目的变更、签证、索赔专题解析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模块九：PPP项目的绩效考核专题解析（实践高效成果）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（一）绩效考核原则解析；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广义与狭义：年度绩效考核、中期评估、项目后评价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绩效考核逻辑：产出说明、绩效考核原则、PPP项目合同（绩效考核办法和细则）、执行与实施、绩效考核与付费、PDCA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华文仿宋" w:hAnsi="华文仿宋" w:eastAsia="华文仿宋"/>
          <w:bCs/>
          <w:spacing w:val="6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绩效考核关键七要点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（二）绩效考核相关政策重点解析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left="567" w:leftChars="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1.财办金〔2017〕92号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left="567" w:leftChars="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2.财金〔2020〕13号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left="567" w:leftChars="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3.政策规定总结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（三）项目案例示范解析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华文仿宋" w:hAnsi="华文仿宋" w:eastAsia="华文仿宋"/>
          <w:bCs/>
          <w:spacing w:val="6"/>
          <w:sz w:val="30"/>
          <w:szCs w:val="30"/>
        </w:rPr>
      </w:pPr>
      <w:r>
        <w:rPr>
          <w:rFonts w:hint="eastAsia" w:ascii="华文仿宋" w:hAnsi="华文仿宋" w:eastAsia="华文仿宋"/>
          <w:bCs/>
          <w:spacing w:val="6"/>
          <w:sz w:val="30"/>
          <w:szCs w:val="30"/>
        </w:rPr>
        <w:t>MIC项目考核解析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华文仿宋" w:hAnsi="华文仿宋" w:eastAsia="华文仿宋"/>
          <w:bCs/>
          <w:spacing w:val="6"/>
          <w:sz w:val="30"/>
          <w:szCs w:val="30"/>
        </w:rPr>
      </w:pPr>
      <w:r>
        <w:rPr>
          <w:rFonts w:hint="eastAsia" w:ascii="华文仿宋" w:hAnsi="华文仿宋" w:eastAsia="华文仿宋"/>
          <w:bCs/>
          <w:spacing w:val="6"/>
          <w:sz w:val="30"/>
          <w:szCs w:val="30"/>
        </w:rPr>
        <w:t>某市政路桥项目解析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模块十：PPP项目执行经验总结与建议（总结提炼）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（一）SPV公司角度执行经验提炼与建议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（二）个人角度经验总结与建议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模块十一：实务问题互动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（一）SPV公司实务作业的解析和示范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（二）学员实务问题分析与解答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（三）部分应用成果展示、建议与总结</w:t>
      </w:r>
    </w:p>
    <w:p>
      <w:pPr>
        <w:autoSpaceDE/>
        <w:autoSpaceDN/>
        <w:adjustRightInd/>
        <w:spacing w:line="360" w:lineRule="auto"/>
        <w:ind w:firstLine="560" w:firstLineChars="200"/>
        <w:jc w:val="both"/>
        <w:rPr>
          <w:rFonts w:hint="default" w:ascii="仿宋" w:hAnsi="仿宋" w:eastAsia="仿宋" w:cs="仿宋"/>
          <w:bCs/>
          <w:kern w:val="2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>附件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</w:t>
      </w: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>.</w:t>
      </w:r>
      <w:r>
        <w:rPr>
          <w:b w:val="0"/>
          <w:bCs w:val="0"/>
        </w:rPr>
        <w:t xml:space="preserve"> 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2020基建REITs、专项债券“借用还”全过程管理及PPP绩效考核、      SPV运营、竣工验收与审计专题培训班</w:t>
      </w: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  <w:t>报名回执表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报名负责人：聂红军 主任18211071700（微信）  </w:t>
      </w:r>
    </w:p>
    <w:p>
      <w:pPr>
        <w:widowControl/>
        <w:autoSpaceDE/>
        <w:autoSpaceDN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电话（传真）：010-87697580           邮  箱：zqgphwz@126.com  </w:t>
      </w:r>
    </w:p>
    <w:p>
      <w:pPr>
        <w:widowControl/>
        <w:autoSpaceDE/>
        <w:autoSpaceDN/>
        <w:spacing w:line="360" w:lineRule="exact"/>
        <w:jc w:val="both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>网址查询：http://www.zqgpchina.cn/   qq咨询：3177524020</w:t>
      </w:r>
      <w:bookmarkStart w:id="0" w:name="_GoBack"/>
      <w:bookmarkEnd w:id="0"/>
    </w:p>
    <w:tbl>
      <w:tblPr>
        <w:tblStyle w:val="9"/>
        <w:tblpPr w:leftFromText="180" w:rightFromText="180" w:vertAnchor="page" w:horzAnchor="margin" w:tblpY="230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49"/>
        <w:gridCol w:w="1282"/>
        <w:gridCol w:w="1984"/>
        <w:gridCol w:w="157"/>
        <w:gridCol w:w="893"/>
        <w:gridCol w:w="103"/>
        <w:gridCol w:w="541"/>
        <w:gridCol w:w="29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单位名称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邮编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单位地址</w:t>
            </w:r>
          </w:p>
        </w:tc>
        <w:tc>
          <w:tcPr>
            <w:tcW w:w="8084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职位/岗位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    机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电子信箱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住宿标准</w:t>
            </w:r>
          </w:p>
        </w:tc>
        <w:tc>
          <w:tcPr>
            <w:tcW w:w="3969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Times New Roman" w:hAnsi="Times New Roman"/>
                <w:kern w:val="2"/>
                <w:sz w:val="21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参会地点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1" w:firstLineChars="100"/>
              <w:rPr>
                <w:rFonts w:hint="default" w:ascii="仿宋_GB2312" w:hAnsi="Times New Roman" w:eastAsia="仿宋_GB2312"/>
                <w:b/>
                <w:color w:val="000000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color w:val="000000"/>
                <w:kern w:val="2"/>
                <w:szCs w:val="22"/>
              </w:rPr>
              <w:t>证书申报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标准选项</w:t>
            </w:r>
          </w:p>
        </w:tc>
        <w:tc>
          <w:tcPr>
            <w:tcW w:w="8084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color w:val="000000"/>
                <w:kern w:val="2"/>
                <w:szCs w:val="22"/>
              </w:rPr>
            </w:pPr>
            <w:r>
              <w:rPr>
                <w:rFonts w:ascii="仿宋_GB2312" w:eastAsia="仿宋_GB2312" w:cs="宋体"/>
                <w:b/>
                <w:color w:val="000000"/>
                <w:sz w:val="28"/>
                <w:szCs w:val="28"/>
              </w:rPr>
              <w:t>A</w:t>
            </w:r>
            <w:r>
              <w:rPr>
                <w:rFonts w:hint="eastAsia" w:ascii="仿宋_GB2312" w:eastAsia="仿宋_GB2312" w:cs="宋体"/>
                <w:b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B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3980元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.5980元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3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付款方式</w:t>
            </w:r>
          </w:p>
        </w:tc>
        <w:tc>
          <w:tcPr>
            <w:tcW w:w="4272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2"/>
                <w:szCs w:val="22"/>
                <w:lang w:eastAsia="zh-CN"/>
              </w:rPr>
              <w:t>□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银行     □网银 </w:t>
            </w:r>
          </w:p>
        </w:tc>
        <w:tc>
          <w:tcPr>
            <w:tcW w:w="996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金额</w:t>
            </w:r>
          </w:p>
        </w:tc>
        <w:tc>
          <w:tcPr>
            <w:tcW w:w="2816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3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沟通的问题</w:t>
            </w:r>
          </w:p>
        </w:tc>
        <w:tc>
          <w:tcPr>
            <w:tcW w:w="8084" w:type="dxa"/>
            <w:gridSpan w:val="9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收款</w:t>
            </w:r>
            <w:r>
              <w:rPr>
                <w:rFonts w:hint="eastAsia" w:ascii="仿宋_GB2312" w:hAnsi="Times New Roman" w:eastAsia="仿宋_GB2312"/>
                <w:b/>
                <w:bCs/>
                <w:kern w:val="2"/>
                <w:szCs w:val="22"/>
                <w:lang w:val="en-US" w:eastAsia="zh-CN"/>
              </w:rPr>
              <w:t>账</w:t>
            </w: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户</w:t>
            </w:r>
          </w:p>
        </w:tc>
        <w:tc>
          <w:tcPr>
            <w:tcW w:w="8084" w:type="dxa"/>
            <w:gridSpan w:val="9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 xml:space="preserve">单位名称： 北京中建科信管理咨询集团有限公司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>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 xml:space="preserve">行： 中国工商银行股份有限公司北京半壁店支行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>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备注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left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szCs w:val="22"/>
              </w:rPr>
              <w:t>请将《报名回执表》回传至会务组，并在报名3日内办理培训费，会务组确认到款后即发《参会凭证》，详细说明培训具体安排事项。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1080" w:firstLineChars="4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720" w:firstLineChars="3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2"/>
                <w:szCs w:val="22"/>
                <w:lang w:val="en-US" w:eastAsia="zh-CN"/>
              </w:rPr>
              <w:t>2020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年  月  日</w:t>
            </w:r>
          </w:p>
        </w:tc>
      </w:tr>
    </w:tbl>
    <w:p>
      <w:pPr>
        <w:widowControl/>
        <w:autoSpaceDE/>
        <w:autoSpaceDN/>
        <w:spacing w:line="360" w:lineRule="exact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350"/>
    <w:multiLevelType w:val="multilevel"/>
    <w:tmpl w:val="06EB2350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3"/>
      <w:numFmt w:val="japaneseCounting"/>
      <w:lvlText w:val="（%2）"/>
      <w:lvlJc w:val="left"/>
      <w:pPr>
        <w:ind w:left="2067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695D5070"/>
    <w:multiLevelType w:val="multilevel"/>
    <w:tmpl w:val="695D5070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3"/>
      <w:numFmt w:val="japaneseCounting"/>
      <w:lvlText w:val="（%2）"/>
      <w:lvlJc w:val="left"/>
      <w:pPr>
        <w:ind w:left="2067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111BB"/>
    <w:rsid w:val="00035C2D"/>
    <w:rsid w:val="00067BD4"/>
    <w:rsid w:val="0009632B"/>
    <w:rsid w:val="000B5CF0"/>
    <w:rsid w:val="000E468A"/>
    <w:rsid w:val="000F0735"/>
    <w:rsid w:val="001320AD"/>
    <w:rsid w:val="001B15FC"/>
    <w:rsid w:val="001D5820"/>
    <w:rsid w:val="001F266D"/>
    <w:rsid w:val="001F2CC6"/>
    <w:rsid w:val="001F5DBA"/>
    <w:rsid w:val="002016D4"/>
    <w:rsid w:val="00262218"/>
    <w:rsid w:val="002733FA"/>
    <w:rsid w:val="002A5354"/>
    <w:rsid w:val="002D7C2D"/>
    <w:rsid w:val="00303B6C"/>
    <w:rsid w:val="00360AC6"/>
    <w:rsid w:val="00366D1D"/>
    <w:rsid w:val="003D3698"/>
    <w:rsid w:val="003F712A"/>
    <w:rsid w:val="004127EC"/>
    <w:rsid w:val="0042016E"/>
    <w:rsid w:val="0042243A"/>
    <w:rsid w:val="00444929"/>
    <w:rsid w:val="00490AAB"/>
    <w:rsid w:val="004B699A"/>
    <w:rsid w:val="004C2C6B"/>
    <w:rsid w:val="00510FDD"/>
    <w:rsid w:val="005258A8"/>
    <w:rsid w:val="005F7916"/>
    <w:rsid w:val="006011E8"/>
    <w:rsid w:val="00601C30"/>
    <w:rsid w:val="00605B40"/>
    <w:rsid w:val="00616606"/>
    <w:rsid w:val="00657822"/>
    <w:rsid w:val="00663868"/>
    <w:rsid w:val="00670351"/>
    <w:rsid w:val="006E23D4"/>
    <w:rsid w:val="006F117C"/>
    <w:rsid w:val="006F58F0"/>
    <w:rsid w:val="00724E89"/>
    <w:rsid w:val="00760628"/>
    <w:rsid w:val="0078469F"/>
    <w:rsid w:val="00786656"/>
    <w:rsid w:val="007A06B7"/>
    <w:rsid w:val="007B7767"/>
    <w:rsid w:val="007F5FC8"/>
    <w:rsid w:val="00832BCD"/>
    <w:rsid w:val="00836D30"/>
    <w:rsid w:val="00860964"/>
    <w:rsid w:val="00881445"/>
    <w:rsid w:val="00882120"/>
    <w:rsid w:val="008B199B"/>
    <w:rsid w:val="008E378E"/>
    <w:rsid w:val="008E633F"/>
    <w:rsid w:val="008E79C6"/>
    <w:rsid w:val="009176A2"/>
    <w:rsid w:val="00920D6E"/>
    <w:rsid w:val="00925ADE"/>
    <w:rsid w:val="009308F0"/>
    <w:rsid w:val="00930C9B"/>
    <w:rsid w:val="009472B7"/>
    <w:rsid w:val="00957A5B"/>
    <w:rsid w:val="00981D3A"/>
    <w:rsid w:val="009A4718"/>
    <w:rsid w:val="00A17C72"/>
    <w:rsid w:val="00A21947"/>
    <w:rsid w:val="00A35324"/>
    <w:rsid w:val="00A55121"/>
    <w:rsid w:val="00A6651E"/>
    <w:rsid w:val="00A76A48"/>
    <w:rsid w:val="00AB4C35"/>
    <w:rsid w:val="00AF6597"/>
    <w:rsid w:val="00B865F7"/>
    <w:rsid w:val="00B87A6C"/>
    <w:rsid w:val="00B953A2"/>
    <w:rsid w:val="00BC37A5"/>
    <w:rsid w:val="00BE0FB0"/>
    <w:rsid w:val="00C10B2E"/>
    <w:rsid w:val="00C44BC1"/>
    <w:rsid w:val="00C5747F"/>
    <w:rsid w:val="00C7524A"/>
    <w:rsid w:val="00C96EFB"/>
    <w:rsid w:val="00CE67E2"/>
    <w:rsid w:val="00CF1181"/>
    <w:rsid w:val="00D47982"/>
    <w:rsid w:val="00D52AF1"/>
    <w:rsid w:val="00D74547"/>
    <w:rsid w:val="00DA154B"/>
    <w:rsid w:val="00DB62D4"/>
    <w:rsid w:val="00DC5B74"/>
    <w:rsid w:val="00E23AA1"/>
    <w:rsid w:val="00E24129"/>
    <w:rsid w:val="00E364AD"/>
    <w:rsid w:val="00E40FB3"/>
    <w:rsid w:val="00E51A5B"/>
    <w:rsid w:val="00E54A37"/>
    <w:rsid w:val="00E73D9A"/>
    <w:rsid w:val="00EB3F9D"/>
    <w:rsid w:val="00EC2070"/>
    <w:rsid w:val="00F2027E"/>
    <w:rsid w:val="00F31608"/>
    <w:rsid w:val="00F52CD5"/>
    <w:rsid w:val="00F75886"/>
    <w:rsid w:val="00F847DA"/>
    <w:rsid w:val="00FA5D57"/>
    <w:rsid w:val="00FD7D45"/>
    <w:rsid w:val="0115065C"/>
    <w:rsid w:val="01873FBC"/>
    <w:rsid w:val="01DF42FA"/>
    <w:rsid w:val="024758F8"/>
    <w:rsid w:val="02801BA8"/>
    <w:rsid w:val="02B35ADF"/>
    <w:rsid w:val="02B56ADF"/>
    <w:rsid w:val="02BA162B"/>
    <w:rsid w:val="03BD2A1A"/>
    <w:rsid w:val="03BF1326"/>
    <w:rsid w:val="04FA6554"/>
    <w:rsid w:val="055F0F75"/>
    <w:rsid w:val="059A2F73"/>
    <w:rsid w:val="05C74530"/>
    <w:rsid w:val="063F355E"/>
    <w:rsid w:val="065D27E9"/>
    <w:rsid w:val="06A1358A"/>
    <w:rsid w:val="06A76AC5"/>
    <w:rsid w:val="06CB4A13"/>
    <w:rsid w:val="06F72B75"/>
    <w:rsid w:val="07DD1D97"/>
    <w:rsid w:val="08112C52"/>
    <w:rsid w:val="08B577EC"/>
    <w:rsid w:val="09D006F9"/>
    <w:rsid w:val="0AC45ADA"/>
    <w:rsid w:val="0AE00BC8"/>
    <w:rsid w:val="0B026759"/>
    <w:rsid w:val="0B1556CE"/>
    <w:rsid w:val="0BB460D0"/>
    <w:rsid w:val="0BD31815"/>
    <w:rsid w:val="0C275820"/>
    <w:rsid w:val="0C425833"/>
    <w:rsid w:val="0C757B9B"/>
    <w:rsid w:val="0C91247E"/>
    <w:rsid w:val="0CC94096"/>
    <w:rsid w:val="0DA135C5"/>
    <w:rsid w:val="0DC7149B"/>
    <w:rsid w:val="0E6A7443"/>
    <w:rsid w:val="0ED45BB5"/>
    <w:rsid w:val="0EFD0426"/>
    <w:rsid w:val="0F055BA7"/>
    <w:rsid w:val="0F0A04CA"/>
    <w:rsid w:val="0F816F20"/>
    <w:rsid w:val="1006617B"/>
    <w:rsid w:val="108965B9"/>
    <w:rsid w:val="10AD08D4"/>
    <w:rsid w:val="115E0DC8"/>
    <w:rsid w:val="11963A6B"/>
    <w:rsid w:val="11AB1900"/>
    <w:rsid w:val="12116CF5"/>
    <w:rsid w:val="125B567F"/>
    <w:rsid w:val="125C71B0"/>
    <w:rsid w:val="12985556"/>
    <w:rsid w:val="14246519"/>
    <w:rsid w:val="14813515"/>
    <w:rsid w:val="154711A8"/>
    <w:rsid w:val="155C0CB5"/>
    <w:rsid w:val="15603A65"/>
    <w:rsid w:val="158B3A6D"/>
    <w:rsid w:val="15AB2D48"/>
    <w:rsid w:val="160908F9"/>
    <w:rsid w:val="16624CCA"/>
    <w:rsid w:val="16700151"/>
    <w:rsid w:val="16816EC6"/>
    <w:rsid w:val="16D42978"/>
    <w:rsid w:val="16DB376C"/>
    <w:rsid w:val="16EA222E"/>
    <w:rsid w:val="1714344D"/>
    <w:rsid w:val="178E353B"/>
    <w:rsid w:val="17E562F3"/>
    <w:rsid w:val="18180676"/>
    <w:rsid w:val="18372402"/>
    <w:rsid w:val="189509C3"/>
    <w:rsid w:val="19A44506"/>
    <w:rsid w:val="19DB6AAB"/>
    <w:rsid w:val="1C303806"/>
    <w:rsid w:val="1C4117B3"/>
    <w:rsid w:val="1C526433"/>
    <w:rsid w:val="1C641BFC"/>
    <w:rsid w:val="1C886101"/>
    <w:rsid w:val="1D0E3A53"/>
    <w:rsid w:val="1D305B94"/>
    <w:rsid w:val="1D8E4419"/>
    <w:rsid w:val="1DAC0DCE"/>
    <w:rsid w:val="1DE91CFE"/>
    <w:rsid w:val="1DF56E00"/>
    <w:rsid w:val="1E206933"/>
    <w:rsid w:val="1F481CF3"/>
    <w:rsid w:val="20453B95"/>
    <w:rsid w:val="20BA1790"/>
    <w:rsid w:val="20E53D47"/>
    <w:rsid w:val="218528ED"/>
    <w:rsid w:val="21F056D4"/>
    <w:rsid w:val="22072402"/>
    <w:rsid w:val="22467BA5"/>
    <w:rsid w:val="22BC1795"/>
    <w:rsid w:val="23D26740"/>
    <w:rsid w:val="24C15DA9"/>
    <w:rsid w:val="25123D82"/>
    <w:rsid w:val="255B3710"/>
    <w:rsid w:val="25A2303B"/>
    <w:rsid w:val="25C16AB4"/>
    <w:rsid w:val="262354A3"/>
    <w:rsid w:val="26877902"/>
    <w:rsid w:val="27375592"/>
    <w:rsid w:val="27641A88"/>
    <w:rsid w:val="27F45FB8"/>
    <w:rsid w:val="288E3409"/>
    <w:rsid w:val="28FA5525"/>
    <w:rsid w:val="29765048"/>
    <w:rsid w:val="29A967FC"/>
    <w:rsid w:val="29CB5978"/>
    <w:rsid w:val="2A2C1423"/>
    <w:rsid w:val="2A753D5F"/>
    <w:rsid w:val="2AA30AB8"/>
    <w:rsid w:val="2ADE4A98"/>
    <w:rsid w:val="2B2D4EA7"/>
    <w:rsid w:val="2B350720"/>
    <w:rsid w:val="2C5D22DE"/>
    <w:rsid w:val="2CA40883"/>
    <w:rsid w:val="2D0E42D8"/>
    <w:rsid w:val="2E9040A3"/>
    <w:rsid w:val="2FDA21C9"/>
    <w:rsid w:val="2FF3794E"/>
    <w:rsid w:val="301227BA"/>
    <w:rsid w:val="30B6182D"/>
    <w:rsid w:val="30BF02BC"/>
    <w:rsid w:val="318E7FC4"/>
    <w:rsid w:val="320E3755"/>
    <w:rsid w:val="324D4047"/>
    <w:rsid w:val="326F69DE"/>
    <w:rsid w:val="33DD0BD9"/>
    <w:rsid w:val="33F643A0"/>
    <w:rsid w:val="34672D65"/>
    <w:rsid w:val="349C765D"/>
    <w:rsid w:val="34E178CF"/>
    <w:rsid w:val="34EF28C5"/>
    <w:rsid w:val="35045D6D"/>
    <w:rsid w:val="35416C6E"/>
    <w:rsid w:val="35C9302D"/>
    <w:rsid w:val="35C968DF"/>
    <w:rsid w:val="363707F1"/>
    <w:rsid w:val="36505182"/>
    <w:rsid w:val="3661655B"/>
    <w:rsid w:val="37C24B91"/>
    <w:rsid w:val="38723749"/>
    <w:rsid w:val="38B06C76"/>
    <w:rsid w:val="38B761EC"/>
    <w:rsid w:val="39364DEF"/>
    <w:rsid w:val="39B96CC3"/>
    <w:rsid w:val="39F239E4"/>
    <w:rsid w:val="3A86626A"/>
    <w:rsid w:val="3AA74822"/>
    <w:rsid w:val="3B346A17"/>
    <w:rsid w:val="3B6B0985"/>
    <w:rsid w:val="3BC94FF7"/>
    <w:rsid w:val="3C0744A0"/>
    <w:rsid w:val="3C9830FC"/>
    <w:rsid w:val="3CC3605F"/>
    <w:rsid w:val="3D6F02C3"/>
    <w:rsid w:val="3EA465AA"/>
    <w:rsid w:val="40AC2E0A"/>
    <w:rsid w:val="41D26947"/>
    <w:rsid w:val="42140462"/>
    <w:rsid w:val="422D6A78"/>
    <w:rsid w:val="430223AE"/>
    <w:rsid w:val="437F3ADB"/>
    <w:rsid w:val="438A0138"/>
    <w:rsid w:val="44CA4883"/>
    <w:rsid w:val="45041B70"/>
    <w:rsid w:val="451E0702"/>
    <w:rsid w:val="45BC102D"/>
    <w:rsid w:val="45DC4AB6"/>
    <w:rsid w:val="460B7276"/>
    <w:rsid w:val="468E45FA"/>
    <w:rsid w:val="46CF32C5"/>
    <w:rsid w:val="47AE7D34"/>
    <w:rsid w:val="48157DDD"/>
    <w:rsid w:val="4821332C"/>
    <w:rsid w:val="48A82B51"/>
    <w:rsid w:val="48C96181"/>
    <w:rsid w:val="49481EDB"/>
    <w:rsid w:val="49866167"/>
    <w:rsid w:val="4A6452CB"/>
    <w:rsid w:val="4A9D0A10"/>
    <w:rsid w:val="4B0A0426"/>
    <w:rsid w:val="4BF90E00"/>
    <w:rsid w:val="4C1E23D7"/>
    <w:rsid w:val="4C4946D3"/>
    <w:rsid w:val="4C5154C2"/>
    <w:rsid w:val="4C7701B1"/>
    <w:rsid w:val="4D0E7FB6"/>
    <w:rsid w:val="4DA33D1A"/>
    <w:rsid w:val="4DEC12CD"/>
    <w:rsid w:val="4E025B04"/>
    <w:rsid w:val="4E870B39"/>
    <w:rsid w:val="4F2310A3"/>
    <w:rsid w:val="4F3867AD"/>
    <w:rsid w:val="4F6439C3"/>
    <w:rsid w:val="4FDB312C"/>
    <w:rsid w:val="505E5D0C"/>
    <w:rsid w:val="50736840"/>
    <w:rsid w:val="507738B4"/>
    <w:rsid w:val="507D26F0"/>
    <w:rsid w:val="50A01A83"/>
    <w:rsid w:val="510B1C36"/>
    <w:rsid w:val="516375CA"/>
    <w:rsid w:val="537C7F93"/>
    <w:rsid w:val="53C87612"/>
    <w:rsid w:val="53DC6599"/>
    <w:rsid w:val="544F0AA9"/>
    <w:rsid w:val="54577AE9"/>
    <w:rsid w:val="55822B8C"/>
    <w:rsid w:val="55921102"/>
    <w:rsid w:val="5685733F"/>
    <w:rsid w:val="574771F4"/>
    <w:rsid w:val="57764AFC"/>
    <w:rsid w:val="57F227C1"/>
    <w:rsid w:val="584E7013"/>
    <w:rsid w:val="59D55AC8"/>
    <w:rsid w:val="59EB787F"/>
    <w:rsid w:val="5A9F29EB"/>
    <w:rsid w:val="5B082961"/>
    <w:rsid w:val="5B0A0F3F"/>
    <w:rsid w:val="5B560229"/>
    <w:rsid w:val="5B80366A"/>
    <w:rsid w:val="5C1C7827"/>
    <w:rsid w:val="5C974BDA"/>
    <w:rsid w:val="5C9C727F"/>
    <w:rsid w:val="5CD91E7E"/>
    <w:rsid w:val="5CF5417B"/>
    <w:rsid w:val="5D125496"/>
    <w:rsid w:val="5DBC4F9A"/>
    <w:rsid w:val="5E08413C"/>
    <w:rsid w:val="5E7D081B"/>
    <w:rsid w:val="5E834FCF"/>
    <w:rsid w:val="5F112445"/>
    <w:rsid w:val="5F9F436E"/>
    <w:rsid w:val="5FA21376"/>
    <w:rsid w:val="5FA27331"/>
    <w:rsid w:val="5FD513B4"/>
    <w:rsid w:val="602E7496"/>
    <w:rsid w:val="6137158E"/>
    <w:rsid w:val="61D74FCE"/>
    <w:rsid w:val="62070461"/>
    <w:rsid w:val="62244D2D"/>
    <w:rsid w:val="62803516"/>
    <w:rsid w:val="63034AA9"/>
    <w:rsid w:val="63052B47"/>
    <w:rsid w:val="6332194F"/>
    <w:rsid w:val="6416365B"/>
    <w:rsid w:val="65281737"/>
    <w:rsid w:val="65635310"/>
    <w:rsid w:val="657C0323"/>
    <w:rsid w:val="659521A5"/>
    <w:rsid w:val="6607320A"/>
    <w:rsid w:val="668750DD"/>
    <w:rsid w:val="67DD33BA"/>
    <w:rsid w:val="682517F2"/>
    <w:rsid w:val="683F6B42"/>
    <w:rsid w:val="68426149"/>
    <w:rsid w:val="69115685"/>
    <w:rsid w:val="6977160B"/>
    <w:rsid w:val="69AB37A4"/>
    <w:rsid w:val="6A1F1DCE"/>
    <w:rsid w:val="6A34700B"/>
    <w:rsid w:val="6A35099F"/>
    <w:rsid w:val="6A881BC4"/>
    <w:rsid w:val="6B210905"/>
    <w:rsid w:val="6B4216B7"/>
    <w:rsid w:val="6B990934"/>
    <w:rsid w:val="6BC67A3E"/>
    <w:rsid w:val="6BD31665"/>
    <w:rsid w:val="6BDF4F70"/>
    <w:rsid w:val="6C6421C5"/>
    <w:rsid w:val="6D2828CF"/>
    <w:rsid w:val="6D892F8A"/>
    <w:rsid w:val="6E493106"/>
    <w:rsid w:val="6ED645B3"/>
    <w:rsid w:val="6EE741E3"/>
    <w:rsid w:val="6F1116E2"/>
    <w:rsid w:val="6F7955F4"/>
    <w:rsid w:val="6FA943CE"/>
    <w:rsid w:val="70CE4924"/>
    <w:rsid w:val="70F50F31"/>
    <w:rsid w:val="715058B1"/>
    <w:rsid w:val="71CC59C1"/>
    <w:rsid w:val="721B0BB0"/>
    <w:rsid w:val="728A72A8"/>
    <w:rsid w:val="73B52DB2"/>
    <w:rsid w:val="73CF0918"/>
    <w:rsid w:val="747B36FA"/>
    <w:rsid w:val="74E90082"/>
    <w:rsid w:val="750637F0"/>
    <w:rsid w:val="75654176"/>
    <w:rsid w:val="759608A8"/>
    <w:rsid w:val="75DA7911"/>
    <w:rsid w:val="76697649"/>
    <w:rsid w:val="76D44FD5"/>
    <w:rsid w:val="77733156"/>
    <w:rsid w:val="7796460A"/>
    <w:rsid w:val="77C86B5E"/>
    <w:rsid w:val="77EC56A9"/>
    <w:rsid w:val="785D1EBF"/>
    <w:rsid w:val="78607772"/>
    <w:rsid w:val="78F26179"/>
    <w:rsid w:val="790D2B37"/>
    <w:rsid w:val="79295367"/>
    <w:rsid w:val="794E4160"/>
    <w:rsid w:val="797669EC"/>
    <w:rsid w:val="7A4805B8"/>
    <w:rsid w:val="7A504395"/>
    <w:rsid w:val="7BD400D4"/>
    <w:rsid w:val="7BDE019B"/>
    <w:rsid w:val="7C4A2CE0"/>
    <w:rsid w:val="7C4B1DF3"/>
    <w:rsid w:val="7C682145"/>
    <w:rsid w:val="7CF53CB4"/>
    <w:rsid w:val="7DAC0D04"/>
    <w:rsid w:val="7E324E80"/>
    <w:rsid w:val="7ED47C49"/>
    <w:rsid w:val="7F301A67"/>
    <w:rsid w:val="7F880762"/>
    <w:rsid w:val="7FD7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8">
    <w:name w:val="标题 Char"/>
    <w:basedOn w:val="10"/>
    <w:link w:val="8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3E617-928A-4A27-926A-FFBE1524B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593</Words>
  <Characters>3385</Characters>
  <Lines>28</Lines>
  <Paragraphs>7</Paragraphs>
  <TotalTime>2</TotalTime>
  <ScaleCrop>false</ScaleCrop>
  <LinksUpToDate>false</LinksUpToDate>
  <CharactersWithSpaces>3971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2018-12-29T00:33:00Z</dcterms:created>
  <dc:creator>微软用户</dc:creator>
  <cp:lastModifiedBy>Administrator</cp:lastModifiedBy>
  <cp:lastPrinted>2020-08-07T06:50:00Z</cp:lastPrinted>
  <dcterms:modified xsi:type="dcterms:W3CDTF">2020-09-27T01:32:18Z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