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jc w:val="center"/>
        </w:trPr>
        <w:tc>
          <w:tcPr>
            <w:tcW w:w="9248" w:type="dxa"/>
            <w:vAlign w:val="center"/>
          </w:tcPr>
          <w:p>
            <w:pPr>
              <w:autoSpaceDE/>
              <w:autoSpaceDN/>
              <w:jc w:val="distribute"/>
              <w:rPr>
                <w:rFonts w:hint="default" w:cs="宋体"/>
                <w:color w:val="FF0000"/>
                <w:sz w:val="70"/>
                <w:szCs w:val="70"/>
              </w:rPr>
            </w:pPr>
            <w:r>
              <w:rPr>
                <w:rFonts w:cs="宋体"/>
                <w:color w:val="FF0000"/>
                <w:sz w:val="70"/>
                <w:szCs w:val="70"/>
              </w:rPr>
              <w:t>中国投资协会</w:t>
            </w:r>
          </w:p>
          <w:p>
            <w:pPr>
              <w:autoSpaceDE/>
              <w:autoSpaceDN/>
              <w:jc w:val="distribute"/>
              <w:rPr>
                <w:rFonts w:hint="default" w:ascii="楷体" w:hAnsi="楷体" w:eastAsia="楷体"/>
                <w:color w:val="FF0000"/>
                <w:sz w:val="70"/>
                <w:szCs w:val="70"/>
              </w:rPr>
            </w:pPr>
            <w:r>
              <w:rPr>
                <w:rFonts w:cs="宋体"/>
                <w:color w:val="FF0000"/>
                <w:sz w:val="70"/>
                <w:szCs w:val="70"/>
              </w:rPr>
              <w:t>项目投融资专业委员会文件</w:t>
            </w:r>
          </w:p>
          <w:p>
            <w:pPr>
              <w:autoSpaceDE/>
              <w:autoSpaceDN/>
              <w:spacing w:line="440" w:lineRule="exact"/>
              <w:jc w:val="center"/>
              <w:rPr>
                <w:rFonts w:hint="default" w:ascii="仿宋" w:hAnsi="仿宋" w:eastAsia="仿宋"/>
                <w:color w:val="000000"/>
                <w:sz w:val="32"/>
                <w:szCs w:val="32"/>
              </w:rPr>
            </w:pPr>
            <w:r>
              <w:rPr>
                <w:rFonts w:ascii="仿宋" w:hAnsi="仿宋" w:eastAsia="仿宋" w:cs="宋体"/>
                <w:sz w:val="32"/>
                <w:szCs w:val="32"/>
              </w:rPr>
              <w:t>投融培〔2021〕2号</w:t>
            </w:r>
          </w:p>
        </w:tc>
      </w:tr>
    </w:tbl>
    <w:p>
      <w:pPr>
        <w:pStyle w:val="9"/>
        <w:spacing w:before="0" w:after="0" w:line="440" w:lineRule="exact"/>
        <w:rPr>
          <w:rFonts w:hint="default" w:asciiTheme="majorEastAsia" w:hAnsiTheme="majorEastAsia" w:eastAsiaTheme="majorEastAsia" w:cstheme="majorEastAsia"/>
          <w:sz w:val="36"/>
          <w:szCs w:val="36"/>
        </w:rPr>
      </w:pPr>
    </w:p>
    <w:p>
      <w:pPr>
        <w:pStyle w:val="9"/>
        <w:spacing w:before="0" w:after="0" w:line="440" w:lineRule="exact"/>
        <w:outlineLvl w:val="9"/>
        <w:rPr>
          <w:rFonts w:hint="default" w:asciiTheme="majorEastAsia" w:hAnsiTheme="majorEastAsia" w:eastAsiaTheme="majorEastAsia" w:cstheme="majorEastAsia"/>
          <w:sz w:val="36"/>
          <w:szCs w:val="36"/>
        </w:rPr>
      </w:pPr>
      <w:r>
        <w:rPr>
          <w:rFonts w:asciiTheme="majorEastAsia" w:hAnsiTheme="majorEastAsia" w:eastAsiaTheme="majorEastAsia" w:cstheme="majorEastAsia"/>
          <w:sz w:val="36"/>
          <w:szCs w:val="36"/>
        </w:rPr>
        <w:t>关于举办</w:t>
      </w:r>
      <w:bookmarkStart w:id="0" w:name="_GoBack"/>
      <w:r>
        <w:rPr>
          <w:rFonts w:asciiTheme="majorEastAsia" w:hAnsiTheme="majorEastAsia" w:eastAsiaTheme="majorEastAsia" w:cstheme="majorEastAsia"/>
          <w:sz w:val="36"/>
          <w:szCs w:val="36"/>
        </w:rPr>
        <w:t>地方政府“两新一重”项目谋划</w:t>
      </w:r>
      <w:bookmarkEnd w:id="0"/>
      <w:r>
        <w:rPr>
          <w:rFonts w:asciiTheme="majorEastAsia" w:hAnsiTheme="majorEastAsia" w:eastAsiaTheme="majorEastAsia" w:cstheme="majorEastAsia"/>
          <w:sz w:val="36"/>
          <w:szCs w:val="36"/>
        </w:rPr>
        <w:t>及新城综合</w:t>
      </w:r>
    </w:p>
    <w:p>
      <w:pPr>
        <w:pStyle w:val="9"/>
        <w:spacing w:before="0" w:after="0" w:line="440" w:lineRule="exact"/>
        <w:outlineLvl w:val="9"/>
        <w:rPr>
          <w:rFonts w:hint="default" w:asciiTheme="majorEastAsia" w:hAnsiTheme="majorEastAsia" w:eastAsiaTheme="majorEastAsia" w:cstheme="majorEastAsia"/>
          <w:sz w:val="36"/>
          <w:szCs w:val="36"/>
        </w:rPr>
      </w:pPr>
      <w:r>
        <w:rPr>
          <w:rFonts w:asciiTheme="majorEastAsia" w:hAnsiTheme="majorEastAsia" w:eastAsiaTheme="majorEastAsia" w:cstheme="majorEastAsia"/>
          <w:sz w:val="36"/>
          <w:szCs w:val="36"/>
        </w:rPr>
        <w:t>片区开发项目投融资模式创新实务培训班的通知</w:t>
      </w:r>
    </w:p>
    <w:p>
      <w:pPr>
        <w:pStyle w:val="9"/>
        <w:spacing w:before="0" w:after="0" w:line="440" w:lineRule="exact"/>
        <w:jc w:val="left"/>
        <w:rPr>
          <w:rFonts w:hint="default" w:ascii="仿宋" w:hAnsi="仿宋" w:eastAsia="仿宋" w:cs="仿宋"/>
          <w:kern w:val="2"/>
        </w:rPr>
      </w:pPr>
    </w:p>
    <w:p>
      <w:pPr>
        <w:pStyle w:val="9"/>
        <w:spacing w:before="0" w:after="0" w:line="440" w:lineRule="exact"/>
        <w:jc w:val="left"/>
        <w:rPr>
          <w:rFonts w:hint="default" w:ascii="仿宋" w:hAnsi="仿宋" w:eastAsia="仿宋" w:cs="仿宋"/>
          <w:b w:val="0"/>
          <w:kern w:val="2"/>
        </w:rPr>
      </w:pPr>
      <w:r>
        <w:rPr>
          <w:rFonts w:ascii="仿宋" w:hAnsi="仿宋" w:eastAsia="仿宋" w:cs="仿宋"/>
          <w:b w:val="0"/>
          <w:kern w:val="2"/>
        </w:rPr>
        <w:t>各有关单位:</w:t>
      </w:r>
    </w:p>
    <w:p>
      <w:pPr>
        <w:autoSpaceDE/>
        <w:autoSpaceDN/>
        <w:adjustRightInd/>
        <w:spacing w:line="440" w:lineRule="exact"/>
        <w:ind w:firstLine="640" w:firstLineChars="200"/>
        <w:rPr>
          <w:rFonts w:hint="default" w:ascii="仿宋" w:hAnsi="仿宋" w:eastAsia="仿宋" w:cs="仿宋"/>
          <w:color w:val="000000" w:themeColor="text1"/>
          <w:sz w:val="32"/>
          <w:szCs w:val="32"/>
        </w:rPr>
      </w:pPr>
      <w:r>
        <w:rPr>
          <w:rFonts w:ascii="仿宋" w:hAnsi="仿宋" w:eastAsia="仿宋" w:cs="仿宋"/>
          <w:color w:val="000000" w:themeColor="text1"/>
          <w:sz w:val="32"/>
          <w:szCs w:val="32"/>
        </w:rPr>
        <w:t>《中共中央关于制定国民经济和社会发展第十四个五年规划和二〇三五年远景目标的建议》中提出：推进新型基础设施、新型城镇化、交通水利等重大工程建设，支持有利于城乡区域协调发展的重大项目建设。“两新一重”项目建设是我国“十四五”时期促消费、惠民生、调结构、增后劲的重要抓手,对加快形成以国内大循环为主体、国内国际双循环相互促进的新发展格局具有重要意义。</w:t>
      </w:r>
    </w:p>
    <w:p>
      <w:pPr>
        <w:widowControl/>
        <w:autoSpaceDE/>
        <w:autoSpaceDN/>
        <w:adjustRightInd/>
        <w:spacing w:line="440" w:lineRule="exact"/>
        <w:ind w:firstLine="640" w:firstLineChars="200"/>
        <w:rPr>
          <w:rFonts w:hint="default" w:ascii="仿宋" w:hAnsi="仿宋" w:eastAsia="仿宋" w:cs="仿宋"/>
          <w:color w:val="000000" w:themeColor="text1"/>
          <w:sz w:val="32"/>
          <w:szCs w:val="32"/>
        </w:rPr>
      </w:pPr>
      <w:r>
        <w:rPr>
          <w:rFonts w:ascii="仿宋" w:hAnsi="仿宋" w:eastAsia="仿宋" w:cs="仿宋"/>
          <w:color w:val="000000" w:themeColor="text1"/>
          <w:sz w:val="32"/>
          <w:szCs w:val="32"/>
        </w:rPr>
        <w:t>为贯彻落实党的十九届五中全会精神，深入学习</w:t>
      </w:r>
      <w:r>
        <w:rPr>
          <w:rFonts w:ascii="仿宋" w:hAnsi="仿宋" w:eastAsia="仿宋" w:cs="仿宋"/>
          <w:color w:val="000000"/>
          <w:sz w:val="32"/>
          <w:szCs w:val="32"/>
        </w:rPr>
        <w:t>《地方政府债券发行管理办法》（财库〔2020〕43号）和《县城新型城镇化建设专项企业债券发行指引》（发改办财金〔2020〕613号）文件精神，规范地方政府债券发行管理，保护投资者合法权益</w:t>
      </w:r>
      <w:r>
        <w:rPr>
          <w:rFonts w:ascii="仿宋" w:hAnsi="仿宋" w:eastAsia="仿宋" w:cs="仿宋"/>
          <w:color w:val="000000" w:themeColor="text1"/>
          <w:sz w:val="32"/>
          <w:szCs w:val="32"/>
        </w:rPr>
        <w:t>，促进项目建设顺利实施，中国投资协会项目投融资专业委员会会同北京中建科信管理咨询集团有限公司举办地方政府“两新一重”项目谋划及新城综合片区开发项目投融资模式创新实务培训班。</w:t>
      </w:r>
    </w:p>
    <w:p>
      <w:pPr>
        <w:widowControl/>
        <w:autoSpaceDE/>
        <w:autoSpaceDN/>
        <w:adjustRightInd/>
        <w:spacing w:line="440" w:lineRule="exact"/>
        <w:ind w:firstLine="640" w:firstLineChars="200"/>
        <w:rPr>
          <w:rFonts w:hint="default" w:ascii="仿宋" w:hAnsi="仿宋" w:eastAsia="仿宋" w:cs="仿宋"/>
          <w:color w:val="000000" w:themeColor="text1"/>
          <w:sz w:val="32"/>
          <w:szCs w:val="32"/>
        </w:rPr>
      </w:pPr>
      <w:r>
        <w:rPr>
          <w:rFonts w:ascii="仿宋" w:hAnsi="仿宋" w:eastAsia="仿宋" w:cs="仿宋"/>
          <w:color w:val="000000" w:themeColor="text1"/>
          <w:sz w:val="32"/>
          <w:szCs w:val="32"/>
        </w:rPr>
        <w:t>本次培训旨在帮助地方政府做好项目谋划，促进平台公司加快转型，提高城市新区、产业园区和新型城镇化项目建设水平；</w:t>
      </w:r>
      <w:r>
        <w:rPr>
          <w:rFonts w:ascii="仿宋" w:hAnsi="仿宋" w:eastAsia="仿宋" w:cs="仿宋"/>
          <w:color w:val="000000"/>
          <w:sz w:val="32"/>
          <w:szCs w:val="32"/>
        </w:rPr>
        <w:t>帮助金融机构</w:t>
      </w:r>
      <w:r>
        <w:rPr>
          <w:rFonts w:ascii="仿宋" w:hAnsi="仿宋" w:eastAsia="仿宋" w:cs="仿宋"/>
          <w:color w:val="000000" w:themeColor="text1"/>
          <w:sz w:val="32"/>
          <w:szCs w:val="32"/>
        </w:rPr>
        <w:t>、</w:t>
      </w:r>
      <w:r>
        <w:rPr>
          <w:rFonts w:ascii="仿宋" w:hAnsi="仿宋" w:eastAsia="仿宋" w:cs="仿宋"/>
          <w:color w:val="000000"/>
          <w:sz w:val="32"/>
          <w:szCs w:val="32"/>
        </w:rPr>
        <w:t>相关企业系统</w:t>
      </w:r>
      <w:r>
        <w:rPr>
          <w:rFonts w:ascii="仿宋" w:hAnsi="仿宋" w:eastAsia="仿宋" w:cs="仿宋"/>
          <w:color w:val="000000" w:themeColor="text1"/>
          <w:sz w:val="32"/>
          <w:szCs w:val="32"/>
        </w:rPr>
        <w:t>地</w:t>
      </w:r>
      <w:r>
        <w:rPr>
          <w:rFonts w:ascii="仿宋" w:hAnsi="仿宋" w:eastAsia="仿宋" w:cs="仿宋"/>
          <w:color w:val="000000"/>
          <w:sz w:val="32"/>
          <w:szCs w:val="32"/>
        </w:rPr>
        <w:t>学习投融资方面相关政策，</w:t>
      </w:r>
      <w:r>
        <w:rPr>
          <w:rFonts w:ascii="仿宋" w:hAnsi="仿宋" w:eastAsia="仿宋" w:cs="仿宋"/>
          <w:color w:val="000000" w:themeColor="text1"/>
          <w:sz w:val="32"/>
          <w:szCs w:val="32"/>
        </w:rPr>
        <w:t>加强合规参与政府投资类项目</w:t>
      </w:r>
      <w:r>
        <w:rPr>
          <w:rFonts w:ascii="仿宋" w:hAnsi="仿宋" w:eastAsia="仿宋" w:cs="仿宋"/>
          <w:color w:val="000000"/>
          <w:sz w:val="32"/>
          <w:szCs w:val="32"/>
        </w:rPr>
        <w:t>能力，</w:t>
      </w:r>
      <w:r>
        <w:rPr>
          <w:rFonts w:ascii="仿宋" w:hAnsi="仿宋" w:eastAsia="仿宋" w:cs="仿宋"/>
          <w:color w:val="000000" w:themeColor="text1"/>
          <w:sz w:val="32"/>
          <w:szCs w:val="32"/>
        </w:rPr>
        <w:t>熟悉</w:t>
      </w:r>
      <w:r>
        <w:rPr>
          <w:rFonts w:ascii="仿宋" w:hAnsi="仿宋" w:eastAsia="仿宋" w:cs="仿宋"/>
          <w:color w:val="000000"/>
          <w:sz w:val="32"/>
          <w:szCs w:val="32"/>
        </w:rPr>
        <w:t>项目谋划与实施</w:t>
      </w:r>
      <w:r>
        <w:rPr>
          <w:rFonts w:ascii="仿宋" w:hAnsi="仿宋" w:eastAsia="仿宋" w:cs="仿宋"/>
          <w:color w:val="000000" w:themeColor="text1"/>
          <w:sz w:val="32"/>
          <w:szCs w:val="32"/>
        </w:rPr>
        <w:t>路径</w:t>
      </w:r>
      <w:r>
        <w:rPr>
          <w:rFonts w:ascii="仿宋" w:hAnsi="仿宋" w:eastAsia="仿宋" w:cs="仿宋"/>
          <w:color w:val="000000"/>
          <w:sz w:val="32"/>
          <w:szCs w:val="32"/>
        </w:rPr>
        <w:t>，</w:t>
      </w:r>
      <w:r>
        <w:rPr>
          <w:rFonts w:ascii="仿宋" w:hAnsi="仿宋" w:eastAsia="仿宋" w:cs="仿宋"/>
          <w:color w:val="000000" w:themeColor="text1"/>
          <w:sz w:val="32"/>
          <w:szCs w:val="32"/>
        </w:rPr>
        <w:t>掌握</w:t>
      </w:r>
      <w:r>
        <w:rPr>
          <w:rFonts w:ascii="仿宋" w:hAnsi="仿宋" w:eastAsia="仿宋" w:cs="仿宋"/>
          <w:color w:val="000000"/>
          <w:sz w:val="32"/>
          <w:szCs w:val="32"/>
        </w:rPr>
        <w:t>地方政府投融资模式创新实务，</w:t>
      </w:r>
      <w:r>
        <w:rPr>
          <w:rFonts w:ascii="仿宋" w:hAnsi="仿宋" w:eastAsia="仿宋" w:cs="仿宋"/>
          <w:color w:val="000000" w:themeColor="text1"/>
          <w:sz w:val="32"/>
          <w:szCs w:val="32"/>
        </w:rPr>
        <w:t>从而促进地方经济社会健康持续发展。现将具体事项通知如下：</w:t>
      </w:r>
    </w:p>
    <w:p>
      <w:pPr>
        <w:shd w:val="clear" w:color="auto" w:fill="FFFFFF"/>
        <w:spacing w:line="440" w:lineRule="exact"/>
        <w:ind w:firstLine="640" w:firstLineChars="200"/>
        <w:jc w:val="both"/>
        <w:rPr>
          <w:rFonts w:hint="default" w:ascii="黑体" w:hAnsi="黑体" w:eastAsia="黑体" w:cs="黑体"/>
          <w:color w:val="000000"/>
          <w:kern w:val="2"/>
          <w:sz w:val="32"/>
          <w:szCs w:val="32"/>
        </w:rPr>
      </w:pPr>
      <w:r>
        <w:rPr>
          <w:rFonts w:ascii="黑体" w:hAnsi="黑体" w:eastAsia="黑体" w:cs="黑体"/>
          <w:kern w:val="2"/>
          <w:sz w:val="32"/>
          <w:szCs w:val="32"/>
        </w:rPr>
        <w:t>一、组织机构</w:t>
      </w:r>
    </w:p>
    <w:p>
      <w:pPr>
        <w:widowControl/>
        <w:autoSpaceDE/>
        <w:autoSpaceDN/>
        <w:adjustRightInd/>
        <w:spacing w:line="440" w:lineRule="exact"/>
        <w:ind w:firstLine="640" w:firstLineChars="200"/>
        <w:rPr>
          <w:rFonts w:hint="default" w:ascii="仿宋" w:hAnsi="仿宋" w:eastAsia="仿宋" w:cs="仿宋"/>
          <w:color w:val="000000" w:themeColor="text1"/>
          <w:sz w:val="32"/>
          <w:szCs w:val="32"/>
        </w:rPr>
      </w:pPr>
      <w:r>
        <w:rPr>
          <w:rFonts w:ascii="仿宋" w:hAnsi="仿宋" w:eastAsia="仿宋" w:cs="仿宋"/>
          <w:color w:val="000000" w:themeColor="text1"/>
          <w:sz w:val="32"/>
          <w:szCs w:val="32"/>
        </w:rPr>
        <w:t>主办单位：中国投资协会项目投融资专业委员会</w:t>
      </w:r>
    </w:p>
    <w:p>
      <w:pPr>
        <w:widowControl/>
        <w:autoSpaceDE/>
        <w:autoSpaceDN/>
        <w:adjustRightInd/>
        <w:spacing w:line="440" w:lineRule="exact"/>
        <w:ind w:firstLine="640" w:firstLineChars="200"/>
        <w:rPr>
          <w:rFonts w:hint="default" w:ascii="仿宋" w:hAnsi="仿宋" w:eastAsia="仿宋" w:cs="仿宋"/>
          <w:color w:val="000000" w:themeColor="text1"/>
          <w:sz w:val="32"/>
          <w:szCs w:val="32"/>
        </w:rPr>
      </w:pPr>
      <w:r>
        <w:rPr>
          <w:rFonts w:ascii="仿宋" w:hAnsi="仿宋" w:eastAsia="仿宋" w:cs="仿宋"/>
          <w:color w:val="000000" w:themeColor="text1"/>
          <w:sz w:val="32"/>
          <w:szCs w:val="32"/>
        </w:rPr>
        <w:t>承办单位：北京中建科信管</w:t>
      </w:r>
      <w:r>
        <w:rPr>
          <w:rFonts w:ascii="仿宋" w:hAnsi="仿宋" w:eastAsia="仿宋" w:cs="仿宋"/>
          <w:bCs/>
          <w:color w:val="000000" w:themeColor="text1"/>
          <w:sz w:val="32"/>
          <w:szCs w:val="32"/>
        </w:rPr>
        <w:t>理咨询集团有限公司</w:t>
      </w:r>
    </w:p>
    <w:p>
      <w:pPr>
        <w:spacing w:line="440" w:lineRule="exact"/>
        <w:ind w:firstLine="640" w:firstLineChars="200"/>
        <w:rPr>
          <w:rFonts w:hint="default" w:ascii="黑体" w:hAnsi="黑体" w:eastAsia="黑体" w:cs="黑体"/>
          <w:kern w:val="2"/>
          <w:sz w:val="32"/>
          <w:szCs w:val="32"/>
        </w:rPr>
      </w:pPr>
      <w:r>
        <w:rPr>
          <w:rFonts w:ascii="黑体" w:hAnsi="黑体" w:eastAsia="黑体" w:cs="黑体"/>
          <w:kern w:val="2"/>
          <w:sz w:val="32"/>
          <w:szCs w:val="32"/>
        </w:rPr>
        <w:t>二、培训内容（详细内容见附件）</w:t>
      </w:r>
    </w:p>
    <w:p>
      <w:pPr>
        <w:autoSpaceDE/>
        <w:autoSpaceDN/>
        <w:adjustRightInd/>
        <w:spacing w:line="440" w:lineRule="exact"/>
        <w:ind w:firstLine="640" w:firstLineChars="200"/>
        <w:rPr>
          <w:rFonts w:hint="default" w:ascii="楷体" w:hAnsi="楷体" w:eastAsia="楷体" w:cs="仿宋"/>
          <w:bCs/>
          <w:color w:val="000000" w:themeColor="text1"/>
          <w:sz w:val="32"/>
          <w:szCs w:val="32"/>
        </w:rPr>
      </w:pPr>
      <w:r>
        <w:rPr>
          <w:rFonts w:ascii="楷体" w:hAnsi="楷体" w:eastAsia="楷体" w:cs="仿宋"/>
          <w:bCs/>
          <w:color w:val="000000" w:themeColor="text1"/>
          <w:sz w:val="32"/>
          <w:szCs w:val="32"/>
        </w:rPr>
        <w:t>（一）“两新一重”基础设施领域投融资政策与实务</w:t>
      </w:r>
    </w:p>
    <w:p>
      <w:pPr>
        <w:autoSpaceDE/>
        <w:autoSpaceDN/>
        <w:adjustRightInd/>
        <w:spacing w:line="44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1.审时度势，了解宏观形势</w:t>
      </w:r>
    </w:p>
    <w:p>
      <w:pPr>
        <w:autoSpaceDE/>
        <w:autoSpaceDN/>
        <w:adjustRightInd/>
        <w:spacing w:line="44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2.回归本源，深入研究项目</w:t>
      </w:r>
    </w:p>
    <w:p>
      <w:pPr>
        <w:autoSpaceDE/>
        <w:autoSpaceDN/>
        <w:adjustRightInd/>
        <w:spacing w:line="44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3.关注主体，深入了解城投</w:t>
      </w:r>
    </w:p>
    <w:p>
      <w:pPr>
        <w:autoSpaceDE/>
        <w:autoSpaceDN/>
        <w:adjustRightInd/>
        <w:spacing w:line="44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4.时移势易，新形式的融资</w:t>
      </w:r>
    </w:p>
    <w:p>
      <w:pPr>
        <w:autoSpaceDE/>
        <w:autoSpaceDN/>
        <w:adjustRightInd/>
        <w:spacing w:line="44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5.谋划储备，做好项目包装</w:t>
      </w:r>
    </w:p>
    <w:p>
      <w:pPr>
        <w:autoSpaceDE/>
        <w:autoSpaceDN/>
        <w:adjustRightInd/>
        <w:spacing w:line="44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6.展望实务，做好六个重点</w:t>
      </w:r>
    </w:p>
    <w:p>
      <w:pPr>
        <w:autoSpaceDE/>
        <w:autoSpaceDN/>
        <w:adjustRightInd/>
        <w:spacing w:line="440" w:lineRule="exact"/>
        <w:ind w:firstLine="640" w:firstLineChars="200"/>
        <w:rPr>
          <w:rFonts w:hint="default" w:ascii="楷体" w:hAnsi="楷体" w:eastAsia="楷体" w:cs="仿宋"/>
          <w:bCs/>
          <w:color w:val="000000" w:themeColor="text1"/>
          <w:sz w:val="32"/>
          <w:szCs w:val="32"/>
        </w:rPr>
      </w:pPr>
      <w:r>
        <w:rPr>
          <w:rFonts w:ascii="楷体" w:hAnsi="楷体" w:eastAsia="楷体" w:cs="仿宋"/>
          <w:bCs/>
          <w:color w:val="000000" w:themeColor="text1"/>
          <w:sz w:val="32"/>
          <w:szCs w:val="32"/>
        </w:rPr>
        <w:t>（二）新形势下产业新城综合片区开发项目投融资模式</w:t>
      </w:r>
    </w:p>
    <w:p>
      <w:pPr>
        <w:autoSpaceDE/>
        <w:autoSpaceDN/>
        <w:adjustRightInd/>
        <w:spacing w:line="44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1.园区、片区开发相关政策要点解读</w:t>
      </w:r>
    </w:p>
    <w:p>
      <w:pPr>
        <w:autoSpaceDE/>
        <w:autoSpaceDN/>
        <w:adjustRightInd/>
        <w:spacing w:line="44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2.片区开发的理论与实务</w:t>
      </w:r>
    </w:p>
    <w:p>
      <w:pPr>
        <w:autoSpaceDE/>
        <w:autoSpaceDN/>
        <w:adjustRightInd/>
        <w:spacing w:line="44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3.片区综合开发三种模式分析及案例</w:t>
      </w:r>
    </w:p>
    <w:p>
      <w:pPr>
        <w:autoSpaceDE/>
        <w:autoSpaceDN/>
        <w:adjustRightInd/>
        <w:spacing w:line="44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4.开发型PPP模式的应用与案例分享</w:t>
      </w:r>
    </w:p>
    <w:p>
      <w:pPr>
        <w:autoSpaceDE/>
        <w:autoSpaceDN/>
        <w:adjustRightInd/>
        <w:spacing w:line="44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5.“管委会+平台”模式实施片区开发项目的应用</w:t>
      </w:r>
    </w:p>
    <w:p>
      <w:pPr>
        <w:autoSpaceDE/>
        <w:autoSpaceDN/>
        <w:adjustRightInd/>
        <w:spacing w:line="44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6.园区开发建设公司市场化投资片区开发项目的应用</w:t>
      </w:r>
    </w:p>
    <w:p>
      <w:pPr>
        <w:autoSpaceDE/>
        <w:autoSpaceDN/>
        <w:adjustRightInd/>
        <w:spacing w:line="440" w:lineRule="exact"/>
        <w:ind w:firstLine="640" w:firstLineChars="200"/>
        <w:rPr>
          <w:rFonts w:hint="default" w:ascii="仿宋" w:hAnsi="仿宋" w:eastAsia="仿宋" w:cs="仿宋"/>
          <w:color w:val="000000" w:themeColor="text1"/>
          <w:sz w:val="32"/>
          <w:szCs w:val="32"/>
          <w:lang w:val="zh-CN"/>
        </w:rPr>
      </w:pPr>
      <w:r>
        <w:rPr>
          <w:rFonts w:ascii="仿宋" w:hAnsi="仿宋" w:eastAsia="仿宋" w:cs="仿宋"/>
          <w:bCs/>
          <w:color w:val="000000" w:themeColor="text1"/>
          <w:sz w:val="32"/>
          <w:szCs w:val="32"/>
        </w:rPr>
        <w:t>7.片区开发项目的融资分析</w:t>
      </w:r>
    </w:p>
    <w:p>
      <w:pPr>
        <w:spacing w:line="440" w:lineRule="exact"/>
        <w:ind w:firstLine="640" w:firstLineChars="200"/>
        <w:rPr>
          <w:rFonts w:hint="default" w:ascii="黑体" w:hAnsi="黑体" w:eastAsia="黑体" w:cs="黑体"/>
          <w:kern w:val="2"/>
          <w:sz w:val="32"/>
          <w:szCs w:val="32"/>
        </w:rPr>
      </w:pPr>
      <w:r>
        <w:rPr>
          <w:rFonts w:ascii="黑体" w:hAnsi="黑体" w:eastAsia="黑体" w:cs="黑体"/>
          <w:kern w:val="2"/>
          <w:sz w:val="32"/>
          <w:szCs w:val="32"/>
        </w:rPr>
        <w:t>三、培训对象</w:t>
      </w:r>
    </w:p>
    <w:p>
      <w:pPr>
        <w:autoSpaceDE/>
        <w:autoSpaceDN/>
        <w:adjustRightInd/>
        <w:spacing w:line="44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1.各地方政府发改、教育、科技、司法、财政、环保、住建、交通、水利、农业、林业、文旅、卫健、能源等部门相关工作人员。</w:t>
      </w:r>
    </w:p>
    <w:p>
      <w:pPr>
        <w:autoSpaceDE/>
        <w:autoSpaceDN/>
        <w:adjustRightInd/>
        <w:spacing w:line="44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2.参与新型城镇化、新基建和政府项目的央企、国企、上市公司高管及项目负责人。</w:t>
      </w:r>
    </w:p>
    <w:p>
      <w:pPr>
        <w:autoSpaceDE/>
        <w:autoSpaceDN/>
        <w:adjustRightInd/>
        <w:spacing w:line="44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3.银行、证券、基金、信托、资产管理、融资租赁等金融机构和工程咨询、规划设计、财务顾问、法律行业等部门负责人及管理人员。</w:t>
      </w:r>
    </w:p>
    <w:p>
      <w:pPr>
        <w:spacing w:line="440" w:lineRule="exact"/>
        <w:ind w:firstLine="640" w:firstLineChars="200"/>
        <w:rPr>
          <w:rFonts w:hint="default" w:ascii="黑体" w:hAnsi="黑体" w:eastAsia="黑体" w:cs="黑体"/>
          <w:kern w:val="2"/>
          <w:sz w:val="32"/>
          <w:szCs w:val="32"/>
        </w:rPr>
      </w:pPr>
      <w:r>
        <w:rPr>
          <w:rFonts w:ascii="黑体" w:hAnsi="黑体" w:eastAsia="黑体" w:cs="黑体"/>
          <w:kern w:val="2"/>
          <w:sz w:val="32"/>
          <w:szCs w:val="32"/>
        </w:rPr>
        <w:t>四、授课专家</w:t>
      </w:r>
    </w:p>
    <w:p>
      <w:pPr>
        <w:autoSpaceDE/>
        <w:autoSpaceDN/>
        <w:adjustRightInd/>
        <w:spacing w:line="44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拟邀请国家发展改革委、财政部PPP项目相关领域专家授课，培训采用专题讲座、案例分析、政策解读、现场答疑、研讨交流等形式进行讲解。</w:t>
      </w:r>
    </w:p>
    <w:p>
      <w:pPr>
        <w:autoSpaceDE/>
        <w:autoSpaceDN/>
        <w:adjustRightInd/>
        <w:spacing w:line="440" w:lineRule="exact"/>
        <w:ind w:firstLine="640" w:firstLineChars="200"/>
        <w:rPr>
          <w:rFonts w:hint="default" w:ascii="黑体" w:hAnsi="黑体" w:eastAsia="黑体" w:cs="黑体"/>
          <w:kern w:val="2"/>
          <w:sz w:val="32"/>
          <w:szCs w:val="32"/>
        </w:rPr>
      </w:pPr>
      <w:r>
        <w:rPr>
          <w:rFonts w:ascii="黑体" w:hAnsi="黑体" w:eastAsia="黑体" w:cs="黑体"/>
          <w:kern w:val="2"/>
          <w:sz w:val="32"/>
          <w:szCs w:val="32"/>
        </w:rPr>
        <w:t>五、时间地点</w:t>
      </w:r>
    </w:p>
    <w:p>
      <w:pPr>
        <w:spacing w:line="44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2021年3月26日—3月30日  重庆（26日全天报到）</w:t>
      </w:r>
    </w:p>
    <w:p>
      <w:pPr>
        <w:spacing w:line="44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2021年4月16日—4月20日  厦门（16日全天报到）</w:t>
      </w:r>
    </w:p>
    <w:p>
      <w:pPr>
        <w:spacing w:line="44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2021年5月14日—5月18日  郑州（14日全天报到）</w:t>
      </w:r>
    </w:p>
    <w:p>
      <w:pPr>
        <w:spacing w:line="44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2021年5月28日—6月</w:t>
      </w:r>
      <w:r>
        <w:rPr>
          <w:rFonts w:hint="eastAsia" w:ascii="仿宋" w:hAnsi="仿宋" w:eastAsia="仿宋" w:cs="仿宋"/>
          <w:bCs/>
          <w:color w:val="000000" w:themeColor="text1"/>
          <w:sz w:val="32"/>
          <w:szCs w:val="32"/>
          <w:lang w:val="en-US" w:eastAsia="zh-CN"/>
        </w:rPr>
        <w:t>0</w:t>
      </w:r>
      <w:r>
        <w:rPr>
          <w:rFonts w:ascii="仿宋" w:hAnsi="仿宋" w:eastAsia="仿宋" w:cs="仿宋"/>
          <w:bCs/>
          <w:color w:val="000000" w:themeColor="text1"/>
          <w:sz w:val="32"/>
          <w:szCs w:val="32"/>
        </w:rPr>
        <w:t>1日  西安（28日全天报到）</w:t>
      </w:r>
    </w:p>
    <w:p>
      <w:pPr>
        <w:pStyle w:val="3"/>
        <w:autoSpaceDE/>
        <w:autoSpaceDN/>
        <w:adjustRightInd/>
        <w:spacing w:line="440" w:lineRule="exact"/>
        <w:ind w:left="0" w:firstLine="640" w:firstLineChars="200"/>
        <w:rPr>
          <w:rFonts w:hint="default" w:ascii="黑体" w:hAnsi="黑体" w:eastAsia="黑体" w:cs="黑体"/>
          <w:kern w:val="2"/>
        </w:rPr>
      </w:pPr>
      <w:r>
        <w:rPr>
          <w:rFonts w:ascii="黑体" w:hAnsi="黑体" w:eastAsia="黑体" w:cs="黑体"/>
          <w:kern w:val="2"/>
        </w:rPr>
        <w:t>六、相关事宜</w:t>
      </w:r>
    </w:p>
    <w:p>
      <w:pPr>
        <w:pStyle w:val="3"/>
        <w:autoSpaceDE/>
        <w:autoSpaceDN/>
        <w:adjustRightInd/>
        <w:spacing w:line="440" w:lineRule="exact"/>
        <w:ind w:left="0" w:firstLine="480" w:firstLineChars="150"/>
        <w:rPr>
          <w:rFonts w:hint="default" w:ascii="楷体" w:hAnsi="楷体" w:eastAsia="楷体" w:cs="仿宋"/>
          <w:color w:val="000000" w:themeColor="text1"/>
        </w:rPr>
      </w:pPr>
      <w:r>
        <w:rPr>
          <w:rFonts w:ascii="楷体" w:hAnsi="楷体" w:eastAsia="楷体" w:cs="仿宋"/>
          <w:color w:val="000000" w:themeColor="text1"/>
        </w:rPr>
        <w:t>（一）培训费用</w:t>
      </w:r>
    </w:p>
    <w:p>
      <w:pPr>
        <w:pStyle w:val="3"/>
        <w:autoSpaceDE/>
        <w:autoSpaceDN/>
        <w:adjustRightInd/>
        <w:spacing w:line="440" w:lineRule="exact"/>
        <w:ind w:left="0" w:firstLine="640" w:firstLineChars="200"/>
        <w:rPr>
          <w:rFonts w:hint="default" w:ascii="仿宋" w:hAnsi="仿宋" w:eastAsia="仿宋" w:cs="仿宋"/>
          <w:bCs/>
          <w:color w:val="000000" w:themeColor="text1"/>
        </w:rPr>
      </w:pPr>
      <w:r>
        <w:rPr>
          <w:rFonts w:ascii="仿宋" w:hAnsi="仿宋" w:eastAsia="仿宋" w:cs="仿宋"/>
          <w:bCs/>
          <w:color w:val="000000" w:themeColor="text1"/>
        </w:rPr>
        <w:t>A.2980元/人（含培训、资料、课件、场地费用及会议期间午餐），住宿统一安排，费用自理。</w:t>
      </w:r>
    </w:p>
    <w:p>
      <w:pPr>
        <w:pStyle w:val="3"/>
        <w:autoSpaceDE/>
        <w:autoSpaceDN/>
        <w:adjustRightInd/>
        <w:spacing w:line="440" w:lineRule="exact"/>
        <w:ind w:left="0" w:firstLine="640" w:firstLineChars="200"/>
        <w:rPr>
          <w:rFonts w:hint="default" w:ascii="仿宋" w:hAnsi="仿宋" w:eastAsia="仿宋" w:cs="仿宋"/>
          <w:bCs/>
          <w:color w:val="000000" w:themeColor="text1"/>
        </w:rPr>
      </w:pPr>
      <w:r>
        <w:rPr>
          <w:rFonts w:ascii="仿宋" w:hAnsi="仿宋" w:eastAsia="仿宋" w:cs="仿宋"/>
          <w:bCs/>
          <w:color w:val="000000" w:themeColor="text1"/>
        </w:rPr>
        <w:t>B.3980元/人（含证书、培训、资料、课件、场地费用及会议期间午餐），住宿统一安排，费用自理。</w:t>
      </w:r>
    </w:p>
    <w:p>
      <w:pPr>
        <w:pStyle w:val="3"/>
        <w:autoSpaceDE/>
        <w:autoSpaceDN/>
        <w:adjustRightInd/>
        <w:spacing w:line="440" w:lineRule="exact"/>
        <w:ind w:left="0" w:firstLine="640" w:firstLineChars="200"/>
        <w:rPr>
          <w:rFonts w:hint="default" w:ascii="仿宋" w:hAnsi="仿宋" w:eastAsia="仿宋" w:cs="仿宋"/>
          <w:bCs/>
          <w:color w:val="000000" w:themeColor="text1"/>
        </w:rPr>
      </w:pPr>
      <w:r>
        <w:rPr>
          <w:rFonts w:ascii="仿宋" w:hAnsi="仿宋" w:eastAsia="仿宋" w:cs="仿宋"/>
          <w:bCs/>
          <w:color w:val="000000" w:themeColor="text1"/>
        </w:rPr>
        <w:t>C.5980元/人（含证书、培训、资料、课件、场地费用及会议期间食宿）。</w:t>
      </w:r>
    </w:p>
    <w:p>
      <w:pPr>
        <w:autoSpaceDE/>
        <w:autoSpaceDN/>
        <w:adjustRightInd/>
        <w:spacing w:line="44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培训结业由国家人事人才培训网、北京企业管理咨询协会共同颁发“投融资管理师”或“金融风险管理师”证书，需提供报名回执表、二寸白底免冠彩色照片（电子版）、身份证（复印件）、学历证书（复印件）各一份。证书可在“国培网人才数据库”查询。</w:t>
      </w:r>
    </w:p>
    <w:p>
      <w:pPr>
        <w:pStyle w:val="3"/>
        <w:autoSpaceDE/>
        <w:autoSpaceDN/>
        <w:adjustRightInd/>
        <w:spacing w:line="440" w:lineRule="exact"/>
        <w:ind w:left="0" w:firstLine="480" w:firstLineChars="150"/>
        <w:rPr>
          <w:rFonts w:hint="default" w:ascii="楷体" w:hAnsi="楷体" w:eastAsia="楷体" w:cs="仿宋"/>
          <w:bCs/>
          <w:kern w:val="2"/>
        </w:rPr>
      </w:pPr>
      <w:r>
        <w:rPr>
          <w:rFonts w:ascii="楷体" w:hAnsi="楷体" w:eastAsia="楷体" w:cs="仿宋"/>
          <w:bCs/>
          <w:kern w:val="2"/>
        </w:rPr>
        <w:t>（二）联系方式</w:t>
      </w:r>
    </w:p>
    <w:p>
      <w:pPr>
        <w:pStyle w:val="22"/>
        <w:autoSpaceDE/>
        <w:autoSpaceDN/>
        <w:adjustRightInd/>
        <w:spacing w:line="440" w:lineRule="exact"/>
        <w:ind w:left="0" w:leftChars="0" w:firstLine="0" w:firstLineChars="0"/>
        <w:outlineLvl w:val="0"/>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报名负责人：聂红军 主任18211071700（微信）   </w:t>
      </w:r>
    </w:p>
    <w:p>
      <w:pPr>
        <w:pStyle w:val="22"/>
        <w:autoSpaceDE/>
        <w:autoSpaceDN/>
        <w:adjustRightInd/>
        <w:spacing w:line="440" w:lineRule="exact"/>
        <w:ind w:left="0" w:leftChars="0" w:firstLine="0" w:firstLineChars="0"/>
        <w:outlineLvl w:val="0"/>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电    话：010-87697580     </w:t>
      </w:r>
      <w:r>
        <w:rPr>
          <w:rFonts w:hint="eastAsia" w:ascii="仿宋" w:hAnsi="仿宋" w:eastAsia="仿宋" w:cs="仿宋"/>
          <w:bCs/>
          <w:color w:val="000000"/>
          <w:sz w:val="32"/>
          <w:szCs w:val="32"/>
          <w:lang w:val="en-US" w:eastAsia="zh-CN"/>
        </w:rPr>
        <w:t xml:space="preserve"> </w:t>
      </w:r>
      <w:r>
        <w:rPr>
          <w:rFonts w:hint="eastAsia" w:ascii="仿宋" w:hAnsi="仿宋" w:eastAsia="仿宋" w:cs="仿宋"/>
          <w:bCs/>
          <w:color w:val="000000"/>
          <w:sz w:val="32"/>
          <w:szCs w:val="32"/>
        </w:rPr>
        <w:t xml:space="preserve">邮  箱：zqgphwz@126.com  </w:t>
      </w:r>
    </w:p>
    <w:p>
      <w:pPr>
        <w:pStyle w:val="22"/>
        <w:autoSpaceDE/>
        <w:autoSpaceDN/>
        <w:adjustRightInd/>
        <w:spacing w:line="440" w:lineRule="exact"/>
        <w:ind w:left="0" w:leftChars="0" w:firstLine="0" w:firstLineChars="0"/>
        <w:outlineLvl w:val="0"/>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网址查询：http://www.zqgpchina.cn/  </w:t>
      </w:r>
      <w:r>
        <w:rPr>
          <w:rFonts w:hint="eastAsia" w:ascii="仿宋" w:hAnsi="仿宋" w:eastAsia="仿宋" w:cs="仿宋"/>
          <w:bCs/>
          <w:color w:val="000000"/>
          <w:sz w:val="32"/>
          <w:szCs w:val="32"/>
          <w:lang w:val="en-US" w:eastAsia="zh-CN"/>
        </w:rPr>
        <w:t xml:space="preserve"> </w:t>
      </w:r>
      <w:r>
        <w:rPr>
          <w:rFonts w:hint="eastAsia" w:ascii="仿宋" w:hAnsi="仿宋" w:eastAsia="仿宋" w:cs="仿宋"/>
          <w:bCs/>
          <w:color w:val="000000"/>
          <w:sz w:val="32"/>
          <w:szCs w:val="32"/>
        </w:rPr>
        <w:t xml:space="preserve">qq咨询：3177524020 </w:t>
      </w:r>
    </w:p>
    <w:p>
      <w:pPr>
        <w:pStyle w:val="22"/>
        <w:autoSpaceDE/>
        <w:autoSpaceDN/>
        <w:adjustRightInd/>
        <w:spacing w:line="440" w:lineRule="exact"/>
        <w:ind w:left="0" w:leftChars="0" w:firstLine="0" w:firstLineChars="0"/>
        <w:outlineLvl w:val="0"/>
        <w:rPr>
          <w:rFonts w:hint="default" w:ascii="仿宋" w:hAnsi="仿宋" w:eastAsia="仿宋" w:cs="仿宋"/>
          <w:bCs/>
          <w:color w:val="000000"/>
          <w:kern w:val="2"/>
          <w:sz w:val="32"/>
          <w:szCs w:val="32"/>
        </w:rPr>
      </w:pPr>
      <w:r>
        <w:rPr>
          <w:rFonts w:hint="eastAsia" w:ascii="仿宋" w:hAnsi="仿宋" w:eastAsia="仿宋" w:cs="仿宋"/>
          <w:bCs/>
          <w:color w:val="000000"/>
          <w:sz w:val="32"/>
          <w:szCs w:val="32"/>
        </w:rPr>
        <w:t xml:space="preserve"> </w:t>
      </w:r>
    </w:p>
    <w:p>
      <w:pPr>
        <w:pStyle w:val="3"/>
        <w:autoSpaceDE/>
        <w:autoSpaceDN/>
        <w:adjustRightInd/>
        <w:spacing w:line="440" w:lineRule="exact"/>
        <w:ind w:left="0" w:firstLine="548" w:firstLineChars="196"/>
        <w:rPr>
          <w:rFonts w:hint="default" w:ascii="仿宋" w:hAnsi="仿宋" w:eastAsia="仿宋" w:cs="仿宋"/>
          <w:b/>
          <w:kern w:val="2"/>
        </w:rPr>
      </w:pPr>
      <w:r>
        <w:rPr>
          <w:rFonts w:ascii="黑体" w:hAnsi="黑体" w:eastAsia="黑体" w:cs="黑体"/>
          <w:bCs/>
          <w:color w:val="000000" w:themeColor="text1"/>
          <w:kern w:val="2"/>
          <w:sz w:val="28"/>
          <w:szCs w:val="28"/>
          <w:lang w:bidi="zh-CN"/>
        </w:rPr>
        <w:drawing>
          <wp:anchor distT="0" distB="0" distL="114935" distR="114935" simplePos="0" relativeHeight="251658240" behindDoc="0" locked="0" layoutInCell="1" allowOverlap="1">
            <wp:simplePos x="0" y="0"/>
            <wp:positionH relativeFrom="column">
              <wp:posOffset>7620</wp:posOffset>
            </wp:positionH>
            <wp:positionV relativeFrom="paragraph">
              <wp:posOffset>210820</wp:posOffset>
            </wp:positionV>
            <wp:extent cx="5478780" cy="1744980"/>
            <wp:effectExtent l="0" t="0" r="7620" b="7620"/>
            <wp:wrapNone/>
            <wp:docPr id="1" name="图片 1" descr="16119093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1909304(1)"/>
                    <pic:cNvPicPr>
                      <a:picLocks noChangeAspect="1"/>
                    </pic:cNvPicPr>
                  </pic:nvPicPr>
                  <pic:blipFill>
                    <a:blip r:embed="rId5"/>
                    <a:stretch>
                      <a:fillRect/>
                    </a:stretch>
                  </pic:blipFill>
                  <pic:spPr>
                    <a:xfrm>
                      <a:off x="0" y="0"/>
                      <a:ext cx="5478780" cy="1744980"/>
                    </a:xfrm>
                    <a:prstGeom prst="rect">
                      <a:avLst/>
                    </a:prstGeom>
                  </pic:spPr>
                </pic:pic>
              </a:graphicData>
            </a:graphic>
          </wp:anchor>
        </w:drawing>
      </w:r>
    </w:p>
    <w:p>
      <w:pPr>
        <w:autoSpaceDE/>
        <w:autoSpaceDN/>
        <w:adjustRightInd/>
        <w:spacing w:line="420" w:lineRule="exact"/>
        <w:jc w:val="both"/>
        <w:rPr>
          <w:rFonts w:hint="default" w:ascii="黑体" w:hAnsi="黑体" w:eastAsia="黑体" w:cs="黑体"/>
          <w:bCs/>
          <w:color w:val="000000" w:themeColor="text1"/>
          <w:kern w:val="2"/>
          <w:sz w:val="28"/>
          <w:szCs w:val="28"/>
          <w:lang w:bidi="zh-CN"/>
        </w:rPr>
      </w:pPr>
      <w:r>
        <w:rPr>
          <w:rFonts w:ascii="黑体" w:hAnsi="黑体" w:eastAsia="黑体" w:cs="黑体"/>
          <w:bCs/>
          <w:color w:val="000000" w:themeColor="text1"/>
          <w:kern w:val="2"/>
          <w:sz w:val="28"/>
          <w:szCs w:val="28"/>
          <w:lang w:bidi="zh-CN"/>
        </w:rPr>
        <w:t>附件一:</w:t>
      </w:r>
    </w:p>
    <w:p>
      <w:pPr>
        <w:autoSpaceDE/>
        <w:autoSpaceDN/>
        <w:adjustRightInd/>
        <w:spacing w:line="420" w:lineRule="exact"/>
        <w:jc w:val="center"/>
        <w:rPr>
          <w:rFonts w:cs="黑体" w:asciiTheme="majorEastAsia" w:hAnsiTheme="majorEastAsia" w:eastAsiaTheme="majorEastAsia"/>
          <w:b/>
          <w:bCs/>
          <w:color w:val="000000" w:themeColor="text1"/>
          <w:kern w:val="2"/>
          <w:sz w:val="32"/>
          <w:szCs w:val="32"/>
          <w:lang w:bidi="zh-CN"/>
        </w:rPr>
      </w:pPr>
    </w:p>
    <w:p>
      <w:pPr>
        <w:autoSpaceDE/>
        <w:autoSpaceDN/>
        <w:adjustRightInd/>
        <w:spacing w:line="420" w:lineRule="exact"/>
        <w:jc w:val="center"/>
        <w:rPr>
          <w:rFonts w:cs="黑体" w:asciiTheme="majorEastAsia" w:hAnsiTheme="majorEastAsia" w:eastAsiaTheme="majorEastAsia"/>
          <w:b/>
          <w:bCs/>
          <w:color w:val="000000" w:themeColor="text1"/>
          <w:kern w:val="2"/>
          <w:sz w:val="32"/>
          <w:szCs w:val="32"/>
          <w:lang w:bidi="zh-CN"/>
        </w:rPr>
      </w:pPr>
    </w:p>
    <w:p>
      <w:pPr>
        <w:autoSpaceDE/>
        <w:autoSpaceDN/>
        <w:adjustRightInd/>
        <w:spacing w:line="420" w:lineRule="exact"/>
        <w:jc w:val="center"/>
        <w:rPr>
          <w:rFonts w:cs="黑体" w:asciiTheme="majorEastAsia" w:hAnsiTheme="majorEastAsia" w:eastAsiaTheme="majorEastAsia"/>
          <w:b/>
          <w:bCs/>
          <w:color w:val="000000" w:themeColor="text1"/>
          <w:kern w:val="2"/>
          <w:sz w:val="32"/>
          <w:szCs w:val="32"/>
          <w:lang w:bidi="zh-CN"/>
        </w:rPr>
      </w:pPr>
    </w:p>
    <w:p>
      <w:pPr>
        <w:autoSpaceDE/>
        <w:autoSpaceDN/>
        <w:adjustRightInd/>
        <w:spacing w:line="420" w:lineRule="exact"/>
        <w:jc w:val="center"/>
        <w:rPr>
          <w:rFonts w:cs="黑体" w:asciiTheme="majorEastAsia" w:hAnsiTheme="majorEastAsia" w:eastAsiaTheme="majorEastAsia"/>
          <w:b/>
          <w:bCs/>
          <w:color w:val="000000" w:themeColor="text1"/>
          <w:kern w:val="2"/>
          <w:sz w:val="32"/>
          <w:szCs w:val="32"/>
          <w:lang w:bidi="zh-CN"/>
        </w:rPr>
      </w:pPr>
    </w:p>
    <w:p>
      <w:pPr>
        <w:autoSpaceDE/>
        <w:autoSpaceDN/>
        <w:adjustRightInd/>
        <w:spacing w:line="420" w:lineRule="exact"/>
        <w:jc w:val="center"/>
        <w:rPr>
          <w:rFonts w:hint="default" w:cs="黑体" w:asciiTheme="majorEastAsia" w:hAnsiTheme="majorEastAsia" w:eastAsiaTheme="majorEastAsia"/>
          <w:b/>
          <w:color w:val="000000" w:themeColor="text1"/>
          <w:kern w:val="2"/>
          <w:sz w:val="32"/>
          <w:szCs w:val="32"/>
          <w:lang w:bidi="zh-CN"/>
        </w:rPr>
      </w:pPr>
      <w:r>
        <w:rPr>
          <w:rFonts w:cs="黑体" w:asciiTheme="majorEastAsia" w:hAnsiTheme="majorEastAsia" w:eastAsiaTheme="majorEastAsia"/>
          <w:b/>
          <w:bCs/>
          <w:color w:val="000000" w:themeColor="text1"/>
          <w:kern w:val="2"/>
          <w:sz w:val="32"/>
          <w:szCs w:val="32"/>
          <w:lang w:bidi="zh-CN"/>
        </w:rPr>
        <w:t>培 训 内 容</w:t>
      </w:r>
    </w:p>
    <w:p>
      <w:pPr>
        <w:autoSpaceDE/>
        <w:autoSpaceDN/>
        <w:adjustRightInd/>
        <w:spacing w:line="420" w:lineRule="exact"/>
        <w:ind w:firstLine="686" w:firstLineChars="245"/>
        <w:rPr>
          <w:rFonts w:ascii="黑体" w:hAnsi="黑体" w:eastAsia="黑体" w:cs="仿宋"/>
          <w:bCs/>
          <w:color w:val="000000" w:themeColor="text1"/>
          <w:sz w:val="28"/>
          <w:szCs w:val="28"/>
        </w:rPr>
      </w:pPr>
    </w:p>
    <w:p>
      <w:pPr>
        <w:autoSpaceDE/>
        <w:autoSpaceDN/>
        <w:adjustRightInd/>
        <w:spacing w:line="420" w:lineRule="exact"/>
        <w:ind w:firstLine="686" w:firstLineChars="245"/>
        <w:rPr>
          <w:rFonts w:ascii="黑体" w:hAnsi="黑体" w:eastAsia="黑体" w:cs="仿宋"/>
          <w:bCs/>
          <w:color w:val="000000" w:themeColor="text1"/>
          <w:sz w:val="28"/>
          <w:szCs w:val="28"/>
        </w:rPr>
      </w:pPr>
    </w:p>
    <w:p>
      <w:pPr>
        <w:autoSpaceDE/>
        <w:autoSpaceDN/>
        <w:adjustRightInd/>
        <w:spacing w:line="420" w:lineRule="exact"/>
        <w:ind w:firstLine="686" w:firstLineChars="245"/>
        <w:rPr>
          <w:rFonts w:hint="default" w:ascii="黑体" w:hAnsi="黑体" w:eastAsia="黑体" w:cs="仿宋"/>
          <w:bCs/>
          <w:color w:val="000000" w:themeColor="text1"/>
          <w:sz w:val="28"/>
          <w:szCs w:val="28"/>
        </w:rPr>
      </w:pPr>
      <w:r>
        <w:rPr>
          <w:rFonts w:ascii="黑体" w:hAnsi="黑体" w:eastAsia="黑体" w:cs="仿宋"/>
          <w:bCs/>
          <w:color w:val="000000" w:themeColor="text1"/>
          <w:sz w:val="28"/>
          <w:szCs w:val="28"/>
        </w:rPr>
        <w:t>一、“两新一重”基础设施领域投融资政策与实务</w:t>
      </w:r>
    </w:p>
    <w:p>
      <w:pPr>
        <w:autoSpaceDE/>
        <w:autoSpaceDN/>
        <w:adjustRightInd/>
        <w:spacing w:line="420" w:lineRule="exact"/>
        <w:ind w:firstLine="562"/>
        <w:rPr>
          <w:rFonts w:hint="default" w:ascii="楷体" w:hAnsi="楷体" w:eastAsia="楷体" w:cs="仿宋"/>
          <w:bCs/>
          <w:color w:val="000000" w:themeColor="text1"/>
          <w:sz w:val="28"/>
          <w:szCs w:val="28"/>
        </w:rPr>
      </w:pPr>
      <w:r>
        <w:rPr>
          <w:rFonts w:ascii="楷体" w:hAnsi="楷体" w:eastAsia="楷体" w:cs="仿宋"/>
          <w:bCs/>
          <w:color w:val="000000" w:themeColor="text1"/>
          <w:sz w:val="28"/>
          <w:szCs w:val="28"/>
        </w:rPr>
        <w:t>（一）审时度势，了解宏观形势</w:t>
      </w:r>
    </w:p>
    <w:p>
      <w:pPr>
        <w:tabs>
          <w:tab w:val="left" w:pos="676"/>
        </w:tabs>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1.“两新一重”内容解析</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2.“两新一重”项目建设相关政策解读及案例</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3.债务严监管下地方政府投融资模式的重构及案例</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4.“两新一重”项目合规投融资模式应用及案例</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5.传统基建项目如何补短板和强弱项</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6.“两新一重”项目融资主要模式及案例</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7.新基建项目风险性和回报率之股债融资关系及案例</w:t>
      </w:r>
    </w:p>
    <w:p>
      <w:pPr>
        <w:autoSpaceDE/>
        <w:autoSpaceDN/>
        <w:adjustRightInd/>
        <w:spacing w:line="420" w:lineRule="exact"/>
        <w:ind w:firstLine="562"/>
        <w:rPr>
          <w:rFonts w:hint="default" w:ascii="楷体" w:hAnsi="楷体" w:eastAsia="楷体" w:cs="仿宋"/>
          <w:bCs/>
          <w:color w:val="000000" w:themeColor="text1"/>
          <w:sz w:val="28"/>
          <w:szCs w:val="28"/>
        </w:rPr>
      </w:pPr>
      <w:r>
        <w:rPr>
          <w:rFonts w:ascii="楷体" w:hAnsi="楷体" w:eastAsia="楷体" w:cs="仿宋"/>
          <w:bCs/>
          <w:color w:val="000000" w:themeColor="text1"/>
          <w:sz w:val="28"/>
          <w:szCs w:val="28"/>
        </w:rPr>
        <w:t>（二）回归本源，深入研究项目</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1.城乡建设项目投资结构分析及案例</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2.市政公用事业项目投资结构分析及案例</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3.新基建信息类、能源类、交通类投融资模式分析及案例</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4.新型城镇化项目与地方政府专项应用</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5.县城“补短板、强弱项”项目范畴</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6.农业农村项目的研究</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7.园区项目的发展逻辑</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8.环保项目分析</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9.项目现金流评估</w:t>
      </w:r>
    </w:p>
    <w:p>
      <w:pPr>
        <w:autoSpaceDE/>
        <w:autoSpaceDN/>
        <w:adjustRightInd/>
        <w:spacing w:line="420" w:lineRule="exact"/>
        <w:ind w:firstLine="562"/>
        <w:rPr>
          <w:rFonts w:hint="default" w:ascii="楷体" w:hAnsi="楷体" w:eastAsia="楷体" w:cs="仿宋"/>
          <w:bCs/>
          <w:color w:val="000000" w:themeColor="text1"/>
          <w:sz w:val="28"/>
          <w:szCs w:val="28"/>
        </w:rPr>
      </w:pPr>
      <w:r>
        <w:rPr>
          <w:rFonts w:ascii="楷体" w:hAnsi="楷体" w:eastAsia="楷体" w:cs="仿宋"/>
          <w:bCs/>
          <w:color w:val="000000" w:themeColor="text1"/>
          <w:sz w:val="28"/>
          <w:szCs w:val="28"/>
        </w:rPr>
        <w:t>（三）关注主体，深入了解城投</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1.公益性与准公益性项目立项主体分析</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2.新形势下的城投公司转型与定位及案例</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3.城投公司的评估体系</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4.城投公司的运转机制</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5.城投公司的业务模式解析及案例</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6.城投的土地开发业务</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7.城投存量资产的再融资</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8.高债务率平台的债务化解</w:t>
      </w:r>
    </w:p>
    <w:p>
      <w:pPr>
        <w:autoSpaceDE/>
        <w:autoSpaceDN/>
        <w:adjustRightInd/>
        <w:spacing w:line="420" w:lineRule="exact"/>
        <w:ind w:firstLine="562"/>
        <w:rPr>
          <w:rFonts w:hint="default" w:ascii="楷体" w:hAnsi="楷体" w:eastAsia="楷体" w:cs="仿宋"/>
          <w:bCs/>
          <w:color w:val="000000" w:themeColor="text1"/>
          <w:sz w:val="28"/>
          <w:szCs w:val="28"/>
        </w:rPr>
      </w:pPr>
      <w:r>
        <w:rPr>
          <w:rFonts w:ascii="楷体" w:hAnsi="楷体" w:eastAsia="楷体" w:cs="仿宋"/>
          <w:bCs/>
          <w:color w:val="000000" w:themeColor="text1"/>
          <w:sz w:val="28"/>
          <w:szCs w:val="28"/>
        </w:rPr>
        <w:t>（四）时移势易，新形式的融资</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1.基建项目的评估框架</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2.基建项目的股权融资</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3.基建项目的债权融资</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4.基础设施领域供应链融资</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5.基础设施方向的政策性融资</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6.再论基建投资的“资本金”</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7.存量资产的盘活与再融资</w:t>
      </w:r>
    </w:p>
    <w:p>
      <w:pPr>
        <w:autoSpaceDE/>
        <w:autoSpaceDN/>
        <w:adjustRightInd/>
        <w:spacing w:line="420" w:lineRule="exact"/>
        <w:ind w:firstLine="562"/>
        <w:rPr>
          <w:rFonts w:hint="default" w:ascii="楷体" w:hAnsi="楷体" w:eastAsia="楷体" w:cs="仿宋"/>
          <w:color w:val="000000" w:themeColor="text1"/>
          <w:sz w:val="28"/>
          <w:szCs w:val="28"/>
        </w:rPr>
      </w:pPr>
      <w:r>
        <w:rPr>
          <w:rFonts w:ascii="楷体" w:hAnsi="楷体" w:eastAsia="楷体" w:cs="仿宋"/>
          <w:color w:val="000000" w:themeColor="text1"/>
          <w:sz w:val="28"/>
          <w:szCs w:val="28"/>
        </w:rPr>
        <w:t>（五）谋划储备，做好项目包装</w:t>
      </w:r>
    </w:p>
    <w:p>
      <w:pPr>
        <w:autoSpaceDE/>
        <w:autoSpaceDN/>
        <w:adjustRightInd/>
        <w:spacing w:line="420" w:lineRule="exact"/>
        <w:ind w:firstLine="700" w:firstLineChars="250"/>
        <w:rPr>
          <w:rFonts w:hint="default" w:ascii="仿宋" w:hAnsi="仿宋" w:eastAsia="仿宋" w:cs="仿宋"/>
          <w:color w:val="000000" w:themeColor="text1"/>
          <w:sz w:val="28"/>
          <w:szCs w:val="28"/>
        </w:rPr>
      </w:pPr>
      <w:r>
        <w:rPr>
          <w:rFonts w:ascii="仿宋" w:hAnsi="仿宋" w:eastAsia="仿宋" w:cs="仿宋"/>
          <w:color w:val="000000" w:themeColor="text1"/>
          <w:sz w:val="28"/>
          <w:szCs w:val="28"/>
        </w:rPr>
        <w:t>1.“两新一重”项目前期谋划的合规性</w:t>
      </w:r>
    </w:p>
    <w:p>
      <w:pPr>
        <w:autoSpaceDE/>
        <w:autoSpaceDN/>
        <w:adjustRightInd/>
        <w:spacing w:line="420" w:lineRule="exact"/>
        <w:ind w:firstLine="560" w:firstLineChars="200"/>
        <w:rPr>
          <w:rFonts w:hint="default" w:ascii="仿宋" w:hAnsi="仿宋" w:eastAsia="仿宋" w:cs="仿宋"/>
          <w:color w:val="000000" w:themeColor="text1"/>
          <w:sz w:val="28"/>
          <w:szCs w:val="28"/>
        </w:rPr>
      </w:pPr>
      <w:r>
        <w:rPr>
          <w:rFonts w:ascii="仿宋" w:hAnsi="仿宋" w:eastAsia="仿宋" w:cs="仿宋"/>
          <w:bCs/>
          <w:color w:val="000000" w:themeColor="text1"/>
          <w:sz w:val="28"/>
          <w:szCs w:val="28"/>
        </w:rPr>
        <w:t>（</w:t>
      </w:r>
      <w:r>
        <w:rPr>
          <w:rFonts w:ascii="仿宋" w:hAnsi="仿宋" w:eastAsia="仿宋" w:cs="仿宋"/>
          <w:color w:val="000000" w:themeColor="text1"/>
          <w:sz w:val="28"/>
          <w:szCs w:val="28"/>
        </w:rPr>
        <w:t>1）项目立项的合规</w:t>
      </w:r>
    </w:p>
    <w:p>
      <w:pPr>
        <w:autoSpaceDE/>
        <w:autoSpaceDN/>
        <w:adjustRightInd/>
        <w:spacing w:line="420" w:lineRule="exact"/>
        <w:ind w:firstLine="560" w:firstLineChars="200"/>
        <w:rPr>
          <w:rFonts w:hint="default" w:ascii="仿宋" w:hAnsi="仿宋" w:eastAsia="仿宋" w:cs="仿宋"/>
          <w:color w:val="000000" w:themeColor="text1"/>
          <w:sz w:val="28"/>
          <w:szCs w:val="28"/>
        </w:rPr>
      </w:pPr>
      <w:r>
        <w:rPr>
          <w:rFonts w:ascii="仿宋" w:hAnsi="仿宋" w:eastAsia="仿宋" w:cs="仿宋"/>
          <w:bCs/>
          <w:color w:val="000000" w:themeColor="text1"/>
          <w:sz w:val="28"/>
          <w:szCs w:val="28"/>
        </w:rPr>
        <w:t>（2）</w:t>
      </w:r>
      <w:r>
        <w:rPr>
          <w:rFonts w:ascii="仿宋" w:hAnsi="仿宋" w:eastAsia="仿宋" w:cs="仿宋"/>
          <w:color w:val="000000" w:themeColor="text1"/>
          <w:sz w:val="28"/>
          <w:szCs w:val="28"/>
        </w:rPr>
        <w:t>授权或市场化采购的合规</w:t>
      </w:r>
    </w:p>
    <w:p>
      <w:pPr>
        <w:numPr>
          <w:ilvl w:val="255"/>
          <w:numId w:val="0"/>
        </w:numPr>
        <w:autoSpaceDE/>
        <w:autoSpaceDN/>
        <w:adjustRightInd/>
        <w:spacing w:line="420" w:lineRule="exact"/>
        <w:ind w:firstLine="560" w:firstLineChars="200"/>
        <w:rPr>
          <w:rFonts w:hint="default" w:ascii="仿宋" w:hAnsi="仿宋" w:eastAsia="仿宋" w:cs="仿宋"/>
          <w:color w:val="000000" w:themeColor="text1"/>
          <w:sz w:val="28"/>
          <w:szCs w:val="28"/>
        </w:rPr>
      </w:pPr>
      <w:r>
        <w:rPr>
          <w:rFonts w:ascii="仿宋" w:hAnsi="仿宋" w:eastAsia="仿宋" w:cs="仿宋"/>
          <w:color w:val="000000" w:themeColor="text1"/>
          <w:sz w:val="28"/>
          <w:szCs w:val="28"/>
        </w:rPr>
        <w:t>（3）政府支付补贴的合规</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color w:val="000000" w:themeColor="text1"/>
          <w:sz w:val="28"/>
          <w:szCs w:val="28"/>
        </w:rPr>
        <w:t>2.</w:t>
      </w:r>
      <w:r>
        <w:rPr>
          <w:rFonts w:ascii="仿宋" w:hAnsi="仿宋" w:eastAsia="仿宋" w:cs="仿宋"/>
          <w:bCs/>
          <w:color w:val="000000" w:themeColor="text1"/>
          <w:sz w:val="28"/>
          <w:szCs w:val="28"/>
        </w:rPr>
        <w:t>“两新一重”项目包装</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（1）基础设施项目投融资模式研判</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（2）项目立项主体设计</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（3）应用模式分析</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（4）政府隐性债务的规避</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（5）ABO模式和“投资者+EPC”模式条件及项目分析</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（6）项目融资担保增信体系设计</w:t>
      </w:r>
    </w:p>
    <w:p>
      <w:pPr>
        <w:autoSpaceDE/>
        <w:autoSpaceDN/>
        <w:adjustRightInd/>
        <w:spacing w:line="420" w:lineRule="exact"/>
        <w:ind w:firstLine="562"/>
        <w:rPr>
          <w:rFonts w:hint="default" w:ascii="楷体" w:hAnsi="楷体" w:eastAsia="楷体" w:cs="仿宋"/>
          <w:bCs/>
          <w:color w:val="000000" w:themeColor="text1"/>
          <w:sz w:val="28"/>
          <w:szCs w:val="28"/>
        </w:rPr>
      </w:pPr>
      <w:r>
        <w:rPr>
          <w:rFonts w:ascii="楷体" w:hAnsi="楷体" w:eastAsia="楷体" w:cs="仿宋"/>
          <w:bCs/>
          <w:color w:val="000000" w:themeColor="text1"/>
          <w:sz w:val="28"/>
          <w:szCs w:val="28"/>
        </w:rPr>
        <w:t>（六）展望实务，做好六个重点</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1.项目尽调、梳理与策划</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2.设置制度与实施环境</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3.建立投融资与管理的闭环</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4.人事、财权与事权的匹配</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5.项目管理、绩效考核与评价</w:t>
      </w:r>
    </w:p>
    <w:p>
      <w:pPr>
        <w:autoSpaceDE/>
        <w:autoSpaceDN/>
        <w:adjustRightInd/>
        <w:spacing w:line="420" w:lineRule="exact"/>
        <w:ind w:firstLine="700" w:firstLineChars="2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6.还本付息压力测试与规划</w:t>
      </w:r>
    </w:p>
    <w:p>
      <w:pPr>
        <w:autoSpaceDE/>
        <w:autoSpaceDN/>
        <w:adjustRightInd/>
        <w:spacing w:line="420" w:lineRule="exact"/>
        <w:ind w:firstLine="560" w:firstLineChars="200"/>
        <w:rPr>
          <w:rFonts w:hint="default" w:ascii="黑体" w:hAnsi="黑体" w:eastAsia="黑体" w:cs="仿宋"/>
          <w:bCs/>
          <w:color w:val="000000" w:themeColor="text1"/>
          <w:sz w:val="28"/>
          <w:szCs w:val="28"/>
        </w:rPr>
      </w:pPr>
      <w:r>
        <w:rPr>
          <w:rFonts w:ascii="黑体" w:hAnsi="黑体" w:eastAsia="黑体" w:cs="仿宋"/>
          <w:bCs/>
          <w:color w:val="000000" w:themeColor="text1"/>
          <w:sz w:val="28"/>
          <w:szCs w:val="28"/>
        </w:rPr>
        <w:t>二、新形势下产业新城综合片区开发项目投融资模式</w:t>
      </w:r>
    </w:p>
    <w:p>
      <w:pPr>
        <w:autoSpaceDE/>
        <w:autoSpaceDN/>
        <w:adjustRightInd/>
        <w:spacing w:line="420" w:lineRule="exact"/>
        <w:ind w:firstLine="562"/>
        <w:rPr>
          <w:rFonts w:hint="default" w:ascii="楷体" w:hAnsi="楷体" w:eastAsia="楷体" w:cs="仿宋"/>
          <w:bCs/>
          <w:color w:val="000000" w:themeColor="text1"/>
          <w:sz w:val="28"/>
          <w:szCs w:val="28"/>
        </w:rPr>
      </w:pPr>
      <w:r>
        <w:rPr>
          <w:rFonts w:ascii="楷体" w:hAnsi="楷体" w:eastAsia="楷体" w:cs="仿宋"/>
          <w:bCs/>
          <w:color w:val="000000" w:themeColor="text1"/>
          <w:sz w:val="28"/>
          <w:szCs w:val="28"/>
        </w:rPr>
        <w:t>（一）园区、片区开发相关政策要点解读</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1.《国务院办公厅关于促进开发区改革和创新发展的若干意见》(国办发〔2017〕7号)要点解读</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2.《国务院关于推进国家级经济技术开发区创新提升打造改革开放新高地的意见》（国发〔2019〕11号）要点解读</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3.《关于促进具备条件的开发区向城市综合功能区转型的指导意见》《关于深入推进新型工业化产业示范基地建设的指导意见》等相关政要点解读</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4.《</w:t>
      </w:r>
      <w:r>
        <w:rPr>
          <w:rFonts w:ascii="仿宋" w:hAnsi="仿宋" w:eastAsia="仿宋" w:cs="仿宋"/>
          <w:bCs/>
          <w:color w:val="000000" w:themeColor="text1"/>
          <w:sz w:val="28"/>
          <w:szCs w:val="28"/>
          <w:shd w:val="clear" w:color="auto" w:fill="FFFFFF"/>
        </w:rPr>
        <w:t>土地征收成片开发标准（试行）》的通知</w:t>
      </w:r>
      <w:r>
        <w:rPr>
          <w:rFonts w:ascii="仿宋" w:hAnsi="仿宋" w:eastAsia="仿宋" w:cs="仿宋"/>
          <w:bCs/>
          <w:color w:val="000000" w:themeColor="text1"/>
          <w:szCs w:val="24"/>
          <w:shd w:val="clear" w:color="auto" w:fill="FFFFFF"/>
        </w:rPr>
        <w:t>（</w:t>
      </w:r>
      <w:r>
        <w:rPr>
          <w:rFonts w:ascii="仿宋" w:hAnsi="仿宋" w:eastAsia="仿宋" w:cs="仿宋"/>
          <w:color w:val="000000" w:themeColor="text1"/>
          <w:szCs w:val="24"/>
          <w:shd w:val="clear" w:color="auto" w:fill="FFFFFF"/>
        </w:rPr>
        <w:t>自然资规〔2020〕5号）</w:t>
      </w:r>
      <w:r>
        <w:rPr>
          <w:rFonts w:ascii="仿宋" w:hAnsi="仿宋" w:eastAsia="仿宋" w:cs="仿宋"/>
          <w:color w:val="000000" w:themeColor="text1"/>
          <w:sz w:val="28"/>
          <w:szCs w:val="28"/>
          <w:shd w:val="clear" w:color="auto" w:fill="FFFFFF"/>
        </w:rPr>
        <w:t>解读</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5.土储新政解读</w:t>
      </w:r>
    </w:p>
    <w:p>
      <w:pPr>
        <w:autoSpaceDE/>
        <w:autoSpaceDN/>
        <w:adjustRightInd/>
        <w:spacing w:line="420" w:lineRule="exact"/>
        <w:ind w:firstLine="411" w:firstLineChars="147"/>
        <w:rPr>
          <w:rFonts w:hint="default" w:ascii="楷体" w:hAnsi="楷体" w:eastAsia="楷体" w:cs="仿宋"/>
          <w:bCs/>
          <w:color w:val="000000" w:themeColor="text1"/>
          <w:sz w:val="28"/>
          <w:szCs w:val="28"/>
        </w:rPr>
      </w:pPr>
      <w:r>
        <w:rPr>
          <w:rFonts w:ascii="楷体" w:hAnsi="楷体" w:eastAsia="楷体" w:cs="仿宋"/>
          <w:bCs/>
          <w:color w:val="000000" w:themeColor="text1"/>
          <w:sz w:val="28"/>
          <w:szCs w:val="28"/>
        </w:rPr>
        <w:t>（二）片区开发的理论与实务</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1.溢价回收的理论与现实应用</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2.溢价回收在我国政策中应用解析</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3.片区综合开发的难点</w:t>
      </w:r>
    </w:p>
    <w:p>
      <w:pPr>
        <w:autoSpaceDE/>
        <w:autoSpaceDN/>
        <w:adjustRightInd/>
        <w:spacing w:line="420" w:lineRule="exact"/>
        <w:ind w:firstLine="420" w:firstLineChars="1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（1）合规性的问题分析</w:t>
      </w:r>
    </w:p>
    <w:p>
      <w:pPr>
        <w:autoSpaceDE/>
        <w:autoSpaceDN/>
        <w:adjustRightInd/>
        <w:spacing w:line="420" w:lineRule="exact"/>
        <w:ind w:firstLine="420" w:firstLineChars="15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（2）收益性的问题分析</w:t>
      </w:r>
    </w:p>
    <w:p>
      <w:pPr>
        <w:autoSpaceDE/>
        <w:autoSpaceDN/>
        <w:adjustRightInd/>
        <w:spacing w:line="420" w:lineRule="exact"/>
        <w:ind w:firstLine="411" w:firstLineChars="147"/>
        <w:rPr>
          <w:rFonts w:hint="default" w:ascii="楷体" w:hAnsi="楷体" w:eastAsia="楷体" w:cs="仿宋"/>
          <w:color w:val="000000" w:themeColor="text1"/>
          <w:sz w:val="28"/>
          <w:szCs w:val="28"/>
        </w:rPr>
      </w:pPr>
      <w:r>
        <w:rPr>
          <w:rFonts w:ascii="楷体" w:hAnsi="楷体" w:eastAsia="楷体" w:cs="仿宋"/>
          <w:color w:val="000000" w:themeColor="text1"/>
          <w:sz w:val="28"/>
          <w:szCs w:val="28"/>
        </w:rPr>
        <w:t>（三）片区综合开发三种模式分析及案例</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1.PPP模式在片区开发</w:t>
      </w:r>
      <w:r>
        <w:rPr>
          <w:rFonts w:hint="eastAsia" w:ascii="仿宋" w:hAnsi="仿宋" w:eastAsia="仿宋" w:cs="仿宋"/>
          <w:bCs/>
          <w:color w:val="000000" w:themeColor="text1"/>
          <w:sz w:val="28"/>
          <w:szCs w:val="28"/>
          <w:lang w:eastAsia="zh-CN"/>
        </w:rPr>
        <w:t>中</w:t>
      </w:r>
      <w:r>
        <w:rPr>
          <w:rFonts w:ascii="仿宋" w:hAnsi="仿宋" w:eastAsia="仿宋" w:cs="仿宋"/>
          <w:bCs/>
          <w:color w:val="000000" w:themeColor="text1"/>
          <w:sz w:val="28"/>
          <w:szCs w:val="28"/>
        </w:rPr>
        <w:t>存在问题及案例</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2.特许经营+ABO模式合规性设计及案例</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3.投资者+EPC模式的应用与注意问题及案例</w:t>
      </w:r>
    </w:p>
    <w:p>
      <w:pPr>
        <w:autoSpaceDE/>
        <w:autoSpaceDN/>
        <w:adjustRightInd/>
        <w:spacing w:line="420" w:lineRule="exact"/>
        <w:ind w:firstLine="411" w:firstLineChars="147"/>
        <w:rPr>
          <w:rFonts w:hint="default" w:ascii="楷体" w:hAnsi="楷体" w:eastAsia="楷体" w:cs="仿宋"/>
          <w:bCs/>
          <w:color w:val="000000" w:themeColor="text1"/>
          <w:sz w:val="28"/>
          <w:szCs w:val="28"/>
        </w:rPr>
      </w:pPr>
      <w:r>
        <w:rPr>
          <w:rFonts w:ascii="楷体" w:hAnsi="楷体" w:eastAsia="楷体" w:cs="仿宋"/>
          <w:bCs/>
          <w:color w:val="000000" w:themeColor="text1"/>
          <w:sz w:val="28"/>
          <w:szCs w:val="28"/>
        </w:rPr>
        <w:t>（四）开发型</w:t>
      </w:r>
      <w:r>
        <w:rPr>
          <w:rFonts w:hint="default" w:ascii="楷体" w:hAnsi="楷体" w:eastAsia="楷体" w:cs="仿宋"/>
          <w:bCs/>
          <w:color w:val="000000" w:themeColor="text1"/>
          <w:sz w:val="28"/>
          <w:szCs w:val="28"/>
        </w:rPr>
        <w:t>PPP模式的应用与案例分享</w:t>
      </w:r>
    </w:p>
    <w:p>
      <w:pPr>
        <w:autoSpaceDE/>
        <w:autoSpaceDN/>
        <w:adjustRightInd/>
        <w:spacing w:line="420" w:lineRule="exact"/>
        <w:ind w:firstLine="560" w:firstLineChars="200"/>
        <w:rPr>
          <w:rFonts w:hint="default" w:ascii="仿宋" w:hAnsi="仿宋" w:eastAsia="仿宋" w:cs="仿宋"/>
          <w:color w:val="000000" w:themeColor="text1"/>
          <w:sz w:val="28"/>
          <w:szCs w:val="28"/>
        </w:rPr>
      </w:pPr>
      <w:r>
        <w:rPr>
          <w:rFonts w:ascii="仿宋" w:hAnsi="仿宋" w:eastAsia="仿宋" w:cs="仿宋"/>
          <w:color w:val="000000" w:themeColor="text1"/>
          <w:sz w:val="28"/>
          <w:szCs w:val="28"/>
        </w:rPr>
        <w:t>1.经营性项目的深入分析</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（1）经营性项目的性质特点</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（2）经营性项目的融资分析</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（3）片区开发PPP项目采用使用者付费模式操作特点分析</w:t>
      </w:r>
    </w:p>
    <w:p>
      <w:pPr>
        <w:autoSpaceDE/>
        <w:autoSpaceDN/>
        <w:adjustRightInd/>
        <w:spacing w:line="420" w:lineRule="exact"/>
        <w:ind w:firstLine="560" w:firstLineChars="200"/>
        <w:rPr>
          <w:rFonts w:hint="default" w:ascii="仿宋" w:hAnsi="仿宋" w:eastAsia="仿宋" w:cs="仿宋"/>
          <w:color w:val="000000" w:themeColor="text1"/>
          <w:sz w:val="28"/>
          <w:szCs w:val="28"/>
        </w:rPr>
      </w:pPr>
      <w:r>
        <w:rPr>
          <w:rFonts w:ascii="仿宋" w:hAnsi="仿宋" w:eastAsia="仿宋" w:cs="仿宋"/>
          <w:color w:val="000000" w:themeColor="text1"/>
          <w:sz w:val="28"/>
          <w:szCs w:val="28"/>
        </w:rPr>
        <w:t>2.政府付费PPP项目的落地要点</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（1）政府财政付费PPP项目的合规性要求</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（2）合规性兜底与违规性兜底的特征与区别</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（3）不同政府及园区状况下政府付费项目落地的难度分析</w:t>
      </w:r>
    </w:p>
    <w:p>
      <w:pPr>
        <w:autoSpaceDE/>
        <w:autoSpaceDN/>
        <w:adjustRightInd/>
        <w:spacing w:line="420" w:lineRule="exact"/>
        <w:ind w:firstLine="560" w:firstLineChars="200"/>
        <w:rPr>
          <w:rFonts w:hint="default" w:ascii="仿宋" w:hAnsi="仿宋" w:eastAsia="仿宋" w:cs="仿宋"/>
          <w:color w:val="000000" w:themeColor="text1"/>
          <w:sz w:val="28"/>
          <w:szCs w:val="28"/>
        </w:rPr>
      </w:pPr>
      <w:r>
        <w:rPr>
          <w:rFonts w:ascii="仿宋" w:hAnsi="仿宋" w:eastAsia="仿宋" w:cs="仿宋"/>
          <w:color w:val="000000" w:themeColor="text1"/>
          <w:sz w:val="28"/>
          <w:szCs w:val="28"/>
        </w:rPr>
        <w:t>3.资源补偿模式PPP项目的落地要点</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（1）土地招拍挂问题（尤其关注涉及商业地产的合规性问题）</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（2）土地资源如何充分利用</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（3）资源补偿类项目的融资难点</w:t>
      </w:r>
    </w:p>
    <w:p>
      <w:pPr>
        <w:autoSpaceDE/>
        <w:autoSpaceDN/>
        <w:adjustRightInd/>
        <w:spacing w:line="420" w:lineRule="exact"/>
        <w:ind w:firstLine="560" w:firstLineChars="200"/>
        <w:rPr>
          <w:rFonts w:hint="default" w:ascii="仿宋" w:hAnsi="仿宋" w:eastAsia="仿宋" w:cs="仿宋"/>
          <w:color w:val="000000" w:themeColor="text1"/>
          <w:sz w:val="28"/>
          <w:szCs w:val="28"/>
        </w:rPr>
      </w:pPr>
      <w:r>
        <w:rPr>
          <w:rFonts w:ascii="仿宋" w:hAnsi="仿宋" w:eastAsia="仿宋" w:cs="仿宋"/>
          <w:color w:val="000000" w:themeColor="text1"/>
          <w:sz w:val="28"/>
          <w:szCs w:val="28"/>
        </w:rPr>
        <w:t>4.财政补贴模式的落地要点</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（1）实质性运营与PPP 模式挂钩问题</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（2）使用者付费在PPP项目中的占比问题</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（3）金融机构的关注点分析</w:t>
      </w:r>
    </w:p>
    <w:p>
      <w:pPr>
        <w:autoSpaceDE/>
        <w:autoSpaceDN/>
        <w:adjustRightInd/>
        <w:spacing w:line="420" w:lineRule="exact"/>
        <w:ind w:firstLine="560" w:firstLineChars="200"/>
        <w:rPr>
          <w:rFonts w:hint="default" w:ascii="仿宋" w:hAnsi="仿宋" w:eastAsia="仿宋" w:cs="仿宋"/>
          <w:b/>
          <w:bCs/>
          <w:color w:val="000000" w:themeColor="text1"/>
          <w:sz w:val="28"/>
          <w:szCs w:val="28"/>
        </w:rPr>
      </w:pPr>
      <w:r>
        <w:rPr>
          <w:rFonts w:hint="default" w:ascii="仿宋" w:hAnsi="仿宋" w:eastAsia="仿宋" w:cs="仿宋"/>
          <w:color w:val="000000" w:themeColor="text1"/>
          <w:sz w:val="28"/>
          <w:szCs w:val="28"/>
        </w:rPr>
        <w:t>5.</w:t>
      </w:r>
      <w:r>
        <w:rPr>
          <w:rFonts w:ascii="仿宋" w:hAnsi="仿宋" w:eastAsia="仿宋" w:cs="仿宋"/>
          <w:color w:val="000000" w:themeColor="text1"/>
          <w:sz w:val="28"/>
          <w:szCs w:val="28"/>
        </w:rPr>
        <w:t>产业新城</w:t>
      </w:r>
      <w:r>
        <w:rPr>
          <w:rFonts w:hint="default" w:ascii="仿宋" w:hAnsi="仿宋" w:eastAsia="仿宋" w:cs="仿宋"/>
          <w:color w:val="000000" w:themeColor="text1"/>
          <w:sz w:val="28"/>
          <w:szCs w:val="28"/>
        </w:rPr>
        <w:t>PPP项目的关注点</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（1）“土地一二级联动开发”事宜</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（2）土地规划、土地指标、土地开发计划等对产业新城PPP项目的影响分析</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（3）产业新城PPP项目回报机制设计及与土地利用的相关性分析</w:t>
      </w:r>
    </w:p>
    <w:p>
      <w:pPr>
        <w:autoSpaceDE/>
        <w:autoSpaceDN/>
        <w:adjustRightInd/>
        <w:spacing w:line="420" w:lineRule="exact"/>
        <w:ind w:firstLine="560" w:firstLineChars="200"/>
        <w:rPr>
          <w:rFonts w:hint="default" w:ascii="仿宋" w:hAnsi="仿宋" w:eastAsia="仿宋" w:cs="仿宋"/>
          <w:color w:val="000000" w:themeColor="text1"/>
          <w:sz w:val="28"/>
          <w:szCs w:val="28"/>
        </w:rPr>
      </w:pPr>
      <w:r>
        <w:rPr>
          <w:rFonts w:ascii="仿宋" w:hAnsi="仿宋" w:eastAsia="仿宋" w:cs="仿宋"/>
          <w:color w:val="000000" w:themeColor="text1"/>
          <w:sz w:val="28"/>
          <w:szCs w:val="28"/>
        </w:rPr>
        <w:t>6.产业新城PPP项目实务案例</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（1）项目投融资结构设计及资金来源</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（2）项目回报机制设计要点</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（3）实务操作中项目绩效考核体系的搭建要点分析</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（4）项目风险分配</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（5）产业新城PPP项目难点分析及案例分享</w:t>
      </w:r>
    </w:p>
    <w:p>
      <w:pPr>
        <w:autoSpaceDE/>
        <w:autoSpaceDN/>
        <w:adjustRightInd/>
        <w:spacing w:line="420" w:lineRule="exact"/>
        <w:ind w:firstLine="562"/>
        <w:rPr>
          <w:rFonts w:hint="default" w:ascii="楷体" w:hAnsi="楷体" w:eastAsia="楷体" w:cs="仿宋"/>
          <w:bCs/>
          <w:color w:val="000000" w:themeColor="text1"/>
          <w:sz w:val="28"/>
          <w:szCs w:val="28"/>
        </w:rPr>
      </w:pPr>
      <w:r>
        <w:rPr>
          <w:rFonts w:ascii="楷体" w:hAnsi="楷体" w:eastAsia="楷体" w:cs="仿宋"/>
          <w:bCs/>
          <w:color w:val="000000" w:themeColor="text1"/>
          <w:sz w:val="28"/>
          <w:szCs w:val="28"/>
        </w:rPr>
        <w:t>（五）“管委会</w:t>
      </w:r>
      <w:r>
        <w:rPr>
          <w:rFonts w:hint="default" w:ascii="楷体" w:hAnsi="楷体" w:eastAsia="楷体" w:cs="仿宋"/>
          <w:bCs/>
          <w:color w:val="000000" w:themeColor="text1"/>
          <w:sz w:val="28"/>
          <w:szCs w:val="28"/>
        </w:rPr>
        <w:t>+平台”模式实施片区开发项目的应用</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1.“管委会+平台”操作模式简述</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2.“管委会+平台”模式中管委会与平台公司的核心权责界定</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3.平台公司的转型与重组</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4.平台公司如何介入园区一二级开发从而实现上市的目标</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5.相关案例分享</w:t>
      </w:r>
    </w:p>
    <w:p>
      <w:pPr>
        <w:autoSpaceDE/>
        <w:autoSpaceDN/>
        <w:adjustRightInd/>
        <w:spacing w:line="420" w:lineRule="exact"/>
        <w:ind w:firstLine="562"/>
        <w:rPr>
          <w:rFonts w:hint="default" w:ascii="楷体" w:hAnsi="楷体" w:eastAsia="楷体" w:cs="仿宋"/>
          <w:bCs/>
          <w:color w:val="000000" w:themeColor="text1"/>
          <w:sz w:val="28"/>
          <w:szCs w:val="28"/>
        </w:rPr>
      </w:pPr>
      <w:r>
        <w:rPr>
          <w:rFonts w:hint="default" w:ascii="楷体" w:hAnsi="楷体" w:eastAsia="楷体" w:cs="仿宋"/>
          <w:bCs/>
          <w:color w:val="000000" w:themeColor="text1"/>
          <w:sz w:val="28"/>
          <w:szCs w:val="28"/>
        </w:rPr>
        <w:t>(</w:t>
      </w:r>
      <w:r>
        <w:rPr>
          <w:rFonts w:ascii="楷体" w:hAnsi="楷体" w:eastAsia="楷体" w:cs="仿宋"/>
          <w:bCs/>
          <w:color w:val="000000" w:themeColor="text1"/>
          <w:sz w:val="28"/>
          <w:szCs w:val="28"/>
        </w:rPr>
        <w:t>六）园区开发建设公司市场化投资片区开发项目的应用</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1.《政府投资条例》的配套安排</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2.政府投资与企业投资在基建项目中的比较与应用</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3.如何运用企业投资模式市场化承接片区开发项目</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4.平台公司市场化投资模式下资源补偿的应用</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5.相关案例分享（平台公司投资片区开发项目高度依赖项目自身的盈利能力和社会资本的资金筹集能力）</w:t>
      </w:r>
    </w:p>
    <w:p>
      <w:pPr>
        <w:autoSpaceDE/>
        <w:autoSpaceDN/>
        <w:adjustRightInd/>
        <w:spacing w:line="420" w:lineRule="exact"/>
        <w:ind w:firstLine="562"/>
        <w:rPr>
          <w:rFonts w:hint="default" w:ascii="楷体" w:hAnsi="楷体" w:eastAsia="楷体" w:cs="仿宋"/>
          <w:bCs/>
          <w:color w:val="000000" w:themeColor="text1"/>
          <w:sz w:val="28"/>
          <w:szCs w:val="28"/>
        </w:rPr>
      </w:pPr>
      <w:r>
        <w:rPr>
          <w:rFonts w:ascii="楷体" w:hAnsi="楷体" w:eastAsia="楷体" w:cs="仿宋"/>
          <w:bCs/>
          <w:color w:val="000000" w:themeColor="text1"/>
          <w:sz w:val="28"/>
          <w:szCs w:val="28"/>
        </w:rPr>
        <w:t>（七）片区开发项目的融资分析</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1.片区开发项目融资的主要特点</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2.项目资本金的难点与解决思路</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3.土储基金在片区开发项目的创新运作模式</w:t>
      </w:r>
    </w:p>
    <w:p>
      <w:pPr>
        <w:autoSpaceDE/>
        <w:autoSpaceDN/>
        <w:adjustRightInd/>
        <w:spacing w:line="420" w:lineRule="exact"/>
        <w:ind w:firstLine="560" w:firstLineChars="200"/>
        <w:rPr>
          <w:rFonts w:hint="default" w:ascii="仿宋" w:hAnsi="仿宋" w:eastAsia="仿宋" w:cs="仿宋"/>
          <w:bCs/>
          <w:color w:val="000000" w:themeColor="text1"/>
          <w:sz w:val="28"/>
          <w:szCs w:val="28"/>
        </w:rPr>
      </w:pPr>
      <w:r>
        <w:rPr>
          <w:rFonts w:ascii="仿宋" w:hAnsi="仿宋" w:eastAsia="仿宋" w:cs="仿宋"/>
          <w:bCs/>
          <w:color w:val="000000" w:themeColor="text1"/>
          <w:sz w:val="28"/>
          <w:szCs w:val="28"/>
        </w:rPr>
        <w:t>4.片区开发之产业基金运作案例解析</w:t>
      </w:r>
    </w:p>
    <w:p>
      <w:pPr>
        <w:autoSpaceDE/>
        <w:autoSpaceDN/>
        <w:adjustRightInd/>
        <w:spacing w:line="420" w:lineRule="exact"/>
        <w:ind w:firstLine="560" w:firstLineChars="200"/>
        <w:rPr>
          <w:rStyle w:val="13"/>
          <w:rFonts w:hint="default" w:ascii="黑体" w:hAnsi="黑体" w:eastAsia="黑体" w:cs="黑体"/>
          <w:b w:val="0"/>
          <w:color w:val="000000"/>
          <w:sz w:val="28"/>
          <w:szCs w:val="28"/>
        </w:rPr>
      </w:pPr>
      <w:r>
        <w:rPr>
          <w:rFonts w:ascii="仿宋" w:hAnsi="仿宋" w:eastAsia="仿宋" w:cs="仿宋"/>
          <w:bCs/>
          <w:color w:val="000000" w:themeColor="text1"/>
          <w:sz w:val="28"/>
          <w:szCs w:val="28"/>
        </w:rPr>
        <w:t>5.片区开发项目采用综合实施模式的案例解析</w:t>
      </w:r>
    </w:p>
    <w:p>
      <w:pPr>
        <w:spacing w:line="440" w:lineRule="exact"/>
        <w:jc w:val="both"/>
        <w:rPr>
          <w:rStyle w:val="13"/>
          <w:rFonts w:hint="default" w:ascii="黑体" w:hAnsi="黑体" w:eastAsia="黑体" w:cs="黑体"/>
          <w:b w:val="0"/>
          <w:color w:val="000000"/>
          <w:sz w:val="28"/>
          <w:szCs w:val="28"/>
        </w:rPr>
      </w:pPr>
    </w:p>
    <w:p>
      <w:pPr>
        <w:spacing w:line="440" w:lineRule="exact"/>
        <w:jc w:val="both"/>
        <w:rPr>
          <w:rStyle w:val="13"/>
          <w:rFonts w:hint="default" w:ascii="黑体" w:hAnsi="黑体" w:eastAsia="黑体" w:cs="黑体"/>
          <w:b w:val="0"/>
          <w:color w:val="000000"/>
          <w:sz w:val="28"/>
          <w:szCs w:val="28"/>
        </w:rPr>
      </w:pPr>
    </w:p>
    <w:p>
      <w:pPr>
        <w:spacing w:line="440" w:lineRule="exact"/>
        <w:jc w:val="both"/>
        <w:rPr>
          <w:rStyle w:val="13"/>
          <w:rFonts w:hint="default" w:ascii="黑体" w:hAnsi="黑体" w:eastAsia="黑体" w:cs="黑体"/>
          <w:b w:val="0"/>
          <w:color w:val="000000"/>
          <w:sz w:val="28"/>
          <w:szCs w:val="28"/>
        </w:rPr>
      </w:pPr>
    </w:p>
    <w:p>
      <w:pPr>
        <w:spacing w:line="440" w:lineRule="exact"/>
        <w:jc w:val="both"/>
        <w:rPr>
          <w:rStyle w:val="13"/>
          <w:rFonts w:hint="default" w:ascii="黑体" w:hAnsi="黑体" w:eastAsia="黑体" w:cs="黑体"/>
          <w:b w:val="0"/>
          <w:color w:val="000000"/>
          <w:sz w:val="28"/>
          <w:szCs w:val="28"/>
        </w:rPr>
      </w:pPr>
    </w:p>
    <w:p>
      <w:pPr>
        <w:spacing w:line="440" w:lineRule="exact"/>
        <w:jc w:val="both"/>
        <w:rPr>
          <w:rStyle w:val="13"/>
          <w:rFonts w:hint="default" w:ascii="黑体" w:hAnsi="黑体" w:eastAsia="黑体" w:cs="黑体"/>
          <w:b w:val="0"/>
          <w:color w:val="000000"/>
          <w:sz w:val="28"/>
          <w:szCs w:val="28"/>
        </w:rPr>
      </w:pPr>
    </w:p>
    <w:p>
      <w:pPr>
        <w:spacing w:line="440" w:lineRule="exact"/>
        <w:jc w:val="both"/>
        <w:rPr>
          <w:rStyle w:val="13"/>
          <w:rFonts w:hint="default" w:ascii="黑体" w:hAnsi="黑体" w:eastAsia="黑体" w:cs="黑体"/>
          <w:b w:val="0"/>
          <w:color w:val="000000"/>
          <w:sz w:val="28"/>
          <w:szCs w:val="28"/>
        </w:rPr>
      </w:pPr>
    </w:p>
    <w:p>
      <w:pPr>
        <w:spacing w:line="440" w:lineRule="exact"/>
        <w:jc w:val="both"/>
        <w:rPr>
          <w:rStyle w:val="13"/>
          <w:rFonts w:hint="default" w:ascii="黑体" w:hAnsi="黑体" w:eastAsia="黑体" w:cs="黑体"/>
          <w:b w:val="0"/>
          <w:color w:val="000000"/>
          <w:sz w:val="28"/>
          <w:szCs w:val="28"/>
        </w:rPr>
      </w:pPr>
    </w:p>
    <w:p>
      <w:pPr>
        <w:spacing w:line="440" w:lineRule="exact"/>
        <w:jc w:val="both"/>
        <w:rPr>
          <w:rStyle w:val="13"/>
          <w:rFonts w:hint="default" w:ascii="黑体" w:hAnsi="黑体" w:eastAsia="黑体" w:cs="黑体"/>
          <w:b w:val="0"/>
          <w:color w:val="000000"/>
          <w:sz w:val="28"/>
          <w:szCs w:val="28"/>
        </w:rPr>
      </w:pPr>
      <w:r>
        <w:rPr>
          <w:rStyle w:val="13"/>
          <w:rFonts w:ascii="黑体" w:hAnsi="黑体" w:eastAsia="黑体" w:cs="黑体"/>
          <w:b w:val="0"/>
          <w:color w:val="000000"/>
          <w:sz w:val="28"/>
          <w:szCs w:val="28"/>
        </w:rPr>
        <w:t>附件二：</w:t>
      </w:r>
    </w:p>
    <w:p>
      <w:pPr>
        <w:spacing w:line="440" w:lineRule="exact"/>
        <w:jc w:val="center"/>
        <w:rPr>
          <w:rStyle w:val="13"/>
          <w:rFonts w:hint="eastAsia" w:cs="黑体" w:asciiTheme="minorEastAsia" w:hAnsiTheme="minorEastAsia" w:eastAsiaTheme="minorEastAsia"/>
          <w:color w:val="000000"/>
          <w:sz w:val="30"/>
          <w:szCs w:val="30"/>
          <w:lang w:eastAsia="zh-CN"/>
        </w:rPr>
      </w:pPr>
      <w:r>
        <w:rPr>
          <w:rStyle w:val="13"/>
          <w:rFonts w:cs="黑体" w:asciiTheme="minorEastAsia" w:hAnsiTheme="minorEastAsia" w:eastAsiaTheme="minorEastAsia"/>
          <w:color w:val="000000"/>
          <w:sz w:val="30"/>
          <w:szCs w:val="30"/>
        </w:rPr>
        <w:t>地方政府“两新一重”项目谋划及新城综合片区</w:t>
      </w:r>
      <w:r>
        <w:rPr>
          <w:rStyle w:val="13"/>
          <w:rFonts w:hint="eastAsia" w:cs="黑体" w:asciiTheme="minorEastAsia" w:hAnsiTheme="minorEastAsia" w:eastAsiaTheme="minorEastAsia"/>
          <w:color w:val="000000"/>
          <w:sz w:val="30"/>
          <w:szCs w:val="30"/>
          <w:lang w:eastAsia="zh-CN"/>
        </w:rPr>
        <w:t>开发</w:t>
      </w:r>
      <w:r>
        <w:rPr>
          <w:rStyle w:val="13"/>
          <w:rFonts w:cs="黑体" w:asciiTheme="minorEastAsia" w:hAnsiTheme="minorEastAsia" w:eastAsiaTheme="minorEastAsia"/>
          <w:color w:val="000000"/>
          <w:sz w:val="30"/>
          <w:szCs w:val="30"/>
        </w:rPr>
        <w:t>项</w:t>
      </w:r>
      <w:r>
        <w:rPr>
          <w:rStyle w:val="13"/>
          <w:rFonts w:hint="eastAsia" w:cs="黑体" w:asciiTheme="minorEastAsia" w:hAnsiTheme="minorEastAsia" w:eastAsiaTheme="minorEastAsia"/>
          <w:color w:val="000000"/>
          <w:sz w:val="30"/>
          <w:szCs w:val="30"/>
          <w:lang w:eastAsia="zh-CN"/>
        </w:rPr>
        <w:t>目</w:t>
      </w:r>
    </w:p>
    <w:p>
      <w:pPr>
        <w:spacing w:line="440" w:lineRule="exact"/>
        <w:jc w:val="center"/>
        <w:rPr>
          <w:rFonts w:hint="default" w:cs="黑体" w:asciiTheme="minorEastAsia" w:hAnsiTheme="minorEastAsia" w:eastAsiaTheme="minorEastAsia"/>
          <w:bCs/>
          <w:sz w:val="30"/>
          <w:szCs w:val="30"/>
        </w:rPr>
      </w:pPr>
      <w:r>
        <w:rPr>
          <w:rStyle w:val="13"/>
          <w:rFonts w:cs="黑体" w:asciiTheme="minorEastAsia" w:hAnsiTheme="minorEastAsia" w:eastAsiaTheme="minorEastAsia"/>
          <w:color w:val="000000"/>
          <w:sz w:val="30"/>
          <w:szCs w:val="30"/>
        </w:rPr>
        <w:t>投融资模式创新实务培训班报名回执表</w:t>
      </w:r>
    </w:p>
    <w:tbl>
      <w:tblPr>
        <w:tblStyle w:val="11"/>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850"/>
        <w:gridCol w:w="1283"/>
        <w:gridCol w:w="1986"/>
        <w:gridCol w:w="158"/>
        <w:gridCol w:w="583"/>
        <w:gridCol w:w="414"/>
        <w:gridCol w:w="125"/>
        <w:gridCol w:w="707"/>
        <w:gridCol w:w="134"/>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665"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单位名称</w:t>
            </w:r>
          </w:p>
        </w:tc>
        <w:tc>
          <w:tcPr>
            <w:tcW w:w="5399" w:type="dxa"/>
            <w:gridSpan w:val="7"/>
            <w:vAlign w:val="center"/>
          </w:tcPr>
          <w:p>
            <w:pPr>
              <w:spacing w:line="440" w:lineRule="exact"/>
              <w:ind w:right="-168" w:rightChars="-70"/>
              <w:jc w:val="center"/>
              <w:rPr>
                <w:rFonts w:hint="default" w:ascii="仿宋" w:hAnsi="仿宋" w:eastAsia="仿宋" w:cstheme="minorEastAsia"/>
              </w:rPr>
            </w:pPr>
          </w:p>
        </w:tc>
        <w:tc>
          <w:tcPr>
            <w:tcW w:w="841" w:type="dxa"/>
            <w:gridSpan w:val="2"/>
            <w:vAlign w:val="center"/>
          </w:tcPr>
          <w:p>
            <w:pPr>
              <w:spacing w:line="440" w:lineRule="exact"/>
              <w:ind w:right="-168" w:rightChars="-70"/>
              <w:rPr>
                <w:rFonts w:hint="default" w:ascii="仿宋" w:hAnsi="仿宋" w:eastAsia="仿宋" w:cstheme="minorEastAsia"/>
              </w:rPr>
            </w:pPr>
            <w:r>
              <w:rPr>
                <w:rFonts w:ascii="仿宋" w:hAnsi="仿宋" w:eastAsia="仿宋" w:cstheme="minorEastAsia"/>
              </w:rPr>
              <w:t>邮编</w:t>
            </w:r>
          </w:p>
        </w:tc>
        <w:tc>
          <w:tcPr>
            <w:tcW w:w="1854" w:type="dxa"/>
            <w:vAlign w:val="center"/>
          </w:tcPr>
          <w:p>
            <w:pPr>
              <w:spacing w:line="440" w:lineRule="exact"/>
              <w:ind w:right="-168" w:rightChars="-70" w:firstLine="96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665"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单位地址</w:t>
            </w:r>
          </w:p>
        </w:tc>
        <w:tc>
          <w:tcPr>
            <w:tcW w:w="8094" w:type="dxa"/>
            <w:gridSpan w:val="10"/>
            <w:vAlign w:val="center"/>
          </w:tcPr>
          <w:p>
            <w:pPr>
              <w:spacing w:line="440" w:lineRule="exact"/>
              <w:ind w:right="-168" w:rightChars="-70" w:firstLine="96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65"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联系人</w:t>
            </w:r>
          </w:p>
        </w:tc>
        <w:tc>
          <w:tcPr>
            <w:tcW w:w="2133" w:type="dxa"/>
            <w:gridSpan w:val="2"/>
            <w:vAlign w:val="center"/>
          </w:tcPr>
          <w:p>
            <w:pPr>
              <w:spacing w:line="440" w:lineRule="exact"/>
              <w:ind w:right="-168" w:rightChars="-70" w:firstLine="960"/>
              <w:rPr>
                <w:rFonts w:hint="default" w:ascii="仿宋" w:hAnsi="仿宋" w:eastAsia="仿宋" w:cstheme="minorEastAsia"/>
              </w:rPr>
            </w:pPr>
          </w:p>
        </w:tc>
        <w:tc>
          <w:tcPr>
            <w:tcW w:w="3266" w:type="dxa"/>
            <w:gridSpan w:val="5"/>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部门职务</w:t>
            </w:r>
          </w:p>
        </w:tc>
        <w:tc>
          <w:tcPr>
            <w:tcW w:w="2695" w:type="dxa"/>
            <w:gridSpan w:val="3"/>
            <w:vAlign w:val="center"/>
          </w:tcPr>
          <w:p>
            <w:pPr>
              <w:spacing w:line="440" w:lineRule="exact"/>
              <w:ind w:right="-168" w:rightChars="-70" w:firstLine="96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665"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办公电话</w:t>
            </w:r>
          </w:p>
        </w:tc>
        <w:tc>
          <w:tcPr>
            <w:tcW w:w="2133" w:type="dxa"/>
            <w:gridSpan w:val="2"/>
            <w:vAlign w:val="center"/>
          </w:tcPr>
          <w:p>
            <w:pPr>
              <w:spacing w:line="440" w:lineRule="exact"/>
              <w:ind w:right="-168" w:rightChars="-70"/>
              <w:rPr>
                <w:rFonts w:hint="default" w:ascii="仿宋" w:hAnsi="仿宋" w:eastAsia="仿宋" w:cstheme="minorEastAsia"/>
              </w:rPr>
            </w:pPr>
          </w:p>
        </w:tc>
        <w:tc>
          <w:tcPr>
            <w:tcW w:w="3266" w:type="dxa"/>
            <w:gridSpan w:val="5"/>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手    机</w:t>
            </w:r>
          </w:p>
        </w:tc>
        <w:tc>
          <w:tcPr>
            <w:tcW w:w="2695" w:type="dxa"/>
            <w:gridSpan w:val="3"/>
            <w:vAlign w:val="center"/>
          </w:tcPr>
          <w:p>
            <w:pPr>
              <w:spacing w:line="440" w:lineRule="exact"/>
              <w:ind w:right="-168" w:rightChars="-70" w:firstLine="96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65"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传   真</w:t>
            </w:r>
          </w:p>
        </w:tc>
        <w:tc>
          <w:tcPr>
            <w:tcW w:w="2133" w:type="dxa"/>
            <w:gridSpan w:val="2"/>
            <w:vAlign w:val="center"/>
          </w:tcPr>
          <w:p>
            <w:pPr>
              <w:spacing w:line="440" w:lineRule="exact"/>
              <w:ind w:right="-168" w:rightChars="-70"/>
              <w:rPr>
                <w:rFonts w:hint="default" w:ascii="仿宋" w:hAnsi="仿宋" w:eastAsia="仿宋" w:cstheme="minorEastAsia"/>
              </w:rPr>
            </w:pPr>
          </w:p>
        </w:tc>
        <w:tc>
          <w:tcPr>
            <w:tcW w:w="3266" w:type="dxa"/>
            <w:gridSpan w:val="5"/>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电子信箱</w:t>
            </w:r>
          </w:p>
        </w:tc>
        <w:tc>
          <w:tcPr>
            <w:tcW w:w="2695" w:type="dxa"/>
            <w:gridSpan w:val="3"/>
            <w:vAlign w:val="center"/>
          </w:tcPr>
          <w:p>
            <w:pPr>
              <w:spacing w:line="440" w:lineRule="exact"/>
              <w:ind w:right="-168" w:rightChars="-70" w:firstLine="96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665"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参加培训人员</w:t>
            </w:r>
          </w:p>
        </w:tc>
        <w:tc>
          <w:tcPr>
            <w:tcW w:w="850"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性别</w:t>
            </w:r>
          </w:p>
        </w:tc>
        <w:tc>
          <w:tcPr>
            <w:tcW w:w="1283"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职务</w:t>
            </w:r>
          </w:p>
        </w:tc>
        <w:tc>
          <w:tcPr>
            <w:tcW w:w="1986"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电话</w:t>
            </w:r>
          </w:p>
        </w:tc>
        <w:tc>
          <w:tcPr>
            <w:tcW w:w="1987" w:type="dxa"/>
            <w:gridSpan w:val="5"/>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手机</w:t>
            </w:r>
          </w:p>
        </w:tc>
        <w:tc>
          <w:tcPr>
            <w:tcW w:w="1988" w:type="dxa"/>
            <w:gridSpan w:val="2"/>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65" w:type="dxa"/>
            <w:vAlign w:val="center"/>
          </w:tcPr>
          <w:p>
            <w:pPr>
              <w:spacing w:line="440" w:lineRule="exact"/>
              <w:ind w:right="-168" w:rightChars="-70"/>
              <w:rPr>
                <w:rFonts w:hint="default" w:ascii="仿宋" w:hAnsi="仿宋" w:eastAsia="仿宋" w:cstheme="minorEastAsia"/>
              </w:rPr>
            </w:pPr>
          </w:p>
        </w:tc>
        <w:tc>
          <w:tcPr>
            <w:tcW w:w="850" w:type="dxa"/>
            <w:vAlign w:val="center"/>
          </w:tcPr>
          <w:p>
            <w:pPr>
              <w:spacing w:line="440" w:lineRule="exact"/>
              <w:ind w:right="-168" w:rightChars="-70"/>
              <w:rPr>
                <w:rFonts w:hint="default" w:ascii="仿宋" w:hAnsi="仿宋" w:eastAsia="仿宋" w:cstheme="minorEastAsia"/>
              </w:rPr>
            </w:pPr>
          </w:p>
        </w:tc>
        <w:tc>
          <w:tcPr>
            <w:tcW w:w="1283" w:type="dxa"/>
            <w:vAlign w:val="center"/>
          </w:tcPr>
          <w:p>
            <w:pPr>
              <w:spacing w:line="440" w:lineRule="exact"/>
              <w:ind w:right="-168" w:rightChars="-70"/>
              <w:rPr>
                <w:rFonts w:hint="default" w:ascii="仿宋" w:hAnsi="仿宋" w:eastAsia="仿宋" w:cstheme="minorEastAsia"/>
              </w:rPr>
            </w:pPr>
          </w:p>
        </w:tc>
        <w:tc>
          <w:tcPr>
            <w:tcW w:w="1986" w:type="dxa"/>
            <w:vAlign w:val="center"/>
          </w:tcPr>
          <w:p>
            <w:pPr>
              <w:spacing w:line="440" w:lineRule="exact"/>
              <w:ind w:right="-168" w:rightChars="-70"/>
              <w:rPr>
                <w:rFonts w:hint="default" w:ascii="仿宋" w:hAnsi="仿宋" w:eastAsia="仿宋" w:cstheme="minorEastAsia"/>
              </w:rPr>
            </w:pPr>
          </w:p>
        </w:tc>
        <w:tc>
          <w:tcPr>
            <w:tcW w:w="1987" w:type="dxa"/>
            <w:gridSpan w:val="5"/>
            <w:vAlign w:val="center"/>
          </w:tcPr>
          <w:p>
            <w:pPr>
              <w:spacing w:line="440" w:lineRule="exact"/>
              <w:ind w:right="-168" w:rightChars="-70"/>
              <w:rPr>
                <w:rFonts w:hint="default" w:ascii="仿宋" w:hAnsi="仿宋" w:eastAsia="仿宋" w:cstheme="minorEastAsia"/>
              </w:rPr>
            </w:pPr>
          </w:p>
        </w:tc>
        <w:tc>
          <w:tcPr>
            <w:tcW w:w="1988" w:type="dxa"/>
            <w:gridSpan w:val="2"/>
            <w:vAlign w:val="center"/>
          </w:tcPr>
          <w:p>
            <w:pPr>
              <w:spacing w:line="440" w:lineRule="exact"/>
              <w:ind w:right="-168" w:rightChars="-70"/>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65" w:type="dxa"/>
            <w:vAlign w:val="center"/>
          </w:tcPr>
          <w:p>
            <w:pPr>
              <w:spacing w:line="440" w:lineRule="exact"/>
              <w:ind w:right="-168" w:rightChars="-70"/>
              <w:rPr>
                <w:rFonts w:hint="default" w:ascii="仿宋" w:hAnsi="仿宋" w:eastAsia="仿宋" w:cstheme="minorEastAsia"/>
              </w:rPr>
            </w:pPr>
          </w:p>
        </w:tc>
        <w:tc>
          <w:tcPr>
            <w:tcW w:w="850" w:type="dxa"/>
            <w:vAlign w:val="center"/>
          </w:tcPr>
          <w:p>
            <w:pPr>
              <w:spacing w:line="440" w:lineRule="exact"/>
              <w:ind w:right="-168" w:rightChars="-70"/>
              <w:rPr>
                <w:rFonts w:hint="default" w:ascii="仿宋" w:hAnsi="仿宋" w:eastAsia="仿宋" w:cstheme="minorEastAsia"/>
              </w:rPr>
            </w:pPr>
          </w:p>
        </w:tc>
        <w:tc>
          <w:tcPr>
            <w:tcW w:w="1283" w:type="dxa"/>
            <w:vAlign w:val="center"/>
          </w:tcPr>
          <w:p>
            <w:pPr>
              <w:spacing w:line="440" w:lineRule="exact"/>
              <w:ind w:right="-168" w:rightChars="-70"/>
              <w:rPr>
                <w:rFonts w:hint="default" w:ascii="仿宋" w:hAnsi="仿宋" w:eastAsia="仿宋" w:cstheme="minorEastAsia"/>
              </w:rPr>
            </w:pPr>
          </w:p>
        </w:tc>
        <w:tc>
          <w:tcPr>
            <w:tcW w:w="1986" w:type="dxa"/>
            <w:vAlign w:val="center"/>
          </w:tcPr>
          <w:p>
            <w:pPr>
              <w:spacing w:line="440" w:lineRule="exact"/>
              <w:ind w:right="-168" w:rightChars="-70"/>
              <w:rPr>
                <w:rFonts w:hint="default" w:ascii="仿宋" w:hAnsi="仿宋" w:eastAsia="仿宋" w:cstheme="minorEastAsia"/>
              </w:rPr>
            </w:pPr>
          </w:p>
        </w:tc>
        <w:tc>
          <w:tcPr>
            <w:tcW w:w="1987" w:type="dxa"/>
            <w:gridSpan w:val="5"/>
            <w:vAlign w:val="center"/>
          </w:tcPr>
          <w:p>
            <w:pPr>
              <w:spacing w:line="440" w:lineRule="exact"/>
              <w:ind w:right="-168" w:rightChars="-70"/>
              <w:rPr>
                <w:rFonts w:hint="default" w:ascii="仿宋" w:hAnsi="仿宋" w:eastAsia="仿宋" w:cstheme="minorEastAsia"/>
              </w:rPr>
            </w:pPr>
          </w:p>
        </w:tc>
        <w:tc>
          <w:tcPr>
            <w:tcW w:w="1988" w:type="dxa"/>
            <w:gridSpan w:val="2"/>
            <w:vAlign w:val="center"/>
          </w:tcPr>
          <w:p>
            <w:pPr>
              <w:spacing w:line="440" w:lineRule="exact"/>
              <w:ind w:right="-168" w:rightChars="-70"/>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65" w:type="dxa"/>
            <w:vAlign w:val="center"/>
          </w:tcPr>
          <w:p>
            <w:pPr>
              <w:spacing w:line="440" w:lineRule="exact"/>
              <w:ind w:right="-168" w:rightChars="-70"/>
              <w:rPr>
                <w:rFonts w:hint="default" w:ascii="仿宋" w:hAnsi="仿宋" w:eastAsia="仿宋" w:cstheme="minorEastAsia"/>
              </w:rPr>
            </w:pPr>
          </w:p>
        </w:tc>
        <w:tc>
          <w:tcPr>
            <w:tcW w:w="850" w:type="dxa"/>
            <w:vAlign w:val="center"/>
          </w:tcPr>
          <w:p>
            <w:pPr>
              <w:spacing w:line="440" w:lineRule="exact"/>
              <w:ind w:right="-168" w:rightChars="-70"/>
              <w:rPr>
                <w:rFonts w:hint="default" w:ascii="仿宋" w:hAnsi="仿宋" w:eastAsia="仿宋" w:cstheme="minorEastAsia"/>
              </w:rPr>
            </w:pPr>
          </w:p>
        </w:tc>
        <w:tc>
          <w:tcPr>
            <w:tcW w:w="1283" w:type="dxa"/>
            <w:vAlign w:val="center"/>
          </w:tcPr>
          <w:p>
            <w:pPr>
              <w:spacing w:line="440" w:lineRule="exact"/>
              <w:ind w:right="-168" w:rightChars="-70"/>
              <w:rPr>
                <w:rFonts w:hint="default" w:ascii="仿宋" w:hAnsi="仿宋" w:eastAsia="仿宋" w:cstheme="minorEastAsia"/>
              </w:rPr>
            </w:pPr>
          </w:p>
        </w:tc>
        <w:tc>
          <w:tcPr>
            <w:tcW w:w="1986" w:type="dxa"/>
            <w:vAlign w:val="center"/>
          </w:tcPr>
          <w:p>
            <w:pPr>
              <w:spacing w:line="440" w:lineRule="exact"/>
              <w:ind w:right="-168" w:rightChars="-70"/>
              <w:rPr>
                <w:rFonts w:hint="default" w:ascii="仿宋" w:hAnsi="仿宋" w:eastAsia="仿宋" w:cstheme="minorEastAsia"/>
              </w:rPr>
            </w:pPr>
          </w:p>
        </w:tc>
        <w:tc>
          <w:tcPr>
            <w:tcW w:w="1987" w:type="dxa"/>
            <w:gridSpan w:val="5"/>
            <w:vAlign w:val="center"/>
          </w:tcPr>
          <w:p>
            <w:pPr>
              <w:spacing w:line="440" w:lineRule="exact"/>
              <w:ind w:right="-168" w:rightChars="-70"/>
              <w:rPr>
                <w:rFonts w:hint="default" w:ascii="仿宋" w:hAnsi="仿宋" w:eastAsia="仿宋" w:cstheme="minorEastAsia"/>
              </w:rPr>
            </w:pPr>
          </w:p>
        </w:tc>
        <w:tc>
          <w:tcPr>
            <w:tcW w:w="1988" w:type="dxa"/>
            <w:gridSpan w:val="2"/>
            <w:vAlign w:val="center"/>
          </w:tcPr>
          <w:p>
            <w:pPr>
              <w:spacing w:line="440" w:lineRule="exact"/>
              <w:ind w:right="-168" w:rightChars="-70"/>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65" w:type="dxa"/>
            <w:vAlign w:val="center"/>
          </w:tcPr>
          <w:p>
            <w:pPr>
              <w:spacing w:line="440" w:lineRule="exact"/>
              <w:ind w:right="-168" w:rightChars="-70"/>
              <w:rPr>
                <w:rFonts w:hint="default" w:ascii="仿宋" w:hAnsi="仿宋" w:eastAsia="仿宋" w:cstheme="minorEastAsia"/>
              </w:rPr>
            </w:pPr>
          </w:p>
        </w:tc>
        <w:tc>
          <w:tcPr>
            <w:tcW w:w="850" w:type="dxa"/>
            <w:vAlign w:val="center"/>
          </w:tcPr>
          <w:p>
            <w:pPr>
              <w:spacing w:line="440" w:lineRule="exact"/>
              <w:ind w:right="-168" w:rightChars="-70"/>
              <w:rPr>
                <w:rFonts w:hint="default" w:ascii="仿宋" w:hAnsi="仿宋" w:eastAsia="仿宋" w:cstheme="minorEastAsia"/>
              </w:rPr>
            </w:pPr>
          </w:p>
        </w:tc>
        <w:tc>
          <w:tcPr>
            <w:tcW w:w="1283" w:type="dxa"/>
            <w:vAlign w:val="center"/>
          </w:tcPr>
          <w:p>
            <w:pPr>
              <w:spacing w:line="440" w:lineRule="exact"/>
              <w:ind w:right="-168" w:rightChars="-70"/>
              <w:rPr>
                <w:rFonts w:hint="default" w:ascii="仿宋" w:hAnsi="仿宋" w:eastAsia="仿宋" w:cstheme="minorEastAsia"/>
              </w:rPr>
            </w:pPr>
          </w:p>
        </w:tc>
        <w:tc>
          <w:tcPr>
            <w:tcW w:w="1986" w:type="dxa"/>
            <w:vAlign w:val="center"/>
          </w:tcPr>
          <w:p>
            <w:pPr>
              <w:spacing w:line="440" w:lineRule="exact"/>
              <w:ind w:right="-168" w:rightChars="-70"/>
              <w:rPr>
                <w:rFonts w:hint="default" w:ascii="仿宋" w:hAnsi="仿宋" w:eastAsia="仿宋" w:cstheme="minorEastAsia"/>
              </w:rPr>
            </w:pPr>
          </w:p>
        </w:tc>
        <w:tc>
          <w:tcPr>
            <w:tcW w:w="1987" w:type="dxa"/>
            <w:gridSpan w:val="5"/>
            <w:vAlign w:val="center"/>
          </w:tcPr>
          <w:p>
            <w:pPr>
              <w:spacing w:line="440" w:lineRule="exact"/>
              <w:ind w:right="-168" w:rightChars="-70"/>
              <w:rPr>
                <w:rFonts w:hint="default" w:ascii="仿宋" w:hAnsi="仿宋" w:eastAsia="仿宋" w:cstheme="minorEastAsia"/>
              </w:rPr>
            </w:pPr>
          </w:p>
        </w:tc>
        <w:tc>
          <w:tcPr>
            <w:tcW w:w="1988" w:type="dxa"/>
            <w:gridSpan w:val="2"/>
            <w:vAlign w:val="center"/>
          </w:tcPr>
          <w:p>
            <w:pPr>
              <w:spacing w:line="440" w:lineRule="exact"/>
              <w:ind w:right="-168" w:rightChars="-70"/>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665" w:type="dxa"/>
            <w:vAlign w:val="center"/>
          </w:tcPr>
          <w:p>
            <w:pPr>
              <w:spacing w:line="440" w:lineRule="exact"/>
              <w:ind w:right="-168" w:rightChars="-70" w:firstLine="240" w:firstLineChars="100"/>
              <w:rPr>
                <w:rFonts w:hint="default" w:ascii="仿宋" w:hAnsi="仿宋" w:eastAsia="仿宋" w:cstheme="minorEastAsia"/>
                <w:color w:val="FF0000"/>
              </w:rPr>
            </w:pPr>
            <w:r>
              <w:rPr>
                <w:rFonts w:ascii="仿宋" w:hAnsi="仿宋" w:eastAsia="仿宋" w:cstheme="minorEastAsia"/>
                <w:color w:val="000000"/>
              </w:rPr>
              <w:t>参会地点</w:t>
            </w:r>
          </w:p>
        </w:tc>
        <w:tc>
          <w:tcPr>
            <w:tcW w:w="2133" w:type="dxa"/>
            <w:gridSpan w:val="2"/>
            <w:vAlign w:val="center"/>
          </w:tcPr>
          <w:p>
            <w:pPr>
              <w:spacing w:line="440" w:lineRule="exact"/>
              <w:ind w:right="-168" w:rightChars="-70" w:firstLine="960" w:firstLineChars="400"/>
              <w:rPr>
                <w:rFonts w:hint="default" w:ascii="仿宋" w:hAnsi="仿宋" w:eastAsia="仿宋" w:cstheme="minorEastAsia"/>
                <w:color w:val="FF0000"/>
              </w:rPr>
            </w:pPr>
          </w:p>
        </w:tc>
        <w:tc>
          <w:tcPr>
            <w:tcW w:w="1986" w:type="dxa"/>
            <w:vAlign w:val="center"/>
          </w:tcPr>
          <w:p>
            <w:pPr>
              <w:spacing w:line="440" w:lineRule="exact"/>
              <w:ind w:right="-168" w:rightChars="-70" w:firstLine="360" w:firstLineChars="150"/>
              <w:rPr>
                <w:rFonts w:hint="default" w:ascii="仿宋" w:hAnsi="仿宋" w:eastAsia="仿宋" w:cstheme="minorEastAsia"/>
                <w:color w:val="000000"/>
              </w:rPr>
            </w:pPr>
            <w:r>
              <w:rPr>
                <w:rFonts w:ascii="仿宋" w:hAnsi="仿宋" w:eastAsia="仿宋" w:cstheme="minorEastAsia"/>
                <w:color w:val="000000"/>
              </w:rPr>
              <w:t>证书申报</w:t>
            </w:r>
          </w:p>
        </w:tc>
        <w:tc>
          <w:tcPr>
            <w:tcW w:w="3975" w:type="dxa"/>
            <w:gridSpan w:val="7"/>
            <w:vAlign w:val="center"/>
          </w:tcPr>
          <w:p>
            <w:pPr>
              <w:spacing w:line="440" w:lineRule="exact"/>
              <w:ind w:right="-168" w:rightChars="-70"/>
              <w:rPr>
                <w:rFonts w:hint="default" w:ascii="仿宋" w:hAnsi="仿宋" w:eastAsia="仿宋" w:cstheme="minorEastAsia"/>
                <w:color w:val="000000"/>
              </w:rPr>
            </w:pPr>
            <w:r>
              <w:rPr>
                <w:rFonts w:ascii="仿宋" w:hAnsi="仿宋" w:eastAsia="仿宋" w:cstheme="minorEastAsia"/>
                <w:color w:val="000000"/>
              </w:rPr>
              <w:t xml:space="preserve">《投融资管理师》  </w:t>
            </w:r>
            <w:r>
              <w:rPr>
                <w:rFonts w:ascii="仿宋" w:hAnsi="仿宋" w:eastAsia="仿宋" w:cstheme="minorEastAsia"/>
              </w:rPr>
              <w:t>□</w:t>
            </w:r>
          </w:p>
          <w:p>
            <w:pPr>
              <w:spacing w:line="440" w:lineRule="exact"/>
              <w:ind w:right="-168" w:rightChars="-70"/>
              <w:rPr>
                <w:rFonts w:hint="default" w:ascii="仿宋" w:hAnsi="仿宋" w:eastAsia="仿宋" w:cstheme="minorEastAsia"/>
                <w:color w:val="000000"/>
              </w:rPr>
            </w:pPr>
            <w:r>
              <w:rPr>
                <w:rFonts w:ascii="仿宋" w:hAnsi="仿宋" w:eastAsia="仿宋" w:cstheme="minorEastAsia"/>
                <w:color w:val="000000"/>
              </w:rPr>
              <w:t>《金融风险管理师》</w:t>
            </w:r>
            <w:r>
              <w:rPr>
                <w:rFonts w:ascii="仿宋" w:hAnsi="仿宋" w:eastAsia="仿宋" w:cs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665"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标准选项</w:t>
            </w:r>
          </w:p>
        </w:tc>
        <w:tc>
          <w:tcPr>
            <w:tcW w:w="8094" w:type="dxa"/>
            <w:gridSpan w:val="10"/>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A：2980元□       B：3980元□     C：5980元□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65" w:type="dxa"/>
          </w:tcPr>
          <w:p>
            <w:pPr>
              <w:spacing w:line="440" w:lineRule="exact"/>
              <w:ind w:right="-168" w:rightChars="-70"/>
              <w:jc w:val="center"/>
              <w:rPr>
                <w:rFonts w:hint="default" w:ascii="仿宋" w:hAnsi="仿宋" w:eastAsia="仿宋" w:cstheme="minorEastAsia"/>
              </w:rPr>
            </w:pPr>
            <w:r>
              <w:rPr>
                <w:rFonts w:ascii="仿宋" w:hAnsi="仿宋" w:eastAsia="仿宋" w:cstheme="minorEastAsia"/>
              </w:rPr>
              <w:t>付款方式</w:t>
            </w:r>
          </w:p>
        </w:tc>
        <w:tc>
          <w:tcPr>
            <w:tcW w:w="4277" w:type="dxa"/>
            <w:gridSpan w:val="4"/>
          </w:tcPr>
          <w:p>
            <w:pPr>
              <w:widowControl/>
              <w:spacing w:line="440" w:lineRule="exact"/>
              <w:ind w:right="-168" w:rightChars="-70"/>
              <w:jc w:val="center"/>
              <w:rPr>
                <w:rFonts w:hint="default" w:ascii="仿宋" w:hAnsi="仿宋" w:eastAsia="仿宋" w:cstheme="minorEastAsia"/>
              </w:rPr>
            </w:pPr>
            <w:r>
              <w:rPr>
                <w:rFonts w:ascii="仿宋" w:hAnsi="仿宋" w:eastAsia="仿宋" w:cstheme="minorEastAsia"/>
              </w:rPr>
              <w:t xml:space="preserve">□银行     □网银 </w:t>
            </w:r>
          </w:p>
        </w:tc>
        <w:tc>
          <w:tcPr>
            <w:tcW w:w="997" w:type="dxa"/>
            <w:gridSpan w:val="2"/>
          </w:tcPr>
          <w:p>
            <w:pPr>
              <w:widowControl/>
              <w:spacing w:line="440" w:lineRule="exact"/>
              <w:ind w:right="-168" w:rightChars="-70"/>
              <w:jc w:val="center"/>
              <w:rPr>
                <w:rFonts w:hint="default" w:ascii="仿宋" w:hAnsi="仿宋" w:eastAsia="仿宋" w:cstheme="minorEastAsia"/>
              </w:rPr>
            </w:pPr>
            <w:r>
              <w:rPr>
                <w:rFonts w:ascii="仿宋" w:hAnsi="仿宋" w:eastAsia="仿宋" w:cstheme="minorEastAsia"/>
              </w:rPr>
              <w:t>金额</w:t>
            </w:r>
          </w:p>
        </w:tc>
        <w:tc>
          <w:tcPr>
            <w:tcW w:w="2820" w:type="dxa"/>
            <w:gridSpan w:val="4"/>
          </w:tcPr>
          <w:p>
            <w:pPr>
              <w:widowControl/>
              <w:spacing w:line="440" w:lineRule="exact"/>
              <w:ind w:right="-168" w:rightChars="-7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665"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需要与专家</w:t>
            </w:r>
          </w:p>
          <w:p>
            <w:pPr>
              <w:spacing w:line="440" w:lineRule="exact"/>
              <w:ind w:right="-168" w:rightChars="-70"/>
              <w:jc w:val="center"/>
              <w:rPr>
                <w:rFonts w:hint="default" w:ascii="仿宋" w:hAnsi="仿宋" w:eastAsia="仿宋" w:cstheme="minorEastAsia"/>
              </w:rPr>
            </w:pPr>
            <w:r>
              <w:rPr>
                <w:rFonts w:ascii="仿宋" w:hAnsi="仿宋" w:eastAsia="仿宋" w:cstheme="minorEastAsia"/>
              </w:rPr>
              <w:t>沟通的问题</w:t>
            </w:r>
          </w:p>
        </w:tc>
        <w:tc>
          <w:tcPr>
            <w:tcW w:w="8094" w:type="dxa"/>
            <w:gridSpan w:val="10"/>
          </w:tcPr>
          <w:p>
            <w:pPr>
              <w:widowControl/>
              <w:spacing w:line="440" w:lineRule="exact"/>
              <w:ind w:right="-168" w:rightChars="-7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1665" w:type="dxa"/>
            <w:vAlign w:val="center"/>
          </w:tcPr>
          <w:p>
            <w:pPr>
              <w:spacing w:line="440" w:lineRule="exact"/>
              <w:ind w:right="-168" w:rightChars="-70"/>
              <w:jc w:val="center"/>
              <w:rPr>
                <w:rFonts w:hint="default" w:ascii="仿宋" w:hAnsi="仿宋" w:eastAsia="仿宋" w:cstheme="minorEastAsia"/>
                <w:highlight w:val="yellow"/>
              </w:rPr>
            </w:pPr>
            <w:r>
              <w:rPr>
                <w:rFonts w:ascii="仿宋" w:hAnsi="仿宋" w:eastAsia="仿宋" w:cstheme="minorEastAsia"/>
                <w:lang w:val="zh-CN"/>
              </w:rPr>
              <w:t>收款账户</w:t>
            </w:r>
          </w:p>
        </w:tc>
        <w:tc>
          <w:tcPr>
            <w:tcW w:w="8094" w:type="dxa"/>
            <w:gridSpan w:val="10"/>
            <w:vAlign w:val="center"/>
          </w:tcPr>
          <w:p>
            <w:pPr>
              <w:widowControl/>
              <w:spacing w:line="440" w:lineRule="exact"/>
              <w:rPr>
                <w:rFonts w:hint="default" w:ascii="仿宋" w:hAnsi="仿宋" w:eastAsia="仿宋" w:cs="仿宋"/>
                <w:lang w:val="zh-CN"/>
              </w:rPr>
            </w:pPr>
            <w:r>
              <w:rPr>
                <w:rFonts w:ascii="仿宋" w:hAnsi="仿宋" w:eastAsia="仿宋" w:cs="仿宋"/>
                <w:lang w:val="zh-CN"/>
              </w:rPr>
              <w:t xml:space="preserve">单位名称： 北京中建科信管理咨询集团有限公司 </w:t>
            </w:r>
          </w:p>
          <w:p>
            <w:pPr>
              <w:widowControl/>
              <w:spacing w:line="440" w:lineRule="exact"/>
              <w:rPr>
                <w:rFonts w:hint="default" w:ascii="仿宋" w:hAnsi="仿宋" w:eastAsia="仿宋" w:cs="仿宋"/>
                <w:lang w:val="zh-CN"/>
              </w:rPr>
            </w:pPr>
            <w:r>
              <w:rPr>
                <w:rFonts w:ascii="仿宋" w:hAnsi="仿宋" w:eastAsia="仿宋" w:cs="仿宋"/>
                <w:lang w:val="zh-CN"/>
              </w:rPr>
              <w:t xml:space="preserve">开 户 行： 中国工商银行股份有限公司北京半壁店支行 </w:t>
            </w:r>
          </w:p>
          <w:p>
            <w:pPr>
              <w:widowControl/>
              <w:spacing w:line="440" w:lineRule="exact"/>
              <w:rPr>
                <w:rFonts w:hint="default" w:ascii="仿宋" w:hAnsi="仿宋" w:eastAsia="仿宋" w:cstheme="minorEastAsia"/>
                <w:sz w:val="28"/>
                <w:szCs w:val="28"/>
                <w:highlight w:val="yellow"/>
              </w:rPr>
            </w:pPr>
            <w:r>
              <w:rPr>
                <w:rFonts w:ascii="仿宋" w:hAnsi="仿宋" w:eastAsia="仿宋" w:cs="仿宋"/>
                <w:lang w:val="zh-CN"/>
              </w:rPr>
              <w:t>账    号： 0200247009200068235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665" w:type="dxa"/>
            <w:vAlign w:val="center"/>
          </w:tcPr>
          <w:p>
            <w:pPr>
              <w:spacing w:line="440" w:lineRule="exact"/>
              <w:ind w:right="-168" w:rightChars="-70"/>
              <w:jc w:val="center"/>
              <w:rPr>
                <w:rFonts w:hint="default" w:ascii="仿宋" w:hAnsi="仿宋" w:eastAsia="仿宋" w:cstheme="minorEastAsia"/>
                <w:b/>
                <w:bCs/>
              </w:rPr>
            </w:pPr>
            <w:r>
              <w:rPr>
                <w:rFonts w:ascii="仿宋" w:hAnsi="仿宋" w:eastAsia="仿宋" w:cstheme="minorEastAsia"/>
              </w:rPr>
              <w:t>备注</w:t>
            </w:r>
          </w:p>
        </w:tc>
        <w:tc>
          <w:tcPr>
            <w:tcW w:w="4860" w:type="dxa"/>
            <w:gridSpan w:val="5"/>
            <w:vAlign w:val="center"/>
          </w:tcPr>
          <w:p>
            <w:pPr>
              <w:spacing w:line="440" w:lineRule="exact"/>
              <w:ind w:right="-168" w:rightChars="-70"/>
              <w:rPr>
                <w:rFonts w:hint="default" w:ascii="仿宋" w:hAnsi="仿宋" w:eastAsia="仿宋" w:cstheme="minorEastAsia"/>
              </w:rPr>
            </w:pPr>
            <w:r>
              <w:rPr>
                <w:rFonts w:ascii="仿宋" w:hAnsi="仿宋" w:eastAsia="仿宋" w:cstheme="minorEastAsia"/>
              </w:rPr>
              <w:t>请将《报名回执表》回传至会务组，并在报名</w:t>
            </w:r>
          </w:p>
          <w:p>
            <w:pPr>
              <w:spacing w:line="440" w:lineRule="exact"/>
              <w:ind w:right="-168" w:rightChars="-70"/>
              <w:rPr>
                <w:rFonts w:hint="default" w:ascii="仿宋" w:hAnsi="仿宋" w:eastAsia="仿宋" w:cstheme="minorEastAsia"/>
              </w:rPr>
            </w:pPr>
            <w:r>
              <w:rPr>
                <w:rFonts w:ascii="仿宋" w:hAnsi="仿宋" w:eastAsia="仿宋" w:cstheme="minorEastAsia"/>
              </w:rPr>
              <w:t>3日内办理培训费汇款，会务组确认到款后即发</w:t>
            </w:r>
          </w:p>
          <w:p>
            <w:pPr>
              <w:spacing w:line="440" w:lineRule="exact"/>
              <w:ind w:right="-168" w:rightChars="-70"/>
              <w:rPr>
                <w:rFonts w:hint="default" w:ascii="仿宋" w:hAnsi="仿宋" w:eastAsia="仿宋" w:cstheme="minorEastAsia"/>
              </w:rPr>
            </w:pPr>
            <w:r>
              <w:rPr>
                <w:rFonts w:ascii="仿宋" w:hAnsi="仿宋" w:eastAsia="仿宋" w:cstheme="minorEastAsia"/>
              </w:rPr>
              <w:t>《参会凭证》，详细说明培训安排具体事项。</w:t>
            </w:r>
          </w:p>
        </w:tc>
        <w:tc>
          <w:tcPr>
            <w:tcW w:w="3234" w:type="dxa"/>
            <w:gridSpan w:val="5"/>
            <w:vAlign w:val="center"/>
          </w:tcPr>
          <w:p>
            <w:pPr>
              <w:spacing w:line="440" w:lineRule="exact"/>
              <w:ind w:right="-168" w:rightChars="-70" w:firstLine="1080" w:firstLineChars="450"/>
              <w:rPr>
                <w:rFonts w:hint="default" w:ascii="仿宋" w:hAnsi="仿宋" w:eastAsia="仿宋" w:cstheme="minorEastAsia"/>
              </w:rPr>
            </w:pPr>
            <w:r>
              <w:rPr>
                <w:rFonts w:ascii="仿宋" w:hAnsi="仿宋" w:eastAsia="仿宋" w:cstheme="minorEastAsia"/>
              </w:rPr>
              <w:t>单位印章</w:t>
            </w:r>
          </w:p>
          <w:p>
            <w:pPr>
              <w:spacing w:line="440" w:lineRule="exact"/>
              <w:ind w:right="-168" w:rightChars="-70" w:firstLine="480" w:firstLineChars="200"/>
              <w:rPr>
                <w:rFonts w:hint="default" w:ascii="仿宋" w:hAnsi="仿宋" w:eastAsia="仿宋" w:cstheme="minorEastAsia"/>
              </w:rPr>
            </w:pPr>
            <w:r>
              <w:rPr>
                <w:rFonts w:ascii="仿宋" w:hAnsi="仿宋" w:eastAsia="仿宋" w:cstheme="minorEastAsia"/>
              </w:rPr>
              <w:t>2021年    月    日</w:t>
            </w:r>
          </w:p>
        </w:tc>
      </w:tr>
    </w:tbl>
    <w:p>
      <w:pPr>
        <w:autoSpaceDE/>
        <w:autoSpaceDN/>
        <w:adjustRightInd/>
        <w:spacing w:line="440" w:lineRule="exact"/>
        <w:ind w:right="-168" w:rightChars="-70"/>
        <w:rPr>
          <w:rFonts w:hint="eastAsia" w:ascii="宋体" w:hAnsi="宋体" w:eastAsia="宋体" w:cs="宋体"/>
          <w:sz w:val="28"/>
          <w:szCs w:val="28"/>
        </w:rPr>
      </w:pPr>
      <w:r>
        <w:rPr>
          <w:rFonts w:hint="eastAsia" w:ascii="宋体" w:hAnsi="宋体" w:eastAsia="宋体" w:cs="宋体"/>
          <w:sz w:val="28"/>
          <w:szCs w:val="28"/>
        </w:rPr>
        <w:t xml:space="preserve">报名负责人：聂红军 主任18211071700（微信）   </w:t>
      </w:r>
    </w:p>
    <w:p>
      <w:pPr>
        <w:autoSpaceDE/>
        <w:autoSpaceDN/>
        <w:adjustRightInd/>
        <w:spacing w:line="440" w:lineRule="exact"/>
        <w:ind w:right="-168" w:rightChars="-70"/>
        <w:rPr>
          <w:rFonts w:hint="eastAsia" w:ascii="宋体" w:hAnsi="宋体" w:eastAsia="宋体" w:cs="宋体"/>
          <w:sz w:val="28"/>
          <w:szCs w:val="28"/>
        </w:rPr>
      </w:pPr>
      <w:r>
        <w:rPr>
          <w:rFonts w:hint="eastAsia" w:ascii="宋体" w:hAnsi="宋体" w:eastAsia="宋体" w:cs="宋体"/>
          <w:sz w:val="28"/>
          <w:szCs w:val="28"/>
        </w:rPr>
        <w:t xml:space="preserve">电    话：010-87697580                 邮  箱：zqgphwz@126.com  </w:t>
      </w:r>
    </w:p>
    <w:p>
      <w:pPr>
        <w:autoSpaceDE/>
        <w:autoSpaceDN/>
        <w:adjustRightInd/>
        <w:spacing w:line="440" w:lineRule="exact"/>
        <w:ind w:right="-168" w:rightChars="-70"/>
        <w:rPr>
          <w:rFonts w:hint="default" w:ascii="仿宋" w:hAnsi="仿宋" w:eastAsia="仿宋" w:cstheme="minorEastAsia"/>
          <w:szCs w:val="22"/>
        </w:rPr>
      </w:pPr>
      <w:r>
        <w:rPr>
          <w:rFonts w:hint="eastAsia" w:ascii="宋体" w:hAnsi="宋体" w:eastAsia="宋体" w:cs="宋体"/>
          <w:sz w:val="28"/>
          <w:szCs w:val="28"/>
        </w:rPr>
        <w:t>网址查询：http://www.zqgpchina.cn/     qq咨询：3177524020</w:t>
      </w:r>
      <w:r>
        <w:rPr>
          <w:rFonts w:hint="eastAsia" w:ascii="仿宋_GB2312" w:eastAsia="仿宋_GB2312"/>
          <w:szCs w:val="22"/>
        </w:rPr>
        <w:t xml:space="preserve">  </w:t>
      </w:r>
    </w:p>
    <w:sectPr>
      <w:footerReference r:id="rId3" w:type="default"/>
      <w:pgSz w:w="11906" w:h="16838"/>
      <w:pgMar w:top="1440" w:right="1576" w:bottom="1440" w:left="1576"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111BB"/>
    <w:rsid w:val="00023D51"/>
    <w:rsid w:val="00035C2D"/>
    <w:rsid w:val="00067BD4"/>
    <w:rsid w:val="00093904"/>
    <w:rsid w:val="0009632B"/>
    <w:rsid w:val="000A20EB"/>
    <w:rsid w:val="000A7220"/>
    <w:rsid w:val="000A7831"/>
    <w:rsid w:val="000B5CF0"/>
    <w:rsid w:val="000E468A"/>
    <w:rsid w:val="000F0735"/>
    <w:rsid w:val="001035D1"/>
    <w:rsid w:val="001320AD"/>
    <w:rsid w:val="0014146F"/>
    <w:rsid w:val="00156D13"/>
    <w:rsid w:val="00171C47"/>
    <w:rsid w:val="00172FAF"/>
    <w:rsid w:val="001A1960"/>
    <w:rsid w:val="001A20D8"/>
    <w:rsid w:val="001A4683"/>
    <w:rsid w:val="001B15FC"/>
    <w:rsid w:val="001C423C"/>
    <w:rsid w:val="001D03C8"/>
    <w:rsid w:val="001D5820"/>
    <w:rsid w:val="001E7CDF"/>
    <w:rsid w:val="001F1A19"/>
    <w:rsid w:val="001F266D"/>
    <w:rsid w:val="001F2CC6"/>
    <w:rsid w:val="001F5DBA"/>
    <w:rsid w:val="002016D4"/>
    <w:rsid w:val="00262218"/>
    <w:rsid w:val="002646BE"/>
    <w:rsid w:val="002733FA"/>
    <w:rsid w:val="002919D3"/>
    <w:rsid w:val="002A349F"/>
    <w:rsid w:val="002A5354"/>
    <w:rsid w:val="002B53F2"/>
    <w:rsid w:val="002D124A"/>
    <w:rsid w:val="002D7C2D"/>
    <w:rsid w:val="002E23AC"/>
    <w:rsid w:val="002E252B"/>
    <w:rsid w:val="002E68A3"/>
    <w:rsid w:val="003018BD"/>
    <w:rsid w:val="00301960"/>
    <w:rsid w:val="003025AF"/>
    <w:rsid w:val="00303B6C"/>
    <w:rsid w:val="00310991"/>
    <w:rsid w:val="00360AC6"/>
    <w:rsid w:val="00366D1D"/>
    <w:rsid w:val="003A143C"/>
    <w:rsid w:val="003B1F67"/>
    <w:rsid w:val="003B3EB7"/>
    <w:rsid w:val="003D3698"/>
    <w:rsid w:val="003E36E5"/>
    <w:rsid w:val="003F712A"/>
    <w:rsid w:val="0041034A"/>
    <w:rsid w:val="004127EC"/>
    <w:rsid w:val="0042016E"/>
    <w:rsid w:val="0042243A"/>
    <w:rsid w:val="00434663"/>
    <w:rsid w:val="00444929"/>
    <w:rsid w:val="00450BE4"/>
    <w:rsid w:val="004763CA"/>
    <w:rsid w:val="00490AAB"/>
    <w:rsid w:val="00495BA6"/>
    <w:rsid w:val="004A0262"/>
    <w:rsid w:val="004A6A62"/>
    <w:rsid w:val="004B699A"/>
    <w:rsid w:val="004C0FD2"/>
    <w:rsid w:val="004C2C6B"/>
    <w:rsid w:val="004E28AE"/>
    <w:rsid w:val="0050140A"/>
    <w:rsid w:val="00507BEB"/>
    <w:rsid w:val="00510FDD"/>
    <w:rsid w:val="0052322D"/>
    <w:rsid w:val="00525627"/>
    <w:rsid w:val="005258A8"/>
    <w:rsid w:val="005575C8"/>
    <w:rsid w:val="00564065"/>
    <w:rsid w:val="00581594"/>
    <w:rsid w:val="005A0E7F"/>
    <w:rsid w:val="005A7E85"/>
    <w:rsid w:val="005C63A3"/>
    <w:rsid w:val="005E5393"/>
    <w:rsid w:val="005F7916"/>
    <w:rsid w:val="006011E8"/>
    <w:rsid w:val="00601C30"/>
    <w:rsid w:val="00605B40"/>
    <w:rsid w:val="006068B5"/>
    <w:rsid w:val="00616606"/>
    <w:rsid w:val="00623CB5"/>
    <w:rsid w:val="00657822"/>
    <w:rsid w:val="00661261"/>
    <w:rsid w:val="00663868"/>
    <w:rsid w:val="00670351"/>
    <w:rsid w:val="00671816"/>
    <w:rsid w:val="00672D7A"/>
    <w:rsid w:val="00696DB7"/>
    <w:rsid w:val="006A355D"/>
    <w:rsid w:val="006D6D3A"/>
    <w:rsid w:val="006E23D4"/>
    <w:rsid w:val="006F10FB"/>
    <w:rsid w:val="006F117C"/>
    <w:rsid w:val="006F58F0"/>
    <w:rsid w:val="00706D80"/>
    <w:rsid w:val="00724E89"/>
    <w:rsid w:val="00725132"/>
    <w:rsid w:val="007326A8"/>
    <w:rsid w:val="00734A9F"/>
    <w:rsid w:val="00742394"/>
    <w:rsid w:val="00760628"/>
    <w:rsid w:val="0076246C"/>
    <w:rsid w:val="0078469F"/>
    <w:rsid w:val="00786320"/>
    <w:rsid w:val="00786656"/>
    <w:rsid w:val="0079109A"/>
    <w:rsid w:val="007A06B7"/>
    <w:rsid w:val="007B7767"/>
    <w:rsid w:val="007F29DF"/>
    <w:rsid w:val="007F5FC8"/>
    <w:rsid w:val="00806B9B"/>
    <w:rsid w:val="00832BCD"/>
    <w:rsid w:val="008334D8"/>
    <w:rsid w:val="00836D30"/>
    <w:rsid w:val="00842479"/>
    <w:rsid w:val="00843C21"/>
    <w:rsid w:val="0084500E"/>
    <w:rsid w:val="008517C1"/>
    <w:rsid w:val="0085248F"/>
    <w:rsid w:val="008560B9"/>
    <w:rsid w:val="00860964"/>
    <w:rsid w:val="00870AC6"/>
    <w:rsid w:val="00874B8D"/>
    <w:rsid w:val="00881445"/>
    <w:rsid w:val="00882120"/>
    <w:rsid w:val="008A39AB"/>
    <w:rsid w:val="008B199B"/>
    <w:rsid w:val="008B3631"/>
    <w:rsid w:val="008E378E"/>
    <w:rsid w:val="008E49F9"/>
    <w:rsid w:val="008E633F"/>
    <w:rsid w:val="008E79C6"/>
    <w:rsid w:val="00903625"/>
    <w:rsid w:val="009046C5"/>
    <w:rsid w:val="009176A2"/>
    <w:rsid w:val="00920D6E"/>
    <w:rsid w:val="00925ADE"/>
    <w:rsid w:val="009308F0"/>
    <w:rsid w:val="00930C9B"/>
    <w:rsid w:val="009472B7"/>
    <w:rsid w:val="009477CB"/>
    <w:rsid w:val="00956E6B"/>
    <w:rsid w:val="00957A5B"/>
    <w:rsid w:val="009601BE"/>
    <w:rsid w:val="00962D0E"/>
    <w:rsid w:val="00963D3B"/>
    <w:rsid w:val="00971829"/>
    <w:rsid w:val="00972342"/>
    <w:rsid w:val="00981D3A"/>
    <w:rsid w:val="009A4718"/>
    <w:rsid w:val="009A49E4"/>
    <w:rsid w:val="009A52D4"/>
    <w:rsid w:val="009C7651"/>
    <w:rsid w:val="009E25AE"/>
    <w:rsid w:val="009E5B39"/>
    <w:rsid w:val="009E6800"/>
    <w:rsid w:val="00A0339F"/>
    <w:rsid w:val="00A0763E"/>
    <w:rsid w:val="00A108B9"/>
    <w:rsid w:val="00A17C72"/>
    <w:rsid w:val="00A21947"/>
    <w:rsid w:val="00A274C6"/>
    <w:rsid w:val="00A3394E"/>
    <w:rsid w:val="00A3530F"/>
    <w:rsid w:val="00A35324"/>
    <w:rsid w:val="00A416DE"/>
    <w:rsid w:val="00A53C76"/>
    <w:rsid w:val="00A55121"/>
    <w:rsid w:val="00A6651E"/>
    <w:rsid w:val="00A76A48"/>
    <w:rsid w:val="00A826E7"/>
    <w:rsid w:val="00AB4C35"/>
    <w:rsid w:val="00AD0C45"/>
    <w:rsid w:val="00AD6D25"/>
    <w:rsid w:val="00AE1F3C"/>
    <w:rsid w:val="00AF6597"/>
    <w:rsid w:val="00B003D5"/>
    <w:rsid w:val="00B0351C"/>
    <w:rsid w:val="00B06D87"/>
    <w:rsid w:val="00B1108B"/>
    <w:rsid w:val="00B15D34"/>
    <w:rsid w:val="00B16691"/>
    <w:rsid w:val="00B71240"/>
    <w:rsid w:val="00B73582"/>
    <w:rsid w:val="00B769B0"/>
    <w:rsid w:val="00B8231B"/>
    <w:rsid w:val="00B865F7"/>
    <w:rsid w:val="00B87A6C"/>
    <w:rsid w:val="00B953A2"/>
    <w:rsid w:val="00BC37A5"/>
    <w:rsid w:val="00BD17BD"/>
    <w:rsid w:val="00BD2B45"/>
    <w:rsid w:val="00BD7EFC"/>
    <w:rsid w:val="00BE0FB0"/>
    <w:rsid w:val="00BE3CD3"/>
    <w:rsid w:val="00BF1D42"/>
    <w:rsid w:val="00C10B2E"/>
    <w:rsid w:val="00C123AB"/>
    <w:rsid w:val="00C234E4"/>
    <w:rsid w:val="00C35E81"/>
    <w:rsid w:val="00C44BC1"/>
    <w:rsid w:val="00C51B99"/>
    <w:rsid w:val="00C5747F"/>
    <w:rsid w:val="00C660E6"/>
    <w:rsid w:val="00C66D4B"/>
    <w:rsid w:val="00C71D50"/>
    <w:rsid w:val="00C73B37"/>
    <w:rsid w:val="00C7524A"/>
    <w:rsid w:val="00C812FB"/>
    <w:rsid w:val="00C81D09"/>
    <w:rsid w:val="00C83B57"/>
    <w:rsid w:val="00C96EFB"/>
    <w:rsid w:val="00CA1733"/>
    <w:rsid w:val="00CA7942"/>
    <w:rsid w:val="00CB06D7"/>
    <w:rsid w:val="00CB5C68"/>
    <w:rsid w:val="00CC7EFC"/>
    <w:rsid w:val="00CE67E2"/>
    <w:rsid w:val="00CF09F0"/>
    <w:rsid w:val="00CF1181"/>
    <w:rsid w:val="00CF790B"/>
    <w:rsid w:val="00CF7E18"/>
    <w:rsid w:val="00D220F3"/>
    <w:rsid w:val="00D30160"/>
    <w:rsid w:val="00D33D09"/>
    <w:rsid w:val="00D47982"/>
    <w:rsid w:val="00D55CD9"/>
    <w:rsid w:val="00D57003"/>
    <w:rsid w:val="00D74547"/>
    <w:rsid w:val="00D75F76"/>
    <w:rsid w:val="00D87B96"/>
    <w:rsid w:val="00D975AC"/>
    <w:rsid w:val="00DA154B"/>
    <w:rsid w:val="00DA5B51"/>
    <w:rsid w:val="00DB24B2"/>
    <w:rsid w:val="00DB3224"/>
    <w:rsid w:val="00DB62D4"/>
    <w:rsid w:val="00DC5B74"/>
    <w:rsid w:val="00DD09E7"/>
    <w:rsid w:val="00DE0A4B"/>
    <w:rsid w:val="00DE5E86"/>
    <w:rsid w:val="00DF2DC4"/>
    <w:rsid w:val="00DF3CB1"/>
    <w:rsid w:val="00E02F27"/>
    <w:rsid w:val="00E23AA1"/>
    <w:rsid w:val="00E24129"/>
    <w:rsid w:val="00E32D09"/>
    <w:rsid w:val="00E364AD"/>
    <w:rsid w:val="00E40FB3"/>
    <w:rsid w:val="00E44F60"/>
    <w:rsid w:val="00E51A5B"/>
    <w:rsid w:val="00E54A37"/>
    <w:rsid w:val="00E6619A"/>
    <w:rsid w:val="00E73D9A"/>
    <w:rsid w:val="00E76890"/>
    <w:rsid w:val="00E85091"/>
    <w:rsid w:val="00EB19BB"/>
    <w:rsid w:val="00EB3F9D"/>
    <w:rsid w:val="00EC2070"/>
    <w:rsid w:val="00EC3B78"/>
    <w:rsid w:val="00F2027E"/>
    <w:rsid w:val="00F27943"/>
    <w:rsid w:val="00F31608"/>
    <w:rsid w:val="00F5099A"/>
    <w:rsid w:val="00F52CD5"/>
    <w:rsid w:val="00F743F1"/>
    <w:rsid w:val="00F75886"/>
    <w:rsid w:val="00F847DA"/>
    <w:rsid w:val="00F973AD"/>
    <w:rsid w:val="00FA5D57"/>
    <w:rsid w:val="00FD3268"/>
    <w:rsid w:val="00FD7D45"/>
    <w:rsid w:val="0115065C"/>
    <w:rsid w:val="0158325C"/>
    <w:rsid w:val="01704EA4"/>
    <w:rsid w:val="017F6B8A"/>
    <w:rsid w:val="01873FBC"/>
    <w:rsid w:val="019079CE"/>
    <w:rsid w:val="01954628"/>
    <w:rsid w:val="01DC1ACD"/>
    <w:rsid w:val="021905B8"/>
    <w:rsid w:val="02204611"/>
    <w:rsid w:val="024758F8"/>
    <w:rsid w:val="025843E4"/>
    <w:rsid w:val="02726144"/>
    <w:rsid w:val="03645F13"/>
    <w:rsid w:val="036E71D8"/>
    <w:rsid w:val="037D0CDD"/>
    <w:rsid w:val="03BD2A1A"/>
    <w:rsid w:val="03E71306"/>
    <w:rsid w:val="04421273"/>
    <w:rsid w:val="049D0A7F"/>
    <w:rsid w:val="04BD7FF9"/>
    <w:rsid w:val="04CB0BC2"/>
    <w:rsid w:val="04FA6554"/>
    <w:rsid w:val="04FC5935"/>
    <w:rsid w:val="050D659D"/>
    <w:rsid w:val="05264D9D"/>
    <w:rsid w:val="055F0F75"/>
    <w:rsid w:val="056F0195"/>
    <w:rsid w:val="059A2F73"/>
    <w:rsid w:val="05DB6A0D"/>
    <w:rsid w:val="05F05251"/>
    <w:rsid w:val="060C3FB8"/>
    <w:rsid w:val="064A404E"/>
    <w:rsid w:val="064A736A"/>
    <w:rsid w:val="06562BCE"/>
    <w:rsid w:val="065C0761"/>
    <w:rsid w:val="06611704"/>
    <w:rsid w:val="0661484A"/>
    <w:rsid w:val="06870AF9"/>
    <w:rsid w:val="06A76AC5"/>
    <w:rsid w:val="06D55232"/>
    <w:rsid w:val="06E623A0"/>
    <w:rsid w:val="06EE6794"/>
    <w:rsid w:val="06F073EB"/>
    <w:rsid w:val="070331FB"/>
    <w:rsid w:val="07033620"/>
    <w:rsid w:val="07516EAB"/>
    <w:rsid w:val="07650B16"/>
    <w:rsid w:val="078E144A"/>
    <w:rsid w:val="079A4EA3"/>
    <w:rsid w:val="07C31032"/>
    <w:rsid w:val="07DD1D97"/>
    <w:rsid w:val="08032184"/>
    <w:rsid w:val="082D71F9"/>
    <w:rsid w:val="087F7DB7"/>
    <w:rsid w:val="08A3557B"/>
    <w:rsid w:val="09097B8C"/>
    <w:rsid w:val="09574C75"/>
    <w:rsid w:val="097243CD"/>
    <w:rsid w:val="09841837"/>
    <w:rsid w:val="0A1F1C61"/>
    <w:rsid w:val="0A402EF2"/>
    <w:rsid w:val="0A8F2787"/>
    <w:rsid w:val="0A9D7A64"/>
    <w:rsid w:val="0AE00BC8"/>
    <w:rsid w:val="0B621690"/>
    <w:rsid w:val="0BD31815"/>
    <w:rsid w:val="0C654FEF"/>
    <w:rsid w:val="0C757B9B"/>
    <w:rsid w:val="0C7B44D9"/>
    <w:rsid w:val="0CBC6D8F"/>
    <w:rsid w:val="0CD05ED2"/>
    <w:rsid w:val="0CF91BC5"/>
    <w:rsid w:val="0D284D99"/>
    <w:rsid w:val="0D2D56E8"/>
    <w:rsid w:val="0D9065EF"/>
    <w:rsid w:val="0DA135C5"/>
    <w:rsid w:val="0DE9579D"/>
    <w:rsid w:val="0E3054CE"/>
    <w:rsid w:val="0E3C1312"/>
    <w:rsid w:val="0E6A7443"/>
    <w:rsid w:val="0E7053E2"/>
    <w:rsid w:val="0E7C60B5"/>
    <w:rsid w:val="0E82376F"/>
    <w:rsid w:val="0E8F0B36"/>
    <w:rsid w:val="0ECE73F7"/>
    <w:rsid w:val="0ED45BB5"/>
    <w:rsid w:val="0EEA0B6C"/>
    <w:rsid w:val="0F4E69B0"/>
    <w:rsid w:val="0F6230DC"/>
    <w:rsid w:val="0F643CD1"/>
    <w:rsid w:val="0F696B5C"/>
    <w:rsid w:val="0F816F20"/>
    <w:rsid w:val="102F09AC"/>
    <w:rsid w:val="108965B9"/>
    <w:rsid w:val="10DD4C96"/>
    <w:rsid w:val="10E60293"/>
    <w:rsid w:val="115E0DC8"/>
    <w:rsid w:val="118A55C9"/>
    <w:rsid w:val="11AB1900"/>
    <w:rsid w:val="11AD417D"/>
    <w:rsid w:val="11D949A9"/>
    <w:rsid w:val="12496FAE"/>
    <w:rsid w:val="125B567F"/>
    <w:rsid w:val="12BB32D1"/>
    <w:rsid w:val="12F3676D"/>
    <w:rsid w:val="131D4D3C"/>
    <w:rsid w:val="136A49F7"/>
    <w:rsid w:val="13750983"/>
    <w:rsid w:val="137D3242"/>
    <w:rsid w:val="13976C2F"/>
    <w:rsid w:val="14246519"/>
    <w:rsid w:val="14813515"/>
    <w:rsid w:val="14B761FD"/>
    <w:rsid w:val="14C534EA"/>
    <w:rsid w:val="150B6648"/>
    <w:rsid w:val="153F74F5"/>
    <w:rsid w:val="15474651"/>
    <w:rsid w:val="15507BAF"/>
    <w:rsid w:val="155C0CB5"/>
    <w:rsid w:val="15682A1B"/>
    <w:rsid w:val="156E349F"/>
    <w:rsid w:val="157D4AC9"/>
    <w:rsid w:val="15AB2D48"/>
    <w:rsid w:val="16816EC6"/>
    <w:rsid w:val="168A4757"/>
    <w:rsid w:val="16BA02D8"/>
    <w:rsid w:val="16D40240"/>
    <w:rsid w:val="16D42978"/>
    <w:rsid w:val="170979CA"/>
    <w:rsid w:val="1714344D"/>
    <w:rsid w:val="179D39AC"/>
    <w:rsid w:val="17D057E5"/>
    <w:rsid w:val="17E562F3"/>
    <w:rsid w:val="17E95B46"/>
    <w:rsid w:val="17EA1B6C"/>
    <w:rsid w:val="17FD52FB"/>
    <w:rsid w:val="18180676"/>
    <w:rsid w:val="184212F2"/>
    <w:rsid w:val="189509C3"/>
    <w:rsid w:val="19262DA7"/>
    <w:rsid w:val="194F3645"/>
    <w:rsid w:val="19674B6F"/>
    <w:rsid w:val="19A44506"/>
    <w:rsid w:val="19C50D4A"/>
    <w:rsid w:val="19DB6AAB"/>
    <w:rsid w:val="19F00E49"/>
    <w:rsid w:val="1A0B2771"/>
    <w:rsid w:val="1A276114"/>
    <w:rsid w:val="1A391215"/>
    <w:rsid w:val="1A415FCB"/>
    <w:rsid w:val="1A8D572D"/>
    <w:rsid w:val="1AD11223"/>
    <w:rsid w:val="1B371DC5"/>
    <w:rsid w:val="1B5348D7"/>
    <w:rsid w:val="1B860676"/>
    <w:rsid w:val="1B9A7A98"/>
    <w:rsid w:val="1BA15475"/>
    <w:rsid w:val="1BA720ED"/>
    <w:rsid w:val="1BAA7496"/>
    <w:rsid w:val="1C291499"/>
    <w:rsid w:val="1C303806"/>
    <w:rsid w:val="1C4117B3"/>
    <w:rsid w:val="1C7B76BC"/>
    <w:rsid w:val="1C7F0481"/>
    <w:rsid w:val="1C917028"/>
    <w:rsid w:val="1CDF0AF5"/>
    <w:rsid w:val="1CEE5A15"/>
    <w:rsid w:val="1CF654A3"/>
    <w:rsid w:val="1D090B49"/>
    <w:rsid w:val="1D284254"/>
    <w:rsid w:val="1D4345DD"/>
    <w:rsid w:val="1D4870E5"/>
    <w:rsid w:val="1D501BC0"/>
    <w:rsid w:val="1E6A7D40"/>
    <w:rsid w:val="1F396C99"/>
    <w:rsid w:val="1F71124A"/>
    <w:rsid w:val="1F7D08FE"/>
    <w:rsid w:val="1FCB077F"/>
    <w:rsid w:val="1FFB2594"/>
    <w:rsid w:val="20024974"/>
    <w:rsid w:val="204246F5"/>
    <w:rsid w:val="206B7AA5"/>
    <w:rsid w:val="20E53D47"/>
    <w:rsid w:val="20F60E55"/>
    <w:rsid w:val="211F397A"/>
    <w:rsid w:val="21B167B4"/>
    <w:rsid w:val="21E97F2A"/>
    <w:rsid w:val="22072402"/>
    <w:rsid w:val="22136B16"/>
    <w:rsid w:val="226178F5"/>
    <w:rsid w:val="22BC1795"/>
    <w:rsid w:val="22CC23B9"/>
    <w:rsid w:val="22E7188C"/>
    <w:rsid w:val="230B0B88"/>
    <w:rsid w:val="2323524B"/>
    <w:rsid w:val="234B49E2"/>
    <w:rsid w:val="237E71FA"/>
    <w:rsid w:val="238A0AEF"/>
    <w:rsid w:val="238D2DAD"/>
    <w:rsid w:val="23923C36"/>
    <w:rsid w:val="23D52974"/>
    <w:rsid w:val="23EE51C2"/>
    <w:rsid w:val="24094B00"/>
    <w:rsid w:val="241871DD"/>
    <w:rsid w:val="243830EC"/>
    <w:rsid w:val="24463053"/>
    <w:rsid w:val="24807AD4"/>
    <w:rsid w:val="24837F31"/>
    <w:rsid w:val="24A672EF"/>
    <w:rsid w:val="24CB1DAA"/>
    <w:rsid w:val="24F61D9A"/>
    <w:rsid w:val="25123D82"/>
    <w:rsid w:val="253B238F"/>
    <w:rsid w:val="25A25ED6"/>
    <w:rsid w:val="25BB15A6"/>
    <w:rsid w:val="25C16AB4"/>
    <w:rsid w:val="25EA3A6E"/>
    <w:rsid w:val="25F92708"/>
    <w:rsid w:val="26167B2F"/>
    <w:rsid w:val="261B0689"/>
    <w:rsid w:val="262354A3"/>
    <w:rsid w:val="26342E4D"/>
    <w:rsid w:val="263C7386"/>
    <w:rsid w:val="26415290"/>
    <w:rsid w:val="267821A9"/>
    <w:rsid w:val="268C0BA2"/>
    <w:rsid w:val="26FC2133"/>
    <w:rsid w:val="26FE5045"/>
    <w:rsid w:val="270F29FE"/>
    <w:rsid w:val="2721410C"/>
    <w:rsid w:val="27561698"/>
    <w:rsid w:val="27641A88"/>
    <w:rsid w:val="27B454F7"/>
    <w:rsid w:val="27B713F3"/>
    <w:rsid w:val="27D74EA2"/>
    <w:rsid w:val="27E90D02"/>
    <w:rsid w:val="27F45FB8"/>
    <w:rsid w:val="282718FC"/>
    <w:rsid w:val="28303476"/>
    <w:rsid w:val="28322C79"/>
    <w:rsid w:val="287A5E48"/>
    <w:rsid w:val="290D7AB3"/>
    <w:rsid w:val="2933786C"/>
    <w:rsid w:val="294B7E10"/>
    <w:rsid w:val="2953412D"/>
    <w:rsid w:val="296555B7"/>
    <w:rsid w:val="29765048"/>
    <w:rsid w:val="29AB4D23"/>
    <w:rsid w:val="29F82FA7"/>
    <w:rsid w:val="2A753D5F"/>
    <w:rsid w:val="2A882800"/>
    <w:rsid w:val="2AD14753"/>
    <w:rsid w:val="2AD20A0E"/>
    <w:rsid w:val="2ADE4A98"/>
    <w:rsid w:val="2B350720"/>
    <w:rsid w:val="2B631D38"/>
    <w:rsid w:val="2B6941C8"/>
    <w:rsid w:val="2B7700E7"/>
    <w:rsid w:val="2B922F89"/>
    <w:rsid w:val="2BB949A6"/>
    <w:rsid w:val="2BBC48D6"/>
    <w:rsid w:val="2C233A1F"/>
    <w:rsid w:val="2C307046"/>
    <w:rsid w:val="2C456046"/>
    <w:rsid w:val="2C5D22DE"/>
    <w:rsid w:val="2C803456"/>
    <w:rsid w:val="2CA40883"/>
    <w:rsid w:val="2CCB1D1D"/>
    <w:rsid w:val="2CCF0946"/>
    <w:rsid w:val="2D0E42D8"/>
    <w:rsid w:val="2D1A7EA0"/>
    <w:rsid w:val="2D292F75"/>
    <w:rsid w:val="2DB46FA5"/>
    <w:rsid w:val="2DD52B1B"/>
    <w:rsid w:val="2DFC6904"/>
    <w:rsid w:val="2E9040A3"/>
    <w:rsid w:val="2EE55D36"/>
    <w:rsid w:val="2EFC4A1E"/>
    <w:rsid w:val="2F296E69"/>
    <w:rsid w:val="2F4349DB"/>
    <w:rsid w:val="2F6176F7"/>
    <w:rsid w:val="2FAE4F19"/>
    <w:rsid w:val="2FB561B1"/>
    <w:rsid w:val="2FDA21C9"/>
    <w:rsid w:val="30656AE9"/>
    <w:rsid w:val="307748D0"/>
    <w:rsid w:val="30845E6A"/>
    <w:rsid w:val="308B5AAA"/>
    <w:rsid w:val="30BC77CA"/>
    <w:rsid w:val="30CD0A31"/>
    <w:rsid w:val="30EA250B"/>
    <w:rsid w:val="310F07D4"/>
    <w:rsid w:val="31164C6A"/>
    <w:rsid w:val="31480E27"/>
    <w:rsid w:val="31565A94"/>
    <w:rsid w:val="316A211F"/>
    <w:rsid w:val="318E7FC4"/>
    <w:rsid w:val="31B67AEF"/>
    <w:rsid w:val="31C61143"/>
    <w:rsid w:val="31CA4DBD"/>
    <w:rsid w:val="320E3755"/>
    <w:rsid w:val="32475CEA"/>
    <w:rsid w:val="326F69DE"/>
    <w:rsid w:val="32CE6991"/>
    <w:rsid w:val="32F5031E"/>
    <w:rsid w:val="337B0496"/>
    <w:rsid w:val="341F4D62"/>
    <w:rsid w:val="34602DD2"/>
    <w:rsid w:val="34672D65"/>
    <w:rsid w:val="34805FC3"/>
    <w:rsid w:val="34935499"/>
    <w:rsid w:val="34997C37"/>
    <w:rsid w:val="349C765D"/>
    <w:rsid w:val="34BB53BA"/>
    <w:rsid w:val="34BF14C9"/>
    <w:rsid w:val="34DE7A68"/>
    <w:rsid w:val="34E0585E"/>
    <w:rsid w:val="35045D6D"/>
    <w:rsid w:val="350C6F9D"/>
    <w:rsid w:val="35416C6E"/>
    <w:rsid w:val="35684D75"/>
    <w:rsid w:val="358158E3"/>
    <w:rsid w:val="359D364E"/>
    <w:rsid w:val="35C9302D"/>
    <w:rsid w:val="35E55DA9"/>
    <w:rsid w:val="36016D99"/>
    <w:rsid w:val="3617611B"/>
    <w:rsid w:val="364D7BD8"/>
    <w:rsid w:val="36505182"/>
    <w:rsid w:val="3661655B"/>
    <w:rsid w:val="36A84509"/>
    <w:rsid w:val="36A96B18"/>
    <w:rsid w:val="36D9309D"/>
    <w:rsid w:val="36EC0361"/>
    <w:rsid w:val="370541F9"/>
    <w:rsid w:val="37280171"/>
    <w:rsid w:val="37574ADE"/>
    <w:rsid w:val="37A375F8"/>
    <w:rsid w:val="37B61A59"/>
    <w:rsid w:val="37C24B91"/>
    <w:rsid w:val="3824228F"/>
    <w:rsid w:val="38723749"/>
    <w:rsid w:val="388668B1"/>
    <w:rsid w:val="38D40742"/>
    <w:rsid w:val="38E75C43"/>
    <w:rsid w:val="39013BA7"/>
    <w:rsid w:val="3903090F"/>
    <w:rsid w:val="39B96CC3"/>
    <w:rsid w:val="39F239E4"/>
    <w:rsid w:val="3A0D7D17"/>
    <w:rsid w:val="3A1643D9"/>
    <w:rsid w:val="3A3853F3"/>
    <w:rsid w:val="3A8A50DE"/>
    <w:rsid w:val="3AA74822"/>
    <w:rsid w:val="3AD3302E"/>
    <w:rsid w:val="3ADC7F3D"/>
    <w:rsid w:val="3AE14C79"/>
    <w:rsid w:val="3B346A17"/>
    <w:rsid w:val="3BA34F72"/>
    <w:rsid w:val="3C0F1800"/>
    <w:rsid w:val="3C360F17"/>
    <w:rsid w:val="3C885F88"/>
    <w:rsid w:val="3C8B23EB"/>
    <w:rsid w:val="3CC0265E"/>
    <w:rsid w:val="3D1904CC"/>
    <w:rsid w:val="3D20698D"/>
    <w:rsid w:val="3D3B2FAA"/>
    <w:rsid w:val="3D6F02C3"/>
    <w:rsid w:val="3DA27C76"/>
    <w:rsid w:val="3DD95898"/>
    <w:rsid w:val="3E304EFE"/>
    <w:rsid w:val="3E475F9F"/>
    <w:rsid w:val="3E8A3D13"/>
    <w:rsid w:val="3EA465AA"/>
    <w:rsid w:val="3EBF0EA2"/>
    <w:rsid w:val="3F795FC1"/>
    <w:rsid w:val="3F8833C6"/>
    <w:rsid w:val="3F8E3C9D"/>
    <w:rsid w:val="3FC36590"/>
    <w:rsid w:val="403A14BE"/>
    <w:rsid w:val="405818E2"/>
    <w:rsid w:val="40642289"/>
    <w:rsid w:val="407B0CF0"/>
    <w:rsid w:val="408C5546"/>
    <w:rsid w:val="409A6E22"/>
    <w:rsid w:val="40D032D7"/>
    <w:rsid w:val="411C1FE6"/>
    <w:rsid w:val="416846E6"/>
    <w:rsid w:val="4189697A"/>
    <w:rsid w:val="41A76806"/>
    <w:rsid w:val="41D26947"/>
    <w:rsid w:val="425C4833"/>
    <w:rsid w:val="42B12C7D"/>
    <w:rsid w:val="42FC483B"/>
    <w:rsid w:val="43280168"/>
    <w:rsid w:val="437140D0"/>
    <w:rsid w:val="437724D6"/>
    <w:rsid w:val="438A0138"/>
    <w:rsid w:val="43965030"/>
    <w:rsid w:val="43A968E1"/>
    <w:rsid w:val="43CE5EAF"/>
    <w:rsid w:val="441F0C0F"/>
    <w:rsid w:val="44556E79"/>
    <w:rsid w:val="446F0000"/>
    <w:rsid w:val="44743DE8"/>
    <w:rsid w:val="448B42B3"/>
    <w:rsid w:val="44BD1D50"/>
    <w:rsid w:val="44CA4883"/>
    <w:rsid w:val="44CD5E65"/>
    <w:rsid w:val="44E379DA"/>
    <w:rsid w:val="45041B70"/>
    <w:rsid w:val="45065223"/>
    <w:rsid w:val="451E0702"/>
    <w:rsid w:val="45306789"/>
    <w:rsid w:val="453A33E0"/>
    <w:rsid w:val="45427E45"/>
    <w:rsid w:val="454560B9"/>
    <w:rsid w:val="45654519"/>
    <w:rsid w:val="457355D3"/>
    <w:rsid w:val="458E26DB"/>
    <w:rsid w:val="45B34C8F"/>
    <w:rsid w:val="45BC51B6"/>
    <w:rsid w:val="45DC4AB6"/>
    <w:rsid w:val="45E616B1"/>
    <w:rsid w:val="46291AF4"/>
    <w:rsid w:val="462F6A8A"/>
    <w:rsid w:val="46325D67"/>
    <w:rsid w:val="465675D5"/>
    <w:rsid w:val="46924209"/>
    <w:rsid w:val="46B14C57"/>
    <w:rsid w:val="46E05F14"/>
    <w:rsid w:val="46F53A24"/>
    <w:rsid w:val="46FD4588"/>
    <w:rsid w:val="47133D53"/>
    <w:rsid w:val="47354BE4"/>
    <w:rsid w:val="473C5806"/>
    <w:rsid w:val="4744034E"/>
    <w:rsid w:val="475A7EF9"/>
    <w:rsid w:val="47AE7D34"/>
    <w:rsid w:val="47BE7B6C"/>
    <w:rsid w:val="47D6269D"/>
    <w:rsid w:val="47DC0440"/>
    <w:rsid w:val="48064959"/>
    <w:rsid w:val="4821332C"/>
    <w:rsid w:val="48535300"/>
    <w:rsid w:val="488C75B8"/>
    <w:rsid w:val="48A82B51"/>
    <w:rsid w:val="490565B6"/>
    <w:rsid w:val="49316C3E"/>
    <w:rsid w:val="49456820"/>
    <w:rsid w:val="49474EAB"/>
    <w:rsid w:val="495515E9"/>
    <w:rsid w:val="498F2E29"/>
    <w:rsid w:val="49D7250C"/>
    <w:rsid w:val="49D83B05"/>
    <w:rsid w:val="4A423AB9"/>
    <w:rsid w:val="4A913D16"/>
    <w:rsid w:val="4A9D0A10"/>
    <w:rsid w:val="4ACC3457"/>
    <w:rsid w:val="4AFE1A36"/>
    <w:rsid w:val="4B0A0426"/>
    <w:rsid w:val="4B5B0CE6"/>
    <w:rsid w:val="4B922E77"/>
    <w:rsid w:val="4C0B3D75"/>
    <w:rsid w:val="4C1443BF"/>
    <w:rsid w:val="4C1E23D7"/>
    <w:rsid w:val="4CB045BB"/>
    <w:rsid w:val="4D7613FA"/>
    <w:rsid w:val="4D7B3404"/>
    <w:rsid w:val="4DE81B93"/>
    <w:rsid w:val="4DF429D2"/>
    <w:rsid w:val="4DF45878"/>
    <w:rsid w:val="4E853098"/>
    <w:rsid w:val="4EA52361"/>
    <w:rsid w:val="4F0C13CE"/>
    <w:rsid w:val="4F1725D5"/>
    <w:rsid w:val="4F485469"/>
    <w:rsid w:val="500767A7"/>
    <w:rsid w:val="501B18DD"/>
    <w:rsid w:val="501B6741"/>
    <w:rsid w:val="5028553D"/>
    <w:rsid w:val="503D0BF9"/>
    <w:rsid w:val="504B37CD"/>
    <w:rsid w:val="50736840"/>
    <w:rsid w:val="50A32395"/>
    <w:rsid w:val="50CA531F"/>
    <w:rsid w:val="50F64C4A"/>
    <w:rsid w:val="51117FB0"/>
    <w:rsid w:val="51413951"/>
    <w:rsid w:val="51816146"/>
    <w:rsid w:val="52737245"/>
    <w:rsid w:val="52BC1CBB"/>
    <w:rsid w:val="52C4718F"/>
    <w:rsid w:val="52D2486D"/>
    <w:rsid w:val="52EC1A0D"/>
    <w:rsid w:val="531451F9"/>
    <w:rsid w:val="533D1E04"/>
    <w:rsid w:val="535644D0"/>
    <w:rsid w:val="537C7F93"/>
    <w:rsid w:val="538042BF"/>
    <w:rsid w:val="538D232C"/>
    <w:rsid w:val="53986916"/>
    <w:rsid w:val="53C87612"/>
    <w:rsid w:val="5420543E"/>
    <w:rsid w:val="54AE4355"/>
    <w:rsid w:val="54B612DA"/>
    <w:rsid w:val="54F332CA"/>
    <w:rsid w:val="551601CA"/>
    <w:rsid w:val="55822B8C"/>
    <w:rsid w:val="558F32AA"/>
    <w:rsid w:val="55921102"/>
    <w:rsid w:val="55A627EA"/>
    <w:rsid w:val="55E61885"/>
    <w:rsid w:val="56042973"/>
    <w:rsid w:val="561326E5"/>
    <w:rsid w:val="56432E7D"/>
    <w:rsid w:val="56503AEC"/>
    <w:rsid w:val="56750D18"/>
    <w:rsid w:val="5685733F"/>
    <w:rsid w:val="569A5334"/>
    <w:rsid w:val="57501CF2"/>
    <w:rsid w:val="57503C91"/>
    <w:rsid w:val="57587AB0"/>
    <w:rsid w:val="576603F0"/>
    <w:rsid w:val="578C478D"/>
    <w:rsid w:val="57F227C1"/>
    <w:rsid w:val="584E7013"/>
    <w:rsid w:val="584F0362"/>
    <w:rsid w:val="58825BDE"/>
    <w:rsid w:val="58B85F7F"/>
    <w:rsid w:val="591F2FC2"/>
    <w:rsid w:val="59803612"/>
    <w:rsid w:val="59914A80"/>
    <w:rsid w:val="59C3747E"/>
    <w:rsid w:val="59D55AC8"/>
    <w:rsid w:val="59F65230"/>
    <w:rsid w:val="59F726A2"/>
    <w:rsid w:val="5A2F58EB"/>
    <w:rsid w:val="5A6B3730"/>
    <w:rsid w:val="5A9F29EB"/>
    <w:rsid w:val="5AC305FD"/>
    <w:rsid w:val="5B06463B"/>
    <w:rsid w:val="5B082961"/>
    <w:rsid w:val="5B0A0F3F"/>
    <w:rsid w:val="5B1D04DF"/>
    <w:rsid w:val="5B30281D"/>
    <w:rsid w:val="5B37160F"/>
    <w:rsid w:val="5B3761C8"/>
    <w:rsid w:val="5B4105D3"/>
    <w:rsid w:val="5C15551E"/>
    <w:rsid w:val="5C1C7827"/>
    <w:rsid w:val="5C317552"/>
    <w:rsid w:val="5C701D8C"/>
    <w:rsid w:val="5CC018F8"/>
    <w:rsid w:val="5CD7270F"/>
    <w:rsid w:val="5CD91E7E"/>
    <w:rsid w:val="5D125496"/>
    <w:rsid w:val="5D5B3BFB"/>
    <w:rsid w:val="5D7A1F22"/>
    <w:rsid w:val="5DBC4F9A"/>
    <w:rsid w:val="5DD01DAB"/>
    <w:rsid w:val="5DE910F0"/>
    <w:rsid w:val="5E2C1457"/>
    <w:rsid w:val="5E3C2506"/>
    <w:rsid w:val="5E623FC0"/>
    <w:rsid w:val="5E8A2915"/>
    <w:rsid w:val="5EB83FF7"/>
    <w:rsid w:val="5ECB22E5"/>
    <w:rsid w:val="5F060669"/>
    <w:rsid w:val="5F661586"/>
    <w:rsid w:val="5F66193B"/>
    <w:rsid w:val="5F79218C"/>
    <w:rsid w:val="5FA21376"/>
    <w:rsid w:val="5FD513B4"/>
    <w:rsid w:val="5FF65D8A"/>
    <w:rsid w:val="600077FB"/>
    <w:rsid w:val="60036E45"/>
    <w:rsid w:val="602900DB"/>
    <w:rsid w:val="602E7496"/>
    <w:rsid w:val="60346B2B"/>
    <w:rsid w:val="60764FE2"/>
    <w:rsid w:val="60BE48F5"/>
    <w:rsid w:val="60BF6ECF"/>
    <w:rsid w:val="60D92C10"/>
    <w:rsid w:val="61163276"/>
    <w:rsid w:val="611D05DB"/>
    <w:rsid w:val="61250BD1"/>
    <w:rsid w:val="612827CE"/>
    <w:rsid w:val="6166104C"/>
    <w:rsid w:val="61922435"/>
    <w:rsid w:val="61D74FCE"/>
    <w:rsid w:val="62244D2D"/>
    <w:rsid w:val="625931CB"/>
    <w:rsid w:val="626D33D7"/>
    <w:rsid w:val="627B2EA7"/>
    <w:rsid w:val="62DB0D62"/>
    <w:rsid w:val="63624E82"/>
    <w:rsid w:val="636E3CBE"/>
    <w:rsid w:val="637B0251"/>
    <w:rsid w:val="638947E6"/>
    <w:rsid w:val="639F2159"/>
    <w:rsid w:val="63D84FE7"/>
    <w:rsid w:val="63FB128D"/>
    <w:rsid w:val="64115F38"/>
    <w:rsid w:val="64521DF4"/>
    <w:rsid w:val="64552775"/>
    <w:rsid w:val="647E2848"/>
    <w:rsid w:val="64857E6D"/>
    <w:rsid w:val="64987509"/>
    <w:rsid w:val="64EA662A"/>
    <w:rsid w:val="656C2DA0"/>
    <w:rsid w:val="657C0323"/>
    <w:rsid w:val="65872975"/>
    <w:rsid w:val="6607320A"/>
    <w:rsid w:val="66171E9F"/>
    <w:rsid w:val="66705D09"/>
    <w:rsid w:val="667C0849"/>
    <w:rsid w:val="66F77D7D"/>
    <w:rsid w:val="66FF7AEA"/>
    <w:rsid w:val="670A054F"/>
    <w:rsid w:val="670F104A"/>
    <w:rsid w:val="67344C23"/>
    <w:rsid w:val="678425A3"/>
    <w:rsid w:val="67875CD1"/>
    <w:rsid w:val="67A24F1E"/>
    <w:rsid w:val="67B753EA"/>
    <w:rsid w:val="67BD2A12"/>
    <w:rsid w:val="683066A1"/>
    <w:rsid w:val="68426149"/>
    <w:rsid w:val="684E345F"/>
    <w:rsid w:val="685632DC"/>
    <w:rsid w:val="68616B32"/>
    <w:rsid w:val="688F5B95"/>
    <w:rsid w:val="68B51F8D"/>
    <w:rsid w:val="68BB3E09"/>
    <w:rsid w:val="68CF46B3"/>
    <w:rsid w:val="69115685"/>
    <w:rsid w:val="69442269"/>
    <w:rsid w:val="69554597"/>
    <w:rsid w:val="69CA2304"/>
    <w:rsid w:val="69E30424"/>
    <w:rsid w:val="69F212BC"/>
    <w:rsid w:val="69F85A1C"/>
    <w:rsid w:val="6A34700B"/>
    <w:rsid w:val="6A4C11CB"/>
    <w:rsid w:val="6A660465"/>
    <w:rsid w:val="6A881BC4"/>
    <w:rsid w:val="6A9E3BC1"/>
    <w:rsid w:val="6AB96645"/>
    <w:rsid w:val="6AF3448E"/>
    <w:rsid w:val="6B060BF5"/>
    <w:rsid w:val="6B140792"/>
    <w:rsid w:val="6B4216B7"/>
    <w:rsid w:val="6B4F58B8"/>
    <w:rsid w:val="6B990934"/>
    <w:rsid w:val="6BDF4F70"/>
    <w:rsid w:val="6C120E7D"/>
    <w:rsid w:val="6C4D4053"/>
    <w:rsid w:val="6C534F03"/>
    <w:rsid w:val="6C6421C5"/>
    <w:rsid w:val="6C8319D7"/>
    <w:rsid w:val="6C8C6740"/>
    <w:rsid w:val="6CDA78C4"/>
    <w:rsid w:val="6D246892"/>
    <w:rsid w:val="6D681009"/>
    <w:rsid w:val="6D9848A5"/>
    <w:rsid w:val="6DE37068"/>
    <w:rsid w:val="6DF745F8"/>
    <w:rsid w:val="6E074EAE"/>
    <w:rsid w:val="6E2F4292"/>
    <w:rsid w:val="6E3A02CB"/>
    <w:rsid w:val="6E493106"/>
    <w:rsid w:val="6E4C296A"/>
    <w:rsid w:val="6E5E6666"/>
    <w:rsid w:val="6E9F786A"/>
    <w:rsid w:val="6ED645B3"/>
    <w:rsid w:val="6EE6772C"/>
    <w:rsid w:val="6F1454F0"/>
    <w:rsid w:val="6F1941DE"/>
    <w:rsid w:val="6F224C53"/>
    <w:rsid w:val="6F3F630F"/>
    <w:rsid w:val="6F7955F4"/>
    <w:rsid w:val="6FA943CE"/>
    <w:rsid w:val="701F1F15"/>
    <w:rsid w:val="704331BE"/>
    <w:rsid w:val="7047707F"/>
    <w:rsid w:val="708D5EDD"/>
    <w:rsid w:val="70960A86"/>
    <w:rsid w:val="710D636F"/>
    <w:rsid w:val="715058B1"/>
    <w:rsid w:val="71605753"/>
    <w:rsid w:val="71721E0D"/>
    <w:rsid w:val="71906884"/>
    <w:rsid w:val="71D60F75"/>
    <w:rsid w:val="71F63E94"/>
    <w:rsid w:val="721B0BB0"/>
    <w:rsid w:val="722A3ADF"/>
    <w:rsid w:val="723E6165"/>
    <w:rsid w:val="72A20AE0"/>
    <w:rsid w:val="733140B0"/>
    <w:rsid w:val="739D0FBC"/>
    <w:rsid w:val="73AE3E3E"/>
    <w:rsid w:val="73B52DB2"/>
    <w:rsid w:val="73B97F5B"/>
    <w:rsid w:val="73C74610"/>
    <w:rsid w:val="73E55BE1"/>
    <w:rsid w:val="74156D71"/>
    <w:rsid w:val="74595C4F"/>
    <w:rsid w:val="74A73E99"/>
    <w:rsid w:val="750A5D89"/>
    <w:rsid w:val="752616D5"/>
    <w:rsid w:val="753C058D"/>
    <w:rsid w:val="75417570"/>
    <w:rsid w:val="7557054B"/>
    <w:rsid w:val="757A4038"/>
    <w:rsid w:val="75894C8E"/>
    <w:rsid w:val="75C609BB"/>
    <w:rsid w:val="75F278FB"/>
    <w:rsid w:val="760771D2"/>
    <w:rsid w:val="762B0DD8"/>
    <w:rsid w:val="76697649"/>
    <w:rsid w:val="768E530F"/>
    <w:rsid w:val="76AC6D7E"/>
    <w:rsid w:val="76C2369F"/>
    <w:rsid w:val="76D44FD5"/>
    <w:rsid w:val="770D5428"/>
    <w:rsid w:val="772967FA"/>
    <w:rsid w:val="772D3AF3"/>
    <w:rsid w:val="77305847"/>
    <w:rsid w:val="77531D7A"/>
    <w:rsid w:val="77733156"/>
    <w:rsid w:val="77766BC1"/>
    <w:rsid w:val="77882379"/>
    <w:rsid w:val="7796460A"/>
    <w:rsid w:val="77AE1DAD"/>
    <w:rsid w:val="785D1EBF"/>
    <w:rsid w:val="78B13B86"/>
    <w:rsid w:val="78C57B4B"/>
    <w:rsid w:val="790D2B37"/>
    <w:rsid w:val="792C2AE7"/>
    <w:rsid w:val="796E0176"/>
    <w:rsid w:val="79AC7A48"/>
    <w:rsid w:val="79B311E2"/>
    <w:rsid w:val="79E13C31"/>
    <w:rsid w:val="7A041D57"/>
    <w:rsid w:val="7A347D8A"/>
    <w:rsid w:val="7A4805B8"/>
    <w:rsid w:val="7AAD18A6"/>
    <w:rsid w:val="7B013A9A"/>
    <w:rsid w:val="7B2019BD"/>
    <w:rsid w:val="7BB621DC"/>
    <w:rsid w:val="7BD400D4"/>
    <w:rsid w:val="7BD749ED"/>
    <w:rsid w:val="7BDE019B"/>
    <w:rsid w:val="7BE9416F"/>
    <w:rsid w:val="7C4B1DF3"/>
    <w:rsid w:val="7C757CA8"/>
    <w:rsid w:val="7C9802D3"/>
    <w:rsid w:val="7CA6044B"/>
    <w:rsid w:val="7CD11122"/>
    <w:rsid w:val="7DA85BC0"/>
    <w:rsid w:val="7DAE00C3"/>
    <w:rsid w:val="7DB912C0"/>
    <w:rsid w:val="7DB94B8C"/>
    <w:rsid w:val="7E0A410C"/>
    <w:rsid w:val="7E324E80"/>
    <w:rsid w:val="7E446659"/>
    <w:rsid w:val="7E6C1C1B"/>
    <w:rsid w:val="7E7C4D97"/>
    <w:rsid w:val="7ED47C49"/>
    <w:rsid w:val="7EEB5BA5"/>
    <w:rsid w:val="7F0C6837"/>
    <w:rsid w:val="7F301A67"/>
    <w:rsid w:val="7F4C47FD"/>
    <w:rsid w:val="7F791CA5"/>
    <w:rsid w:val="7F880762"/>
    <w:rsid w:val="7FAE16E8"/>
    <w:rsid w:val="7FF657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7"/>
    <w:semiHidden/>
    <w:unhideWhenUsed/>
    <w:uiPriority w:val="99"/>
  </w:style>
  <w:style w:type="paragraph" w:styleId="3">
    <w:name w:val="Body Text"/>
    <w:basedOn w:val="1"/>
    <w:qFormat/>
    <w:uiPriority w:val="1"/>
    <w:pPr>
      <w:ind w:left="1068"/>
    </w:pPr>
    <w:rPr>
      <w:sz w:val="32"/>
      <w:szCs w:val="32"/>
    </w:rPr>
  </w:style>
  <w:style w:type="paragraph" w:styleId="4">
    <w:name w:val="Date"/>
    <w:basedOn w:val="1"/>
    <w:next w:val="1"/>
    <w:link w:val="21"/>
    <w:semiHidden/>
    <w:unhideWhenUsed/>
    <w:qFormat/>
    <w:uiPriority w:val="99"/>
    <w:pPr>
      <w:ind w:left="100" w:leftChars="2500"/>
    </w:pPr>
  </w:style>
  <w:style w:type="paragraph" w:styleId="5">
    <w:name w:val="Balloon Text"/>
    <w:basedOn w:val="1"/>
    <w:link w:val="24"/>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9">
    <w:name w:val="Title"/>
    <w:basedOn w:val="1"/>
    <w:next w:val="1"/>
    <w:link w:val="23"/>
    <w:qFormat/>
    <w:uiPriority w:val="10"/>
    <w:pPr>
      <w:spacing w:before="240" w:after="60"/>
      <w:jc w:val="center"/>
      <w:outlineLvl w:val="0"/>
    </w:pPr>
    <w:rPr>
      <w:rFonts w:asciiTheme="majorHAnsi" w:hAnsiTheme="majorHAnsi" w:cstheme="majorBidi"/>
      <w:b/>
      <w:bCs/>
      <w:sz w:val="32"/>
      <w:szCs w:val="32"/>
    </w:rPr>
  </w:style>
  <w:style w:type="paragraph" w:styleId="10">
    <w:name w:val="annotation subject"/>
    <w:basedOn w:val="2"/>
    <w:next w:val="2"/>
    <w:link w:val="38"/>
    <w:semiHidden/>
    <w:unhideWhenUsed/>
    <w:qFormat/>
    <w:uiPriority w:val="99"/>
    <w:rPr>
      <w:b/>
      <w:bCs/>
    </w:rPr>
  </w:style>
  <w:style w:type="character" w:styleId="13">
    <w:name w:val="Strong"/>
    <w:basedOn w:val="12"/>
    <w:qFormat/>
    <w:uiPriority w:val="99"/>
    <w:rPr>
      <w:rFonts w:cs="Times New Roman"/>
      <w:b/>
      <w:bCs/>
    </w:rPr>
  </w:style>
  <w:style w:type="character" w:styleId="14">
    <w:name w:val="FollowedHyperlink"/>
    <w:basedOn w:val="12"/>
    <w:semiHidden/>
    <w:unhideWhenUsed/>
    <w:qFormat/>
    <w:uiPriority w:val="99"/>
    <w:rPr>
      <w:color w:val="000000"/>
      <w:u w:val="none"/>
    </w:rPr>
  </w:style>
  <w:style w:type="character" w:styleId="15">
    <w:name w:val="Emphasis"/>
    <w:basedOn w:val="12"/>
    <w:qFormat/>
    <w:uiPriority w:val="20"/>
  </w:style>
  <w:style w:type="character" w:styleId="16">
    <w:name w:val="Hyperlink"/>
    <w:basedOn w:val="12"/>
    <w:unhideWhenUsed/>
    <w:qFormat/>
    <w:uiPriority w:val="99"/>
    <w:rPr>
      <w:color w:val="0000FF" w:themeColor="hyperlink"/>
      <w:u w:val="single"/>
    </w:rPr>
  </w:style>
  <w:style w:type="character" w:styleId="17">
    <w:name w:val="annotation reference"/>
    <w:basedOn w:val="12"/>
    <w:semiHidden/>
    <w:unhideWhenUsed/>
    <w:qFormat/>
    <w:uiPriority w:val="99"/>
    <w:rPr>
      <w:sz w:val="21"/>
      <w:szCs w:val="21"/>
    </w:rPr>
  </w:style>
  <w:style w:type="character" w:customStyle="1" w:styleId="18">
    <w:name w:val="页眉 Char"/>
    <w:basedOn w:val="12"/>
    <w:link w:val="7"/>
    <w:qFormat/>
    <w:uiPriority w:val="99"/>
    <w:rPr>
      <w:sz w:val="18"/>
      <w:szCs w:val="18"/>
    </w:rPr>
  </w:style>
  <w:style w:type="character" w:customStyle="1" w:styleId="19">
    <w:name w:val="页脚 Char"/>
    <w:basedOn w:val="12"/>
    <w:link w:val="6"/>
    <w:qFormat/>
    <w:uiPriority w:val="99"/>
    <w:rPr>
      <w:sz w:val="18"/>
      <w:szCs w:val="18"/>
    </w:rPr>
  </w:style>
  <w:style w:type="paragraph" w:styleId="20">
    <w:name w:val="List Paragraph"/>
    <w:basedOn w:val="1"/>
    <w:qFormat/>
    <w:uiPriority w:val="34"/>
    <w:pPr>
      <w:widowControl/>
      <w:autoSpaceDE/>
      <w:autoSpaceDN/>
      <w:adjustRightInd/>
      <w:ind w:firstLine="420" w:firstLineChars="200"/>
    </w:pPr>
    <w:rPr>
      <w:rFonts w:hint="default" w:cs="宋体"/>
      <w:szCs w:val="24"/>
    </w:rPr>
  </w:style>
  <w:style w:type="character" w:customStyle="1" w:styleId="21">
    <w:name w:val="日期 Char"/>
    <w:basedOn w:val="12"/>
    <w:link w:val="4"/>
    <w:semiHidden/>
    <w:qFormat/>
    <w:uiPriority w:val="99"/>
    <w:rPr>
      <w:rFonts w:ascii="宋体" w:hAnsi="宋体" w:eastAsia="宋体" w:cs="Times New Roman"/>
      <w:kern w:val="0"/>
      <w:sz w:val="24"/>
      <w:szCs w:val="20"/>
    </w:rPr>
  </w:style>
  <w:style w:type="paragraph" w:customStyle="1" w:styleId="22">
    <w:name w:val="列出段落1"/>
    <w:basedOn w:val="1"/>
    <w:qFormat/>
    <w:uiPriority w:val="34"/>
    <w:pPr>
      <w:ind w:firstLine="420" w:firstLineChars="200"/>
    </w:pPr>
    <w:rPr>
      <w:szCs w:val="22"/>
    </w:rPr>
  </w:style>
  <w:style w:type="character" w:customStyle="1" w:styleId="23">
    <w:name w:val="标题 Char"/>
    <w:basedOn w:val="12"/>
    <w:link w:val="9"/>
    <w:qFormat/>
    <w:uiPriority w:val="10"/>
    <w:rPr>
      <w:rFonts w:asciiTheme="majorHAnsi" w:hAnsiTheme="majorHAnsi" w:cstheme="majorBidi"/>
      <w:b/>
      <w:bCs/>
      <w:sz w:val="32"/>
      <w:szCs w:val="32"/>
    </w:rPr>
  </w:style>
  <w:style w:type="character" w:customStyle="1" w:styleId="24">
    <w:name w:val="批注框文本 Char"/>
    <w:basedOn w:val="12"/>
    <w:link w:val="5"/>
    <w:semiHidden/>
    <w:qFormat/>
    <w:uiPriority w:val="99"/>
    <w:rPr>
      <w:rFonts w:ascii="宋体" w:hAnsi="宋体"/>
      <w:sz w:val="18"/>
      <w:szCs w:val="18"/>
    </w:rPr>
  </w:style>
  <w:style w:type="character" w:customStyle="1" w:styleId="25">
    <w:name w:val="ref"/>
    <w:basedOn w:val="12"/>
    <w:qFormat/>
    <w:uiPriority w:val="0"/>
  </w:style>
  <w:style w:type="character" w:customStyle="1" w:styleId="26">
    <w:name w:val="icon_video"/>
    <w:basedOn w:val="12"/>
    <w:qFormat/>
    <w:uiPriority w:val="0"/>
  </w:style>
  <w:style w:type="character" w:customStyle="1" w:styleId="27">
    <w:name w:val="one"/>
    <w:basedOn w:val="12"/>
    <w:qFormat/>
    <w:uiPriority w:val="0"/>
    <w:rPr>
      <w:color w:val="003366"/>
    </w:rPr>
  </w:style>
  <w:style w:type="character" w:customStyle="1" w:styleId="28">
    <w:name w:val="loan"/>
    <w:basedOn w:val="12"/>
    <w:qFormat/>
    <w:uiPriority w:val="0"/>
  </w:style>
  <w:style w:type="character" w:customStyle="1" w:styleId="29">
    <w:name w:val="gwds_nopic"/>
    <w:basedOn w:val="12"/>
    <w:qFormat/>
    <w:uiPriority w:val="0"/>
  </w:style>
  <w:style w:type="character" w:customStyle="1" w:styleId="30">
    <w:name w:val="gwds_nopic1"/>
    <w:basedOn w:val="12"/>
    <w:qFormat/>
    <w:uiPriority w:val="0"/>
  </w:style>
  <w:style w:type="character" w:customStyle="1" w:styleId="31">
    <w:name w:val="gwds_nopic2"/>
    <w:basedOn w:val="12"/>
    <w:qFormat/>
    <w:uiPriority w:val="0"/>
    <w:rPr>
      <w:u w:val="single"/>
    </w:rPr>
  </w:style>
  <w:style w:type="character" w:customStyle="1" w:styleId="32">
    <w:name w:val="font"/>
    <w:basedOn w:val="12"/>
    <w:qFormat/>
    <w:uiPriority w:val="0"/>
  </w:style>
  <w:style w:type="character" w:customStyle="1" w:styleId="33">
    <w:name w:val="font1"/>
    <w:basedOn w:val="12"/>
    <w:qFormat/>
    <w:uiPriority w:val="0"/>
  </w:style>
  <w:style w:type="character" w:customStyle="1" w:styleId="34">
    <w:name w:val="laypage_curr"/>
    <w:basedOn w:val="12"/>
    <w:qFormat/>
    <w:uiPriority w:val="0"/>
    <w:rPr>
      <w:color w:val="FFFDF4"/>
      <w:shd w:val="clear" w:color="auto" w:fill="0B67A6"/>
    </w:rPr>
  </w:style>
  <w:style w:type="character" w:customStyle="1" w:styleId="35">
    <w:name w:val="hover12"/>
    <w:basedOn w:val="12"/>
    <w:qFormat/>
    <w:uiPriority w:val="0"/>
    <w:rPr>
      <w:color w:val="015293"/>
    </w:rPr>
  </w:style>
  <w:style w:type="character" w:customStyle="1" w:styleId="36">
    <w:name w:val="hover13"/>
    <w:basedOn w:val="12"/>
    <w:qFormat/>
    <w:uiPriority w:val="0"/>
    <w:rPr>
      <w:color w:val="015293"/>
    </w:rPr>
  </w:style>
  <w:style w:type="character" w:customStyle="1" w:styleId="37">
    <w:name w:val="批注文字 Char"/>
    <w:basedOn w:val="12"/>
    <w:link w:val="2"/>
    <w:semiHidden/>
    <w:qFormat/>
    <w:uiPriority w:val="99"/>
    <w:rPr>
      <w:rFonts w:ascii="宋体" w:hAnsi="宋体"/>
      <w:sz w:val="24"/>
    </w:rPr>
  </w:style>
  <w:style w:type="character" w:customStyle="1" w:styleId="38">
    <w:name w:val="批注主题 Char"/>
    <w:basedOn w:val="37"/>
    <w:link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2AA3FC-10D3-4BDF-B40F-F3B4225529D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3815</Words>
  <Characters>4236</Characters>
  <Lines>8</Lines>
  <Paragraphs>9</Paragraphs>
  <TotalTime>17</TotalTime>
  <ScaleCrop>false</ScaleCrop>
  <LinksUpToDate>false</LinksUpToDate>
  <CharactersWithSpaces>4345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Administrator</cp:lastModifiedBy>
  <cp:lastPrinted>2021-01-29T05:35:00Z</cp:lastPrinted>
  <dcterms:modified xsi:type="dcterms:W3CDTF">2021-02-18T01:38:09Z</dcterms:modified>
  <cp:revision>320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