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9248" w:type="dxa"/>
        <w:jc w:val="center"/>
        <w:tblBorders>
          <w:top w:val="none" w:color="auto" w:sz="0" w:space="0"/>
          <w:left w:val="none" w:color="auto" w:sz="0" w:space="0"/>
          <w:bottom w:val="single" w:color="FF0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248"/>
      </w:tblGrid>
      <w:tr>
        <w:tblPrEx>
          <w:tblBorders>
            <w:top w:val="none" w:color="auto" w:sz="0" w:space="0"/>
            <w:left w:val="none" w:color="auto" w:sz="0" w:space="0"/>
            <w:bottom w:val="single" w:color="FF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2" w:hRule="atLeast"/>
          <w:jc w:val="center"/>
        </w:trPr>
        <w:tc>
          <w:tcPr>
            <w:tcW w:w="9248" w:type="dxa"/>
            <w:vAlign w:val="center"/>
          </w:tcPr>
          <w:p>
            <w:pPr>
              <w:autoSpaceDE/>
              <w:autoSpaceDN/>
              <w:adjustRightInd/>
              <w:jc w:val="distribute"/>
              <w:rPr>
                <w:rFonts w:hint="default" w:cs="宋体"/>
                <w:color w:val="FF0000"/>
                <w:sz w:val="70"/>
                <w:szCs w:val="70"/>
                <w:lang w:val="zh-CN" w:bidi="zh-CN"/>
              </w:rPr>
            </w:pPr>
            <w:r>
              <w:rPr>
                <w:rFonts w:cs="宋体"/>
                <w:color w:val="FF0000"/>
                <w:sz w:val="70"/>
                <w:szCs w:val="70"/>
                <w:lang w:val="zh-CN" w:bidi="zh-CN"/>
              </w:rPr>
              <w:t>中国投资协会</w:t>
            </w:r>
          </w:p>
          <w:p>
            <w:pPr>
              <w:autoSpaceDE/>
              <w:autoSpaceDN/>
              <w:adjustRightInd/>
              <w:jc w:val="distribute"/>
              <w:rPr>
                <w:rFonts w:hint="default" w:ascii="楷体" w:hAnsi="楷体" w:eastAsia="楷体"/>
                <w:color w:val="FF0000"/>
                <w:sz w:val="66"/>
                <w:szCs w:val="66"/>
              </w:rPr>
            </w:pPr>
            <w:r>
              <w:rPr>
                <w:rFonts w:cs="宋体"/>
                <w:color w:val="FF0000"/>
                <w:sz w:val="70"/>
                <w:szCs w:val="70"/>
                <w:lang w:val="zh-CN" w:bidi="zh-CN"/>
              </w:rPr>
              <w:t>项目投融资专业委员会文件</w:t>
            </w:r>
          </w:p>
          <w:p>
            <w:pPr>
              <w:autoSpaceDE/>
              <w:autoSpaceDN/>
              <w:jc w:val="center"/>
              <w:rPr>
                <w:rFonts w:hint="default" w:ascii="仿宋" w:hAnsi="仿宋" w:eastAsia="仿宋"/>
                <w:color w:val="000000" w:themeColor="text1"/>
                <w:sz w:val="32"/>
                <w:szCs w:val="32"/>
              </w:rPr>
            </w:pPr>
            <w:r>
              <w:rPr>
                <w:rFonts w:ascii="仿宋" w:hAnsi="仿宋" w:eastAsia="仿宋" w:cs="宋体"/>
                <w:sz w:val="32"/>
                <w:szCs w:val="32"/>
                <w:lang w:bidi="zh-CN"/>
              </w:rPr>
              <w:t>投融培</w:t>
            </w:r>
            <w:r>
              <w:rPr>
                <w:rFonts w:ascii="仿宋" w:hAnsi="仿宋" w:eastAsia="仿宋" w:cs="宋体"/>
                <w:sz w:val="32"/>
                <w:szCs w:val="32"/>
                <w:lang w:val="zh-CN" w:bidi="zh-CN"/>
              </w:rPr>
              <w:t>〔20</w:t>
            </w:r>
            <w:r>
              <w:rPr>
                <w:rFonts w:ascii="仿宋" w:hAnsi="仿宋" w:eastAsia="仿宋" w:cs="宋体"/>
                <w:sz w:val="32"/>
                <w:szCs w:val="32"/>
                <w:lang w:bidi="zh-CN"/>
              </w:rPr>
              <w:t>21</w:t>
            </w:r>
            <w:r>
              <w:rPr>
                <w:rFonts w:ascii="仿宋" w:hAnsi="仿宋" w:eastAsia="仿宋" w:cs="宋体"/>
                <w:sz w:val="32"/>
                <w:szCs w:val="32"/>
                <w:lang w:val="zh-CN" w:bidi="zh-CN"/>
              </w:rPr>
              <w:t>〕</w:t>
            </w:r>
            <w:r>
              <w:rPr>
                <w:rFonts w:ascii="仿宋" w:hAnsi="仿宋" w:eastAsia="仿宋" w:cs="宋体"/>
                <w:sz w:val="32"/>
                <w:szCs w:val="32"/>
                <w:lang w:bidi="zh-CN"/>
              </w:rPr>
              <w:t>7</w:t>
            </w:r>
            <w:r>
              <w:rPr>
                <w:rFonts w:ascii="仿宋" w:hAnsi="仿宋" w:eastAsia="仿宋" w:cs="宋体"/>
                <w:sz w:val="32"/>
                <w:szCs w:val="32"/>
                <w:lang w:val="zh-CN" w:bidi="zh-CN"/>
              </w:rPr>
              <w:t>号</w:t>
            </w:r>
          </w:p>
        </w:tc>
      </w:tr>
    </w:tbl>
    <w:p>
      <w:pPr>
        <w:spacing w:line="400" w:lineRule="exact"/>
        <w:ind w:firstLine="361" w:firstLineChars="100"/>
        <w:jc w:val="center"/>
        <w:rPr>
          <w:rFonts w:hint="default" w:cs="宋体"/>
          <w:b/>
          <w:bCs/>
          <w:kern w:val="2"/>
          <w:sz w:val="36"/>
          <w:szCs w:val="36"/>
          <w:lang w:val="zh-CN"/>
        </w:rPr>
      </w:pPr>
    </w:p>
    <w:p>
      <w:pPr>
        <w:spacing w:line="400" w:lineRule="exact"/>
        <w:rPr>
          <w:rFonts w:hint="default" w:cs="宋体"/>
          <w:b/>
          <w:bCs/>
          <w:kern w:val="2"/>
          <w:sz w:val="36"/>
          <w:szCs w:val="36"/>
          <w:lang w:val="zh-CN"/>
        </w:rPr>
      </w:pPr>
      <w:r>
        <w:rPr>
          <w:rFonts w:cs="宋体"/>
          <w:b/>
          <w:bCs/>
          <w:kern w:val="2"/>
          <w:sz w:val="36"/>
          <w:szCs w:val="36"/>
          <w:lang w:val="zh-CN"/>
        </w:rPr>
        <w:t>关于举办国企混改方案设计暨战略规划 现代企业制度</w:t>
      </w:r>
    </w:p>
    <w:p>
      <w:pPr>
        <w:spacing w:line="400" w:lineRule="exact"/>
        <w:rPr>
          <w:rFonts w:hint="default" w:ascii="华文中宋" w:hAnsi="华文中宋" w:eastAsia="华文中宋" w:cs="仿宋"/>
          <w:b/>
          <w:kern w:val="2"/>
          <w:sz w:val="28"/>
          <w:szCs w:val="28"/>
        </w:rPr>
      </w:pPr>
      <w:r>
        <w:rPr>
          <w:rFonts w:cs="宋体"/>
          <w:b/>
          <w:bCs/>
          <w:kern w:val="2"/>
          <w:sz w:val="36"/>
          <w:szCs w:val="36"/>
          <w:lang w:val="zh-CN"/>
        </w:rPr>
        <w:t>建设 员工持股</w:t>
      </w:r>
      <w:r>
        <w:rPr>
          <w:rFonts w:hint="eastAsia" w:cs="宋体"/>
          <w:b/>
          <w:bCs/>
          <w:kern w:val="2"/>
          <w:sz w:val="36"/>
          <w:szCs w:val="36"/>
          <w:lang w:val="en-US" w:eastAsia="zh-CN"/>
        </w:rPr>
        <w:t xml:space="preserve"> </w:t>
      </w:r>
      <w:r>
        <w:rPr>
          <w:rFonts w:cs="宋体"/>
          <w:b/>
          <w:bCs/>
          <w:kern w:val="2"/>
          <w:sz w:val="36"/>
          <w:szCs w:val="36"/>
          <w:lang w:val="zh-CN"/>
        </w:rPr>
        <w:t>激励政策及资本运营实务培训班的通知</w:t>
      </w:r>
    </w:p>
    <w:p>
      <w:pPr>
        <w:spacing w:line="320" w:lineRule="exact"/>
        <w:rPr>
          <w:rFonts w:hint="default" w:ascii="仿宋" w:hAnsi="仿宋" w:eastAsia="仿宋" w:cs="仿宋"/>
          <w:b/>
          <w:kern w:val="2"/>
          <w:sz w:val="32"/>
          <w:szCs w:val="32"/>
        </w:rPr>
      </w:pPr>
    </w:p>
    <w:p>
      <w:pPr>
        <w:spacing w:line="420" w:lineRule="exact"/>
        <w:rPr>
          <w:rFonts w:hint="default" w:ascii="黑体" w:hAnsi="黑体" w:eastAsia="黑体" w:cs="黑体"/>
          <w:bCs/>
          <w:color w:val="000000"/>
          <w:sz w:val="32"/>
          <w:szCs w:val="32"/>
        </w:rPr>
      </w:pPr>
      <w:r>
        <w:rPr>
          <w:rFonts w:ascii="仿宋" w:hAnsi="仿宋" w:eastAsia="仿宋" w:cs="仿宋"/>
          <w:bCs/>
          <w:kern w:val="2"/>
          <w:sz w:val="32"/>
          <w:szCs w:val="32"/>
        </w:rPr>
        <w:t>各有关单位:</w:t>
      </w:r>
    </w:p>
    <w:p>
      <w:pPr>
        <w:autoSpaceDE/>
        <w:autoSpaceDN/>
        <w:adjustRightInd/>
        <w:spacing w:line="420" w:lineRule="exact"/>
        <w:ind w:firstLine="640" w:firstLineChars="200"/>
        <w:jc w:val="both"/>
        <w:rPr>
          <w:rFonts w:hint="default" w:ascii="仿宋" w:hAnsi="仿宋" w:eastAsia="仿宋" w:cs="仿宋"/>
          <w:bCs/>
          <w:kern w:val="2"/>
          <w:sz w:val="32"/>
          <w:szCs w:val="32"/>
        </w:rPr>
      </w:pPr>
      <w:r>
        <w:rPr>
          <w:rFonts w:hint="default" w:ascii="仿宋" w:hAnsi="仿宋" w:eastAsia="仿宋" w:cs="仿宋"/>
          <w:bCs/>
          <w:kern w:val="2"/>
          <w:sz w:val="32"/>
          <w:szCs w:val="32"/>
        </w:rPr>
        <w:t>国务院《改革国有资本授权经营体制方案》（国发〔2019〕9号）提出“加快推进国有资本授权经营体制改革，进一步完善国有资本管理体制，推动国有经济布局结构调整，打造充满活力的现代国有企业”的目标任务；中央深改委第十四次会议审议通过《国企改革三年行动方案（2020-2022年）》</w:t>
      </w:r>
      <w:r>
        <w:rPr>
          <w:rFonts w:ascii="仿宋" w:hAnsi="仿宋" w:eastAsia="仿宋" w:cs="仿宋"/>
          <w:bCs/>
          <w:kern w:val="2"/>
          <w:sz w:val="32"/>
          <w:szCs w:val="32"/>
        </w:rPr>
        <w:t>,</w:t>
      </w:r>
      <w:r>
        <w:rPr>
          <w:rFonts w:hint="default" w:ascii="仿宋" w:hAnsi="仿宋" w:eastAsia="仿宋" w:cs="仿宋"/>
          <w:bCs/>
          <w:kern w:val="2"/>
          <w:sz w:val="32"/>
          <w:szCs w:val="32"/>
        </w:rPr>
        <w:t>要求“积极稳妥、分层分类深化混合所有制改革，推动混合所有制企业探索基于混改的企业制度重构，深度转化经营机制，积极推动深度发挥非国有股东的积极作用”；《关于改革国有企业工资决定机制的意见》（国发〔2018〕16号）《国务院国资委授权放权清单（2019年版）》等文件出台，推动了国企混改试点落地实施。</w:t>
      </w:r>
    </w:p>
    <w:p>
      <w:pPr>
        <w:autoSpaceDE/>
        <w:autoSpaceDN/>
        <w:adjustRightInd/>
        <w:spacing w:line="420" w:lineRule="exact"/>
        <w:ind w:firstLine="640" w:firstLineChars="200"/>
        <w:jc w:val="both"/>
        <w:rPr>
          <w:rFonts w:hint="default" w:ascii="仿宋" w:hAnsi="仿宋" w:eastAsia="仿宋" w:cs="仿宋"/>
          <w:bCs/>
          <w:kern w:val="2"/>
          <w:sz w:val="32"/>
          <w:szCs w:val="32"/>
        </w:rPr>
      </w:pPr>
      <w:r>
        <w:rPr>
          <w:rFonts w:hint="default" w:ascii="仿宋" w:hAnsi="仿宋" w:eastAsia="仿宋" w:cs="仿宋"/>
          <w:bCs/>
          <w:kern w:val="2"/>
          <w:sz w:val="32"/>
          <w:szCs w:val="32"/>
        </w:rPr>
        <w:t>国企实施混改、员工持股、长效激励及资本运营是政策性和专业性强、涉及面广、利益关系复杂、操作难度大的系统工程。为了帮助各单位掌握相关政策要点，推进国企改革落地实施，提高国企可持续发展能力，中国投资协会项目投融资专业委员会会同北京中建科信管理咨询集团有限公司举办国企混改方案设计暨战略规划</w:t>
      </w:r>
      <w:r>
        <w:rPr>
          <w:rFonts w:ascii="仿宋" w:hAnsi="仿宋" w:eastAsia="仿宋" w:cs="仿宋"/>
          <w:bCs/>
          <w:kern w:val="2"/>
          <w:sz w:val="32"/>
          <w:szCs w:val="32"/>
        </w:rPr>
        <w:t>、</w:t>
      </w:r>
      <w:r>
        <w:rPr>
          <w:rFonts w:hint="default" w:ascii="仿宋" w:hAnsi="仿宋" w:eastAsia="仿宋" w:cs="仿宋"/>
          <w:bCs/>
          <w:kern w:val="2"/>
          <w:sz w:val="32"/>
          <w:szCs w:val="32"/>
        </w:rPr>
        <w:t>现代企业制度建设</w:t>
      </w:r>
      <w:r>
        <w:rPr>
          <w:rFonts w:ascii="仿宋" w:hAnsi="仿宋" w:eastAsia="仿宋" w:cs="仿宋"/>
          <w:bCs/>
          <w:kern w:val="2"/>
          <w:sz w:val="32"/>
          <w:szCs w:val="32"/>
        </w:rPr>
        <w:t>、</w:t>
      </w:r>
      <w:r>
        <w:rPr>
          <w:rFonts w:hint="default" w:ascii="仿宋" w:hAnsi="仿宋" w:eastAsia="仿宋" w:cs="仿宋"/>
          <w:bCs/>
          <w:kern w:val="2"/>
          <w:sz w:val="32"/>
          <w:szCs w:val="32"/>
        </w:rPr>
        <w:t>员工持股</w:t>
      </w:r>
      <w:r>
        <w:rPr>
          <w:rFonts w:ascii="仿宋" w:hAnsi="仿宋" w:eastAsia="仿宋" w:cs="仿宋"/>
          <w:bCs/>
          <w:kern w:val="2"/>
          <w:sz w:val="32"/>
          <w:szCs w:val="32"/>
        </w:rPr>
        <w:t>、</w:t>
      </w:r>
      <w:r>
        <w:rPr>
          <w:rFonts w:hint="default" w:ascii="仿宋" w:hAnsi="仿宋" w:eastAsia="仿宋" w:cs="仿宋"/>
          <w:bCs/>
          <w:kern w:val="2"/>
          <w:sz w:val="32"/>
          <w:szCs w:val="32"/>
        </w:rPr>
        <w:t>激励政策及资本运营实务培训班</w:t>
      </w:r>
      <w:r>
        <w:rPr>
          <w:rFonts w:ascii="仿宋" w:hAnsi="仿宋" w:eastAsia="仿宋" w:cs="仿宋"/>
          <w:bCs/>
          <w:kern w:val="2"/>
          <w:sz w:val="32"/>
          <w:szCs w:val="32"/>
        </w:rPr>
        <w:t>。</w:t>
      </w:r>
      <w:r>
        <w:rPr>
          <w:rFonts w:hint="default" w:ascii="仿宋" w:hAnsi="仿宋" w:eastAsia="仿宋" w:cs="仿宋"/>
          <w:bCs/>
          <w:kern w:val="2"/>
          <w:sz w:val="32"/>
          <w:szCs w:val="32"/>
        </w:rPr>
        <w:t>现将具体事项通知如下：</w:t>
      </w:r>
    </w:p>
    <w:p>
      <w:pPr>
        <w:autoSpaceDE/>
        <w:autoSpaceDN/>
        <w:adjustRightInd/>
        <w:spacing w:line="420" w:lineRule="exact"/>
        <w:ind w:firstLine="640" w:firstLineChars="200"/>
        <w:jc w:val="both"/>
        <w:rPr>
          <w:rFonts w:hint="default" w:ascii="黑体" w:hAnsi="黑体" w:eastAsia="黑体" w:cs="黑体"/>
          <w:bCs/>
          <w:kern w:val="2"/>
          <w:sz w:val="32"/>
          <w:szCs w:val="32"/>
        </w:rPr>
      </w:pPr>
      <w:r>
        <w:rPr>
          <w:rFonts w:ascii="黑体" w:hAnsi="黑体" w:eastAsia="黑体" w:cs="黑体"/>
          <w:bCs/>
          <w:kern w:val="2"/>
          <w:sz w:val="32"/>
          <w:szCs w:val="32"/>
        </w:rPr>
        <w:t>一、组织机构</w:t>
      </w:r>
    </w:p>
    <w:p>
      <w:pPr>
        <w:autoSpaceDE/>
        <w:autoSpaceDN/>
        <w:adjustRightInd/>
        <w:spacing w:line="420" w:lineRule="exact"/>
        <w:ind w:firstLine="640" w:firstLineChars="200"/>
        <w:jc w:val="both"/>
        <w:rPr>
          <w:rFonts w:hint="default" w:ascii="仿宋" w:hAnsi="仿宋" w:eastAsia="仿宋" w:cs="仿宋"/>
          <w:bCs/>
          <w:kern w:val="2"/>
          <w:sz w:val="32"/>
          <w:szCs w:val="32"/>
        </w:rPr>
      </w:pPr>
      <w:r>
        <w:rPr>
          <w:rFonts w:hint="default" w:ascii="仿宋" w:hAnsi="仿宋" w:eastAsia="仿宋" w:cs="仿宋"/>
          <w:bCs/>
          <w:kern w:val="2"/>
          <w:sz w:val="32"/>
          <w:szCs w:val="32"/>
        </w:rPr>
        <w:t>主办单位：中国投资协会项目投融资专业委员会</w:t>
      </w:r>
    </w:p>
    <w:p>
      <w:pPr>
        <w:autoSpaceDE/>
        <w:autoSpaceDN/>
        <w:adjustRightInd/>
        <w:spacing w:line="420" w:lineRule="exact"/>
        <w:ind w:firstLine="640" w:firstLineChars="200"/>
        <w:jc w:val="both"/>
        <w:rPr>
          <w:rFonts w:hint="default" w:ascii="仿宋" w:hAnsi="仿宋" w:eastAsia="仿宋" w:cs="仿宋"/>
          <w:bCs/>
          <w:kern w:val="2"/>
          <w:sz w:val="32"/>
          <w:szCs w:val="32"/>
        </w:rPr>
      </w:pPr>
      <w:r>
        <w:rPr>
          <w:rFonts w:hint="default" w:ascii="仿宋" w:hAnsi="仿宋" w:eastAsia="仿宋" w:cs="仿宋"/>
          <w:bCs/>
          <w:kern w:val="2"/>
          <w:sz w:val="32"/>
          <w:szCs w:val="32"/>
        </w:rPr>
        <w:t>承办单位：北京中建科信管理咨询集团有限公司</w:t>
      </w:r>
    </w:p>
    <w:p>
      <w:pPr>
        <w:autoSpaceDE/>
        <w:autoSpaceDN/>
        <w:adjustRightInd/>
        <w:spacing w:line="420" w:lineRule="exact"/>
        <w:ind w:firstLine="640" w:firstLineChars="200"/>
        <w:jc w:val="both"/>
        <w:rPr>
          <w:rFonts w:hint="default" w:ascii="黑体" w:hAnsi="黑体" w:eastAsia="黑体" w:cs="黑体"/>
          <w:bCs/>
          <w:kern w:val="2"/>
          <w:sz w:val="32"/>
          <w:szCs w:val="32"/>
        </w:rPr>
      </w:pPr>
      <w:r>
        <w:rPr>
          <w:rFonts w:ascii="黑体" w:hAnsi="黑体" w:eastAsia="黑体" w:cs="黑体"/>
          <w:bCs/>
          <w:kern w:val="2"/>
          <w:sz w:val="32"/>
          <w:szCs w:val="32"/>
        </w:rPr>
        <w:t>二、培训内容</w:t>
      </w:r>
      <w:r>
        <w:rPr>
          <w:rFonts w:ascii="仿宋" w:hAnsi="仿宋" w:eastAsia="仿宋" w:cs="黑体"/>
          <w:bCs/>
          <w:kern w:val="2"/>
          <w:sz w:val="32"/>
          <w:szCs w:val="32"/>
        </w:rPr>
        <w:t>（详细内容见附件）</w:t>
      </w:r>
    </w:p>
    <w:p>
      <w:pPr>
        <w:autoSpaceDE/>
        <w:autoSpaceDN/>
        <w:adjustRightInd/>
        <w:spacing w:line="420" w:lineRule="exact"/>
        <w:ind w:firstLine="640" w:firstLineChars="200"/>
        <w:jc w:val="both"/>
        <w:rPr>
          <w:rFonts w:hint="default" w:ascii="仿宋" w:hAnsi="仿宋" w:eastAsia="仿宋" w:cs="仿宋"/>
          <w:bCs/>
          <w:kern w:val="2"/>
          <w:sz w:val="32"/>
          <w:szCs w:val="32"/>
        </w:rPr>
      </w:pPr>
      <w:r>
        <w:rPr>
          <w:rFonts w:hint="default" w:ascii="仿宋" w:hAnsi="仿宋" w:eastAsia="仿宋" w:cs="仿宋"/>
          <w:bCs/>
          <w:kern w:val="2"/>
          <w:sz w:val="32"/>
          <w:szCs w:val="32"/>
        </w:rPr>
        <w:t>1</w:t>
      </w:r>
      <w:r>
        <w:rPr>
          <w:rFonts w:ascii="仿宋" w:hAnsi="仿宋" w:eastAsia="仿宋" w:cs="仿宋"/>
          <w:bCs/>
          <w:kern w:val="2"/>
          <w:sz w:val="32"/>
          <w:szCs w:val="32"/>
        </w:rPr>
        <w:t>.</w:t>
      </w:r>
      <w:r>
        <w:rPr>
          <w:rFonts w:hint="default" w:ascii="仿宋" w:hAnsi="仿宋" w:eastAsia="仿宋" w:cs="仿宋"/>
          <w:bCs/>
          <w:kern w:val="2"/>
          <w:sz w:val="32"/>
          <w:szCs w:val="32"/>
        </w:rPr>
        <w:t>国有企业改革相关政策解读</w:t>
      </w:r>
    </w:p>
    <w:p>
      <w:pPr>
        <w:autoSpaceDE/>
        <w:autoSpaceDN/>
        <w:adjustRightInd/>
        <w:spacing w:line="420" w:lineRule="exact"/>
        <w:ind w:firstLine="640" w:firstLineChars="200"/>
        <w:jc w:val="both"/>
        <w:rPr>
          <w:rFonts w:hint="default" w:ascii="仿宋" w:hAnsi="仿宋" w:eastAsia="仿宋" w:cs="仿宋"/>
          <w:bCs/>
          <w:kern w:val="2"/>
          <w:sz w:val="32"/>
          <w:szCs w:val="32"/>
        </w:rPr>
      </w:pPr>
      <w:r>
        <w:rPr>
          <w:rFonts w:hint="default" w:ascii="仿宋" w:hAnsi="仿宋" w:eastAsia="仿宋" w:cs="仿宋"/>
          <w:bCs/>
          <w:kern w:val="2"/>
          <w:sz w:val="32"/>
          <w:szCs w:val="32"/>
        </w:rPr>
        <w:t>2</w:t>
      </w:r>
      <w:r>
        <w:rPr>
          <w:rFonts w:ascii="仿宋" w:hAnsi="仿宋" w:eastAsia="仿宋" w:cs="仿宋"/>
          <w:bCs/>
          <w:kern w:val="2"/>
          <w:sz w:val="32"/>
          <w:szCs w:val="32"/>
        </w:rPr>
        <w:t>.</w:t>
      </w:r>
      <w:r>
        <w:rPr>
          <w:rFonts w:hint="default" w:ascii="仿宋" w:hAnsi="仿宋" w:eastAsia="仿宋" w:cs="仿宋"/>
          <w:bCs/>
          <w:kern w:val="2"/>
          <w:sz w:val="32"/>
          <w:szCs w:val="32"/>
        </w:rPr>
        <w:t>国企混合所有制改革的政策解读与操作要点</w:t>
      </w:r>
    </w:p>
    <w:p>
      <w:pPr>
        <w:autoSpaceDE/>
        <w:autoSpaceDN/>
        <w:adjustRightInd/>
        <w:spacing w:line="420" w:lineRule="exact"/>
        <w:ind w:firstLine="640" w:firstLineChars="200"/>
        <w:jc w:val="both"/>
        <w:rPr>
          <w:rFonts w:hint="default" w:ascii="仿宋" w:hAnsi="仿宋" w:eastAsia="仿宋" w:cs="仿宋"/>
          <w:bCs/>
          <w:kern w:val="2"/>
          <w:sz w:val="32"/>
          <w:szCs w:val="32"/>
        </w:rPr>
      </w:pPr>
      <w:r>
        <w:rPr>
          <w:rFonts w:hint="default" w:ascii="仿宋" w:hAnsi="仿宋" w:eastAsia="仿宋" w:cs="仿宋"/>
          <w:bCs/>
          <w:kern w:val="2"/>
          <w:sz w:val="32"/>
          <w:szCs w:val="32"/>
        </w:rPr>
        <w:t>3</w:t>
      </w:r>
      <w:r>
        <w:rPr>
          <w:rFonts w:ascii="仿宋" w:hAnsi="仿宋" w:eastAsia="仿宋" w:cs="仿宋"/>
          <w:bCs/>
          <w:kern w:val="2"/>
          <w:sz w:val="32"/>
          <w:szCs w:val="32"/>
        </w:rPr>
        <w:t>.</w:t>
      </w:r>
      <w:r>
        <w:rPr>
          <w:rFonts w:hint="default" w:ascii="仿宋" w:hAnsi="仿宋" w:eastAsia="仿宋" w:cs="仿宋"/>
          <w:bCs/>
          <w:kern w:val="2"/>
          <w:sz w:val="32"/>
          <w:szCs w:val="32"/>
        </w:rPr>
        <w:t>国企混合所有制改革的难点解析、操作模式及实战技术</w:t>
      </w:r>
    </w:p>
    <w:p>
      <w:pPr>
        <w:autoSpaceDE/>
        <w:autoSpaceDN/>
        <w:adjustRightInd/>
        <w:spacing w:line="420" w:lineRule="exact"/>
        <w:ind w:firstLine="640" w:firstLineChars="200"/>
        <w:jc w:val="both"/>
        <w:rPr>
          <w:rFonts w:hint="default" w:ascii="仿宋" w:hAnsi="仿宋" w:eastAsia="仿宋" w:cs="仿宋"/>
          <w:bCs/>
          <w:kern w:val="2"/>
          <w:sz w:val="32"/>
          <w:szCs w:val="32"/>
        </w:rPr>
      </w:pPr>
      <w:r>
        <w:rPr>
          <w:rFonts w:hint="default" w:ascii="仿宋" w:hAnsi="仿宋" w:eastAsia="仿宋" w:cs="仿宋"/>
          <w:bCs/>
          <w:kern w:val="2"/>
          <w:sz w:val="32"/>
          <w:szCs w:val="32"/>
        </w:rPr>
        <w:t>4</w:t>
      </w:r>
      <w:r>
        <w:rPr>
          <w:rFonts w:ascii="仿宋" w:hAnsi="仿宋" w:eastAsia="仿宋" w:cs="仿宋"/>
          <w:bCs/>
          <w:kern w:val="2"/>
          <w:sz w:val="32"/>
          <w:szCs w:val="32"/>
        </w:rPr>
        <w:t>.</w:t>
      </w:r>
      <w:r>
        <w:rPr>
          <w:rFonts w:hint="default" w:ascii="仿宋" w:hAnsi="仿宋" w:eastAsia="仿宋" w:cs="仿宋"/>
          <w:bCs/>
          <w:kern w:val="2"/>
          <w:sz w:val="32"/>
          <w:szCs w:val="32"/>
        </w:rPr>
        <w:t>国企混改中的战略规划及操作要点</w:t>
      </w:r>
    </w:p>
    <w:p>
      <w:pPr>
        <w:autoSpaceDE/>
        <w:autoSpaceDN/>
        <w:adjustRightInd/>
        <w:spacing w:line="420" w:lineRule="exact"/>
        <w:ind w:firstLine="640" w:firstLineChars="200"/>
        <w:jc w:val="both"/>
        <w:rPr>
          <w:rFonts w:hint="default" w:ascii="仿宋" w:hAnsi="仿宋" w:eastAsia="仿宋" w:cs="仿宋"/>
          <w:bCs/>
          <w:kern w:val="2"/>
          <w:sz w:val="32"/>
          <w:szCs w:val="32"/>
        </w:rPr>
      </w:pPr>
      <w:r>
        <w:rPr>
          <w:rFonts w:hint="default" w:ascii="仿宋" w:hAnsi="仿宋" w:eastAsia="仿宋" w:cs="仿宋"/>
          <w:bCs/>
          <w:kern w:val="2"/>
          <w:sz w:val="32"/>
          <w:szCs w:val="32"/>
        </w:rPr>
        <w:t>5</w:t>
      </w:r>
      <w:r>
        <w:rPr>
          <w:rFonts w:ascii="仿宋" w:hAnsi="仿宋" w:eastAsia="仿宋" w:cs="仿宋"/>
          <w:bCs/>
          <w:kern w:val="2"/>
          <w:sz w:val="32"/>
          <w:szCs w:val="32"/>
        </w:rPr>
        <w:t>.</w:t>
      </w:r>
      <w:r>
        <w:rPr>
          <w:rFonts w:hint="default" w:ascii="仿宋" w:hAnsi="仿宋" w:eastAsia="仿宋" w:cs="仿宋"/>
          <w:bCs/>
          <w:kern w:val="2"/>
          <w:sz w:val="32"/>
          <w:szCs w:val="32"/>
        </w:rPr>
        <w:t>国企混改后的管控模式及操作要点</w:t>
      </w:r>
    </w:p>
    <w:p>
      <w:pPr>
        <w:autoSpaceDE/>
        <w:autoSpaceDN/>
        <w:adjustRightInd/>
        <w:spacing w:line="420" w:lineRule="exact"/>
        <w:ind w:firstLine="640" w:firstLineChars="200"/>
        <w:jc w:val="both"/>
        <w:rPr>
          <w:rFonts w:hint="default" w:ascii="仿宋" w:hAnsi="仿宋" w:eastAsia="仿宋" w:cs="仿宋"/>
          <w:bCs/>
          <w:kern w:val="2"/>
          <w:sz w:val="32"/>
          <w:szCs w:val="32"/>
        </w:rPr>
      </w:pPr>
      <w:r>
        <w:rPr>
          <w:rFonts w:hint="default" w:ascii="仿宋" w:hAnsi="仿宋" w:eastAsia="仿宋" w:cs="仿宋"/>
          <w:bCs/>
          <w:kern w:val="2"/>
          <w:sz w:val="32"/>
          <w:szCs w:val="32"/>
        </w:rPr>
        <w:t>6</w:t>
      </w:r>
      <w:r>
        <w:rPr>
          <w:rFonts w:ascii="仿宋" w:hAnsi="仿宋" w:eastAsia="仿宋" w:cs="仿宋"/>
          <w:bCs/>
          <w:kern w:val="2"/>
          <w:sz w:val="32"/>
          <w:szCs w:val="32"/>
        </w:rPr>
        <w:t>.《关于改革国有企业工资决定机制的意见》解读</w:t>
      </w:r>
    </w:p>
    <w:p>
      <w:pPr>
        <w:autoSpaceDE/>
        <w:autoSpaceDN/>
        <w:adjustRightInd/>
        <w:spacing w:line="420" w:lineRule="exact"/>
        <w:ind w:firstLine="640" w:firstLineChars="200"/>
        <w:jc w:val="both"/>
        <w:rPr>
          <w:rFonts w:hint="default" w:ascii="仿宋" w:hAnsi="仿宋" w:eastAsia="仿宋" w:cs="仿宋"/>
          <w:bCs/>
          <w:kern w:val="2"/>
          <w:sz w:val="32"/>
          <w:szCs w:val="32"/>
        </w:rPr>
      </w:pPr>
      <w:r>
        <w:rPr>
          <w:rFonts w:hint="default" w:ascii="仿宋" w:hAnsi="仿宋" w:eastAsia="仿宋" w:cs="仿宋"/>
          <w:bCs/>
          <w:kern w:val="2"/>
          <w:sz w:val="32"/>
          <w:szCs w:val="32"/>
        </w:rPr>
        <w:t>7</w:t>
      </w:r>
      <w:r>
        <w:rPr>
          <w:rFonts w:ascii="仿宋" w:hAnsi="仿宋" w:eastAsia="仿宋" w:cs="仿宋"/>
          <w:bCs/>
          <w:kern w:val="2"/>
          <w:sz w:val="32"/>
          <w:szCs w:val="32"/>
        </w:rPr>
        <w:t>.</w:t>
      </w:r>
      <w:r>
        <w:rPr>
          <w:rFonts w:hint="default" w:ascii="仿宋" w:hAnsi="仿宋" w:eastAsia="仿宋" w:cs="仿宋"/>
          <w:bCs/>
          <w:kern w:val="2"/>
          <w:sz w:val="32"/>
          <w:szCs w:val="32"/>
        </w:rPr>
        <w:t>国有企业人才管理机制及薪酬绩效管理体系改革</w:t>
      </w:r>
    </w:p>
    <w:p>
      <w:pPr>
        <w:autoSpaceDE/>
        <w:autoSpaceDN/>
        <w:adjustRightInd/>
        <w:spacing w:line="420" w:lineRule="exact"/>
        <w:ind w:firstLine="640" w:firstLineChars="200"/>
        <w:jc w:val="both"/>
        <w:rPr>
          <w:rFonts w:hint="default" w:ascii="仿宋" w:hAnsi="仿宋" w:eastAsia="仿宋" w:cs="仿宋"/>
          <w:bCs/>
          <w:kern w:val="2"/>
          <w:sz w:val="32"/>
          <w:szCs w:val="32"/>
        </w:rPr>
      </w:pPr>
      <w:r>
        <w:rPr>
          <w:rFonts w:hint="default" w:ascii="仿宋" w:hAnsi="仿宋" w:eastAsia="仿宋" w:cs="仿宋"/>
          <w:bCs/>
          <w:kern w:val="2"/>
          <w:sz w:val="32"/>
          <w:szCs w:val="32"/>
        </w:rPr>
        <w:t>8</w:t>
      </w:r>
      <w:r>
        <w:rPr>
          <w:rFonts w:ascii="仿宋" w:hAnsi="仿宋" w:eastAsia="仿宋" w:cs="仿宋"/>
          <w:bCs/>
          <w:kern w:val="2"/>
          <w:sz w:val="32"/>
          <w:szCs w:val="32"/>
        </w:rPr>
        <w:t>.</w:t>
      </w:r>
      <w:r>
        <w:rPr>
          <w:rFonts w:hint="default" w:ascii="仿宋" w:hAnsi="仿宋" w:eastAsia="仿宋" w:cs="仿宋"/>
          <w:bCs/>
          <w:kern w:val="2"/>
          <w:sz w:val="32"/>
          <w:szCs w:val="32"/>
        </w:rPr>
        <w:t>国企薪酬改革、员工持股与长期激励机制设计</w:t>
      </w:r>
    </w:p>
    <w:p>
      <w:pPr>
        <w:autoSpaceDE/>
        <w:autoSpaceDN/>
        <w:adjustRightInd/>
        <w:spacing w:line="420" w:lineRule="exact"/>
        <w:ind w:firstLine="640" w:firstLineChars="200"/>
        <w:jc w:val="both"/>
        <w:rPr>
          <w:rFonts w:hint="default" w:ascii="仿宋" w:hAnsi="仿宋" w:eastAsia="仿宋" w:cs="仿宋"/>
          <w:bCs/>
          <w:kern w:val="2"/>
          <w:sz w:val="32"/>
          <w:szCs w:val="32"/>
        </w:rPr>
      </w:pPr>
      <w:r>
        <w:rPr>
          <w:rFonts w:hint="default" w:ascii="仿宋" w:hAnsi="仿宋" w:eastAsia="仿宋" w:cs="仿宋"/>
          <w:bCs/>
          <w:kern w:val="2"/>
          <w:sz w:val="32"/>
          <w:szCs w:val="32"/>
        </w:rPr>
        <w:t>9</w:t>
      </w:r>
      <w:r>
        <w:rPr>
          <w:rFonts w:ascii="仿宋" w:hAnsi="仿宋" w:eastAsia="仿宋" w:cs="仿宋"/>
          <w:bCs/>
          <w:kern w:val="2"/>
          <w:sz w:val="32"/>
          <w:szCs w:val="32"/>
        </w:rPr>
        <w:t>.国有企业绩效考核方案设计与操作及案例分享</w:t>
      </w:r>
    </w:p>
    <w:p>
      <w:pPr>
        <w:autoSpaceDE/>
        <w:autoSpaceDN/>
        <w:adjustRightInd/>
        <w:spacing w:line="420" w:lineRule="exact"/>
        <w:ind w:left="1121" w:leftChars="267" w:hanging="480" w:hangingChars="150"/>
        <w:jc w:val="both"/>
        <w:rPr>
          <w:rFonts w:hint="default" w:ascii="仿宋" w:hAnsi="仿宋" w:eastAsia="仿宋" w:cs="仿宋"/>
          <w:bCs/>
          <w:kern w:val="2"/>
          <w:sz w:val="32"/>
          <w:szCs w:val="32"/>
        </w:rPr>
      </w:pPr>
      <w:r>
        <w:rPr>
          <w:rFonts w:hint="default" w:ascii="仿宋" w:hAnsi="仿宋" w:eastAsia="仿宋" w:cs="仿宋"/>
          <w:bCs/>
          <w:kern w:val="2"/>
          <w:sz w:val="32"/>
          <w:szCs w:val="32"/>
        </w:rPr>
        <w:t>10</w:t>
      </w:r>
      <w:r>
        <w:rPr>
          <w:rFonts w:ascii="仿宋" w:hAnsi="仿宋" w:eastAsia="仿宋" w:cs="仿宋"/>
          <w:bCs/>
          <w:kern w:val="2"/>
          <w:sz w:val="32"/>
          <w:szCs w:val="32"/>
        </w:rPr>
        <w:t>.国企混改中员工持股、股权和分红激励的操作要点及实战技术</w:t>
      </w:r>
    </w:p>
    <w:p>
      <w:pPr>
        <w:autoSpaceDE/>
        <w:autoSpaceDN/>
        <w:adjustRightInd/>
        <w:spacing w:line="420" w:lineRule="exact"/>
        <w:ind w:firstLine="640" w:firstLineChars="200"/>
        <w:jc w:val="both"/>
        <w:rPr>
          <w:rFonts w:hint="default" w:ascii="仿宋" w:hAnsi="仿宋" w:eastAsia="仿宋" w:cs="仿宋"/>
          <w:bCs/>
          <w:kern w:val="2"/>
          <w:sz w:val="32"/>
          <w:szCs w:val="32"/>
        </w:rPr>
      </w:pPr>
      <w:r>
        <w:rPr>
          <w:rFonts w:ascii="仿宋" w:hAnsi="仿宋" w:eastAsia="仿宋" w:cs="仿宋"/>
          <w:bCs/>
          <w:kern w:val="2"/>
          <w:sz w:val="32"/>
          <w:szCs w:val="32"/>
        </w:rPr>
        <w:t>11.</w:t>
      </w:r>
      <w:r>
        <w:rPr>
          <w:rFonts w:hint="default" w:ascii="仿宋" w:hAnsi="仿宋" w:eastAsia="仿宋" w:cs="仿宋"/>
          <w:bCs/>
          <w:kern w:val="2"/>
          <w:sz w:val="32"/>
          <w:szCs w:val="32"/>
        </w:rPr>
        <w:t>国企改革中的职工安置实务</w:t>
      </w:r>
    </w:p>
    <w:p>
      <w:pPr>
        <w:autoSpaceDE/>
        <w:autoSpaceDN/>
        <w:adjustRightInd/>
        <w:spacing w:line="420" w:lineRule="exact"/>
        <w:ind w:firstLine="640" w:firstLineChars="200"/>
        <w:jc w:val="both"/>
        <w:rPr>
          <w:rFonts w:hint="default" w:ascii="仿宋" w:hAnsi="仿宋" w:eastAsia="仿宋" w:cs="仿宋"/>
          <w:bCs/>
          <w:kern w:val="2"/>
          <w:sz w:val="32"/>
          <w:szCs w:val="32"/>
        </w:rPr>
      </w:pPr>
      <w:r>
        <w:rPr>
          <w:rFonts w:ascii="仿宋" w:hAnsi="仿宋" w:eastAsia="仿宋" w:cs="仿宋"/>
          <w:bCs/>
          <w:kern w:val="2"/>
          <w:sz w:val="32"/>
          <w:szCs w:val="32"/>
        </w:rPr>
        <w:t>12.</w:t>
      </w:r>
      <w:r>
        <w:rPr>
          <w:rFonts w:hint="default" w:ascii="仿宋" w:hAnsi="仿宋" w:eastAsia="仿宋" w:cs="仿宋"/>
          <w:bCs/>
          <w:kern w:val="2"/>
          <w:sz w:val="32"/>
          <w:szCs w:val="32"/>
        </w:rPr>
        <w:t>市场化选聘经营管理者与职业经理人</w:t>
      </w:r>
    </w:p>
    <w:p>
      <w:pPr>
        <w:autoSpaceDE/>
        <w:autoSpaceDN/>
        <w:adjustRightInd/>
        <w:spacing w:line="420" w:lineRule="exact"/>
        <w:ind w:firstLine="640" w:firstLineChars="200"/>
        <w:jc w:val="both"/>
        <w:rPr>
          <w:rFonts w:hint="default" w:ascii="仿宋" w:hAnsi="仿宋" w:eastAsia="仿宋" w:cs="仿宋"/>
          <w:bCs/>
          <w:kern w:val="2"/>
          <w:sz w:val="32"/>
          <w:szCs w:val="32"/>
        </w:rPr>
      </w:pPr>
      <w:r>
        <w:rPr>
          <w:rFonts w:ascii="仿宋" w:hAnsi="仿宋" w:eastAsia="仿宋" w:cs="仿宋"/>
          <w:bCs/>
          <w:kern w:val="2"/>
          <w:sz w:val="32"/>
          <w:szCs w:val="32"/>
        </w:rPr>
        <w:t xml:space="preserve">13.公司治理的变革与升级 </w:t>
      </w:r>
    </w:p>
    <w:p>
      <w:pPr>
        <w:autoSpaceDE/>
        <w:autoSpaceDN/>
        <w:adjustRightInd/>
        <w:spacing w:line="420" w:lineRule="exact"/>
        <w:ind w:left="1121" w:leftChars="267" w:hanging="480" w:hangingChars="150"/>
        <w:jc w:val="both"/>
        <w:rPr>
          <w:rFonts w:hint="default" w:ascii="仿宋" w:hAnsi="仿宋" w:eastAsia="仿宋" w:cs="仿宋"/>
          <w:bCs/>
          <w:kern w:val="2"/>
          <w:sz w:val="32"/>
          <w:szCs w:val="32"/>
        </w:rPr>
      </w:pPr>
      <w:r>
        <w:rPr>
          <w:rFonts w:ascii="仿宋" w:hAnsi="仿宋" w:eastAsia="仿宋" w:cs="仿宋"/>
          <w:bCs/>
          <w:kern w:val="2"/>
          <w:sz w:val="32"/>
          <w:szCs w:val="32"/>
        </w:rPr>
        <w:t>14.国企与民资</w:t>
      </w:r>
      <w:r>
        <w:rPr>
          <w:rFonts w:hint="default" w:ascii="仿宋" w:hAnsi="仿宋" w:eastAsia="仿宋" w:cs="仿宋"/>
          <w:bCs/>
          <w:kern w:val="2"/>
          <w:sz w:val="32"/>
          <w:szCs w:val="32"/>
        </w:rPr>
        <w:t>双向混改和并购</w:t>
      </w:r>
      <w:r>
        <w:rPr>
          <w:rFonts w:ascii="仿宋" w:hAnsi="仿宋" w:eastAsia="仿宋" w:cs="仿宋"/>
          <w:bCs/>
          <w:kern w:val="2"/>
          <w:sz w:val="32"/>
          <w:szCs w:val="32"/>
        </w:rPr>
        <w:t>的资本运营</w:t>
      </w:r>
      <w:r>
        <w:rPr>
          <w:rFonts w:hint="default" w:ascii="仿宋" w:hAnsi="仿宋" w:eastAsia="仿宋" w:cs="仿宋"/>
          <w:bCs/>
          <w:kern w:val="2"/>
          <w:sz w:val="32"/>
          <w:szCs w:val="32"/>
        </w:rPr>
        <w:t>政策、实操、工具运用案例分析</w:t>
      </w:r>
    </w:p>
    <w:p>
      <w:pPr>
        <w:autoSpaceDE/>
        <w:autoSpaceDN/>
        <w:adjustRightInd/>
        <w:spacing w:line="420" w:lineRule="exact"/>
        <w:ind w:firstLine="640" w:firstLineChars="200"/>
        <w:jc w:val="both"/>
        <w:rPr>
          <w:rFonts w:hint="default" w:ascii="黑体" w:hAnsi="黑体" w:eastAsia="黑体" w:cs="黑体"/>
          <w:color w:val="000000"/>
          <w:sz w:val="32"/>
          <w:szCs w:val="32"/>
        </w:rPr>
      </w:pPr>
      <w:r>
        <w:rPr>
          <w:rFonts w:ascii="黑体" w:hAnsi="黑体" w:eastAsia="黑体" w:cs="黑体"/>
          <w:color w:val="000000"/>
          <w:sz w:val="32"/>
          <w:szCs w:val="32"/>
        </w:rPr>
        <w:t>三、培训对象</w:t>
      </w:r>
    </w:p>
    <w:p>
      <w:pPr>
        <w:autoSpaceDE/>
        <w:autoSpaceDN/>
        <w:adjustRightInd/>
        <w:spacing w:line="420" w:lineRule="exact"/>
        <w:ind w:firstLine="640" w:firstLineChars="200"/>
        <w:jc w:val="both"/>
        <w:rPr>
          <w:rFonts w:hint="default" w:ascii="仿宋" w:hAnsi="仿宋" w:eastAsia="仿宋" w:cs="仿宋"/>
          <w:bCs/>
          <w:kern w:val="2"/>
          <w:sz w:val="32"/>
          <w:szCs w:val="32"/>
        </w:rPr>
      </w:pPr>
      <w:r>
        <w:rPr>
          <w:rFonts w:hint="default" w:ascii="仿宋" w:hAnsi="仿宋" w:eastAsia="仿宋" w:cs="仿宋"/>
          <w:bCs/>
          <w:kern w:val="2"/>
          <w:sz w:val="32"/>
          <w:szCs w:val="32"/>
        </w:rPr>
        <w:t>各地方政府国</w:t>
      </w:r>
      <w:r>
        <w:rPr>
          <w:rFonts w:ascii="仿宋" w:hAnsi="仿宋" w:eastAsia="仿宋" w:cs="仿宋"/>
          <w:bCs/>
          <w:kern w:val="2"/>
          <w:sz w:val="32"/>
          <w:szCs w:val="32"/>
        </w:rPr>
        <w:t>有</w:t>
      </w:r>
      <w:r>
        <w:rPr>
          <w:rFonts w:hint="default" w:ascii="仿宋" w:hAnsi="仿宋" w:eastAsia="仿宋" w:cs="仿宋"/>
          <w:bCs/>
          <w:kern w:val="2"/>
          <w:sz w:val="32"/>
          <w:szCs w:val="32"/>
        </w:rPr>
        <w:t>资</w:t>
      </w:r>
      <w:r>
        <w:rPr>
          <w:rFonts w:ascii="仿宋" w:hAnsi="仿宋" w:eastAsia="仿宋" w:cs="仿宋"/>
          <w:bCs/>
          <w:kern w:val="2"/>
          <w:sz w:val="32"/>
          <w:szCs w:val="32"/>
        </w:rPr>
        <w:t>产监督</w:t>
      </w:r>
      <w:r>
        <w:rPr>
          <w:rFonts w:hint="default" w:ascii="仿宋" w:hAnsi="仿宋" w:eastAsia="仿宋" w:cs="仿宋"/>
          <w:bCs/>
          <w:kern w:val="2"/>
          <w:sz w:val="32"/>
          <w:szCs w:val="32"/>
        </w:rPr>
        <w:t>管</w:t>
      </w:r>
      <w:r>
        <w:rPr>
          <w:rFonts w:ascii="仿宋" w:hAnsi="仿宋" w:eastAsia="仿宋" w:cs="仿宋"/>
          <w:bCs/>
          <w:kern w:val="2"/>
          <w:sz w:val="32"/>
          <w:szCs w:val="32"/>
        </w:rPr>
        <w:t>理</w:t>
      </w:r>
      <w:r>
        <w:rPr>
          <w:rFonts w:hint="default" w:ascii="仿宋" w:hAnsi="仿宋" w:eastAsia="仿宋" w:cs="仿宋"/>
          <w:bCs/>
          <w:kern w:val="2"/>
          <w:sz w:val="32"/>
          <w:szCs w:val="32"/>
        </w:rPr>
        <w:t>部门</w:t>
      </w:r>
      <w:r>
        <w:rPr>
          <w:rFonts w:ascii="仿宋" w:hAnsi="仿宋" w:eastAsia="仿宋" w:cs="仿宋"/>
          <w:bCs/>
          <w:kern w:val="2"/>
          <w:sz w:val="32"/>
          <w:szCs w:val="32"/>
        </w:rPr>
        <w:t>、</w:t>
      </w:r>
      <w:r>
        <w:rPr>
          <w:rFonts w:hint="default" w:ascii="仿宋" w:hAnsi="仿宋" w:eastAsia="仿宋" w:cs="仿宋"/>
          <w:bCs/>
          <w:kern w:val="2"/>
          <w:sz w:val="32"/>
          <w:szCs w:val="32"/>
        </w:rPr>
        <w:t>国有企业人力资源</w:t>
      </w:r>
      <w:r>
        <w:rPr>
          <w:rFonts w:ascii="仿宋" w:hAnsi="仿宋" w:eastAsia="仿宋" w:cs="仿宋"/>
          <w:bCs/>
          <w:kern w:val="2"/>
          <w:sz w:val="32"/>
          <w:szCs w:val="32"/>
        </w:rPr>
        <w:t>（人事）管理部门、</w:t>
      </w:r>
      <w:r>
        <w:rPr>
          <w:rFonts w:hint="default" w:ascii="仿宋" w:hAnsi="仿宋" w:eastAsia="仿宋" w:cs="仿宋"/>
          <w:bCs/>
          <w:kern w:val="2"/>
          <w:sz w:val="32"/>
          <w:szCs w:val="32"/>
        </w:rPr>
        <w:t>投融资</w:t>
      </w:r>
      <w:r>
        <w:rPr>
          <w:rFonts w:ascii="仿宋" w:hAnsi="仿宋" w:eastAsia="仿宋" w:cs="仿宋"/>
          <w:bCs/>
          <w:kern w:val="2"/>
          <w:sz w:val="32"/>
          <w:szCs w:val="32"/>
        </w:rPr>
        <w:t>管理</w:t>
      </w:r>
      <w:r>
        <w:rPr>
          <w:rFonts w:hint="default" w:ascii="仿宋" w:hAnsi="仿宋" w:eastAsia="仿宋" w:cs="仿宋"/>
          <w:bCs/>
          <w:kern w:val="2"/>
          <w:sz w:val="32"/>
          <w:szCs w:val="32"/>
        </w:rPr>
        <w:t>部门</w:t>
      </w:r>
      <w:r>
        <w:rPr>
          <w:rFonts w:ascii="仿宋" w:hAnsi="仿宋" w:eastAsia="仿宋" w:cs="仿宋"/>
          <w:bCs/>
          <w:kern w:val="2"/>
          <w:sz w:val="32"/>
          <w:szCs w:val="32"/>
        </w:rPr>
        <w:t>、</w:t>
      </w:r>
      <w:r>
        <w:rPr>
          <w:rFonts w:hint="default" w:ascii="仿宋" w:hAnsi="仿宋" w:eastAsia="仿宋" w:cs="仿宋"/>
          <w:bCs/>
          <w:kern w:val="2"/>
          <w:sz w:val="32"/>
          <w:szCs w:val="32"/>
        </w:rPr>
        <w:t>金融机构</w:t>
      </w:r>
      <w:r>
        <w:rPr>
          <w:rFonts w:ascii="仿宋" w:hAnsi="仿宋" w:eastAsia="仿宋" w:cs="仿宋"/>
          <w:bCs/>
          <w:kern w:val="2"/>
          <w:sz w:val="32"/>
          <w:szCs w:val="32"/>
        </w:rPr>
        <w:t>等方面负责人</w:t>
      </w:r>
      <w:r>
        <w:rPr>
          <w:rFonts w:hint="default" w:ascii="仿宋" w:hAnsi="仿宋" w:eastAsia="仿宋" w:cs="仿宋"/>
          <w:bCs/>
          <w:kern w:val="2"/>
          <w:sz w:val="32"/>
          <w:szCs w:val="32"/>
        </w:rPr>
        <w:t>及相关管理人员。</w:t>
      </w:r>
    </w:p>
    <w:p>
      <w:pPr>
        <w:autoSpaceDE/>
        <w:autoSpaceDN/>
        <w:adjustRightInd/>
        <w:spacing w:line="420" w:lineRule="exact"/>
        <w:ind w:firstLine="640" w:firstLineChars="200"/>
        <w:jc w:val="both"/>
        <w:rPr>
          <w:rFonts w:hint="default" w:ascii="黑体" w:hAnsi="黑体" w:eastAsia="黑体" w:cs="黑体"/>
          <w:color w:val="000000"/>
          <w:sz w:val="32"/>
          <w:szCs w:val="32"/>
        </w:rPr>
      </w:pPr>
      <w:r>
        <w:rPr>
          <w:rFonts w:ascii="黑体" w:hAnsi="黑体" w:eastAsia="黑体" w:cs="黑体"/>
          <w:color w:val="000000"/>
          <w:sz w:val="32"/>
          <w:szCs w:val="32"/>
        </w:rPr>
        <w:t>四、授课专家</w:t>
      </w:r>
    </w:p>
    <w:p>
      <w:pPr>
        <w:autoSpaceDE/>
        <w:autoSpaceDN/>
        <w:adjustRightInd/>
        <w:spacing w:line="420" w:lineRule="exact"/>
        <w:ind w:firstLine="640" w:firstLineChars="200"/>
        <w:jc w:val="both"/>
        <w:rPr>
          <w:rFonts w:hint="default" w:ascii="仿宋" w:hAnsi="仿宋" w:eastAsia="仿宋" w:cs="仿宋"/>
          <w:bCs/>
          <w:kern w:val="2"/>
          <w:sz w:val="32"/>
          <w:szCs w:val="32"/>
        </w:rPr>
      </w:pPr>
      <w:r>
        <w:rPr>
          <w:rFonts w:hint="default" w:ascii="仿宋" w:hAnsi="仿宋" w:eastAsia="仿宋" w:cs="仿宋"/>
          <w:bCs/>
          <w:kern w:val="2"/>
          <w:sz w:val="32"/>
          <w:szCs w:val="32"/>
        </w:rPr>
        <w:t>拟邀请国务院国资委主管部门所属单位、中国人事科学研究院、中国财政科学研究院等单位的领导及国企混改实务专家、金融专家授课, 并组织交流与研讨。</w:t>
      </w:r>
    </w:p>
    <w:p>
      <w:pPr>
        <w:autoSpaceDE/>
        <w:autoSpaceDN/>
        <w:adjustRightInd/>
        <w:spacing w:line="420" w:lineRule="exact"/>
        <w:ind w:firstLine="640" w:firstLineChars="200"/>
        <w:jc w:val="both"/>
        <w:rPr>
          <w:rFonts w:hint="default" w:ascii="黑体" w:hAnsi="黑体" w:eastAsia="黑体" w:cs="黑体"/>
          <w:color w:val="000000"/>
          <w:sz w:val="32"/>
          <w:szCs w:val="32"/>
        </w:rPr>
      </w:pPr>
      <w:r>
        <w:rPr>
          <w:rFonts w:hint="default" w:ascii="黑体" w:hAnsi="黑体" w:eastAsia="黑体" w:cs="黑体"/>
          <w:color w:val="000000"/>
          <w:sz w:val="32"/>
          <w:szCs w:val="32"/>
        </w:rPr>
        <w:t>五、时间地点</w:t>
      </w:r>
    </w:p>
    <w:p>
      <w:pPr>
        <w:autoSpaceDE/>
        <w:autoSpaceDN/>
        <w:adjustRightInd/>
        <w:spacing w:line="420" w:lineRule="exact"/>
        <w:ind w:firstLine="640" w:firstLineChars="200"/>
        <w:rPr>
          <w:rFonts w:hint="default" w:ascii="仿宋" w:hAnsi="仿宋" w:eastAsia="仿宋" w:cs="仿宋"/>
          <w:bCs/>
          <w:color w:val="000000" w:themeColor="text1"/>
          <w:sz w:val="32"/>
          <w:szCs w:val="32"/>
        </w:rPr>
      </w:pPr>
      <w:r>
        <w:rPr>
          <w:rFonts w:ascii="仿宋" w:hAnsi="仿宋" w:eastAsia="仿宋" w:cs="仿宋"/>
          <w:bCs/>
          <w:color w:val="000000" w:themeColor="text1"/>
          <w:sz w:val="32"/>
          <w:szCs w:val="32"/>
        </w:rPr>
        <w:t>2021年3月26日—3月30日  重庆（26日全天报到）</w:t>
      </w:r>
    </w:p>
    <w:p>
      <w:pPr>
        <w:autoSpaceDE/>
        <w:autoSpaceDN/>
        <w:adjustRightInd/>
        <w:spacing w:line="420" w:lineRule="exact"/>
        <w:ind w:firstLine="640" w:firstLineChars="200"/>
        <w:rPr>
          <w:rFonts w:hint="default" w:ascii="仿宋" w:hAnsi="仿宋" w:eastAsia="仿宋" w:cs="仿宋"/>
          <w:bCs/>
          <w:color w:val="000000" w:themeColor="text1"/>
          <w:sz w:val="32"/>
          <w:szCs w:val="32"/>
        </w:rPr>
      </w:pPr>
      <w:r>
        <w:rPr>
          <w:rFonts w:ascii="仿宋" w:hAnsi="仿宋" w:eastAsia="仿宋" w:cs="仿宋"/>
          <w:bCs/>
          <w:color w:val="000000" w:themeColor="text1"/>
          <w:sz w:val="32"/>
          <w:szCs w:val="32"/>
        </w:rPr>
        <w:t>2021年4月16日—4月20日  厦门（16日全天报到）</w:t>
      </w:r>
    </w:p>
    <w:p>
      <w:pPr>
        <w:autoSpaceDE/>
        <w:autoSpaceDN/>
        <w:adjustRightInd/>
        <w:spacing w:line="420" w:lineRule="exact"/>
        <w:ind w:firstLine="640" w:firstLineChars="200"/>
        <w:rPr>
          <w:rFonts w:hint="default" w:ascii="仿宋" w:hAnsi="仿宋" w:eastAsia="仿宋" w:cs="仿宋"/>
          <w:bCs/>
          <w:color w:val="000000" w:themeColor="text1"/>
          <w:sz w:val="32"/>
          <w:szCs w:val="32"/>
        </w:rPr>
      </w:pPr>
      <w:r>
        <w:rPr>
          <w:rFonts w:ascii="仿宋" w:hAnsi="仿宋" w:eastAsia="仿宋" w:cs="仿宋"/>
          <w:bCs/>
          <w:color w:val="000000" w:themeColor="text1"/>
          <w:sz w:val="32"/>
          <w:szCs w:val="32"/>
        </w:rPr>
        <w:t>2021年5月14日—5月18日  郑州（14日全天报到）</w:t>
      </w:r>
    </w:p>
    <w:p>
      <w:pPr>
        <w:autoSpaceDE/>
        <w:autoSpaceDN/>
        <w:adjustRightInd/>
        <w:spacing w:line="420" w:lineRule="exact"/>
        <w:ind w:firstLine="640" w:firstLineChars="200"/>
        <w:rPr>
          <w:rFonts w:hint="default" w:ascii="仿宋" w:hAnsi="仿宋" w:eastAsia="仿宋" w:cs="仿宋"/>
          <w:bCs/>
          <w:color w:val="000000" w:themeColor="text1"/>
          <w:sz w:val="32"/>
          <w:szCs w:val="32"/>
        </w:rPr>
      </w:pPr>
      <w:r>
        <w:rPr>
          <w:rFonts w:ascii="仿宋" w:hAnsi="仿宋" w:eastAsia="仿宋" w:cs="仿宋"/>
          <w:bCs/>
          <w:color w:val="000000" w:themeColor="text1"/>
          <w:sz w:val="32"/>
          <w:szCs w:val="32"/>
        </w:rPr>
        <w:t>2021年5月28日—6月</w:t>
      </w:r>
      <w:r>
        <w:rPr>
          <w:rFonts w:hint="eastAsia" w:ascii="仿宋" w:hAnsi="仿宋" w:eastAsia="仿宋" w:cs="仿宋"/>
          <w:bCs/>
          <w:color w:val="000000" w:themeColor="text1"/>
          <w:sz w:val="32"/>
          <w:szCs w:val="32"/>
          <w:lang w:val="en-US" w:eastAsia="zh-CN"/>
        </w:rPr>
        <w:t>0</w:t>
      </w:r>
      <w:r>
        <w:rPr>
          <w:rFonts w:ascii="仿宋" w:hAnsi="仿宋" w:eastAsia="仿宋" w:cs="仿宋"/>
          <w:bCs/>
          <w:color w:val="000000" w:themeColor="text1"/>
          <w:sz w:val="32"/>
          <w:szCs w:val="32"/>
        </w:rPr>
        <w:t>1日  西安（28日全天报到）</w:t>
      </w:r>
    </w:p>
    <w:p>
      <w:pPr>
        <w:autoSpaceDE/>
        <w:autoSpaceDN/>
        <w:adjustRightInd/>
        <w:spacing w:line="420" w:lineRule="exact"/>
        <w:ind w:firstLine="640" w:firstLineChars="200"/>
        <w:jc w:val="both"/>
        <w:rPr>
          <w:rFonts w:hint="default" w:ascii="黑体" w:hAnsi="黑体" w:eastAsia="黑体" w:cs="黑体"/>
          <w:color w:val="000000"/>
          <w:sz w:val="32"/>
          <w:szCs w:val="32"/>
        </w:rPr>
      </w:pPr>
      <w:r>
        <w:rPr>
          <w:rFonts w:hint="default" w:ascii="黑体" w:hAnsi="黑体" w:eastAsia="黑体" w:cs="黑体"/>
          <w:color w:val="000000"/>
          <w:sz w:val="32"/>
          <w:szCs w:val="32"/>
        </w:rPr>
        <w:t>六、相关事宜</w:t>
      </w:r>
    </w:p>
    <w:p>
      <w:pPr>
        <w:autoSpaceDE/>
        <w:autoSpaceDN/>
        <w:adjustRightInd/>
        <w:spacing w:line="420" w:lineRule="exact"/>
        <w:ind w:firstLine="627" w:firstLineChars="196"/>
        <w:jc w:val="both"/>
        <w:rPr>
          <w:rFonts w:hint="default" w:ascii="楷体" w:hAnsi="楷体" w:eastAsia="楷体" w:cs="仿宋"/>
          <w:bCs/>
          <w:kern w:val="2"/>
          <w:sz w:val="32"/>
          <w:szCs w:val="32"/>
        </w:rPr>
      </w:pPr>
      <w:r>
        <w:rPr>
          <w:rFonts w:hint="default" w:ascii="楷体" w:hAnsi="楷体" w:eastAsia="楷体" w:cs="仿宋"/>
          <w:bCs/>
          <w:kern w:val="2"/>
          <w:sz w:val="32"/>
          <w:szCs w:val="32"/>
        </w:rPr>
        <w:t>（一）培训费用</w:t>
      </w:r>
    </w:p>
    <w:p>
      <w:pPr>
        <w:autoSpaceDE/>
        <w:autoSpaceDN/>
        <w:adjustRightInd/>
        <w:spacing w:line="420" w:lineRule="exact"/>
        <w:ind w:firstLine="640" w:firstLineChars="200"/>
        <w:jc w:val="both"/>
        <w:rPr>
          <w:rFonts w:hint="default" w:ascii="仿宋" w:hAnsi="仿宋" w:eastAsia="仿宋" w:cs="仿宋"/>
          <w:bCs/>
          <w:kern w:val="2"/>
          <w:sz w:val="32"/>
          <w:szCs w:val="32"/>
        </w:rPr>
      </w:pPr>
      <w:r>
        <w:rPr>
          <w:rFonts w:hint="default" w:ascii="仿宋" w:hAnsi="仿宋" w:eastAsia="仿宋" w:cs="仿宋"/>
          <w:bCs/>
          <w:kern w:val="2"/>
          <w:sz w:val="32"/>
          <w:szCs w:val="32"/>
        </w:rPr>
        <w:t>A.2980元/人（含培训、资料、课件、场地</w:t>
      </w:r>
      <w:r>
        <w:rPr>
          <w:rFonts w:ascii="仿宋" w:hAnsi="仿宋" w:eastAsia="仿宋" w:cs="仿宋"/>
          <w:bCs/>
          <w:kern w:val="2"/>
          <w:sz w:val="32"/>
          <w:szCs w:val="32"/>
        </w:rPr>
        <w:t>费用及</w:t>
      </w:r>
      <w:r>
        <w:rPr>
          <w:rFonts w:hint="default" w:ascii="仿宋" w:hAnsi="仿宋" w:eastAsia="仿宋" w:cs="仿宋"/>
          <w:bCs/>
          <w:kern w:val="2"/>
          <w:sz w:val="32"/>
          <w:szCs w:val="32"/>
        </w:rPr>
        <w:t>会议期间午餐），住宿统一安排，费用自理。</w:t>
      </w:r>
    </w:p>
    <w:p>
      <w:pPr>
        <w:autoSpaceDE/>
        <w:autoSpaceDN/>
        <w:adjustRightInd/>
        <w:spacing w:line="420" w:lineRule="exact"/>
        <w:ind w:firstLine="640" w:firstLineChars="200"/>
        <w:jc w:val="both"/>
        <w:rPr>
          <w:rFonts w:hint="default" w:ascii="仿宋" w:hAnsi="仿宋" w:eastAsia="仿宋" w:cs="仿宋"/>
          <w:bCs/>
          <w:kern w:val="2"/>
          <w:sz w:val="32"/>
          <w:szCs w:val="32"/>
        </w:rPr>
      </w:pPr>
      <w:r>
        <w:rPr>
          <w:rFonts w:hint="default" w:ascii="仿宋" w:hAnsi="仿宋" w:eastAsia="仿宋" w:cs="仿宋"/>
          <w:bCs/>
          <w:kern w:val="2"/>
          <w:sz w:val="32"/>
          <w:szCs w:val="32"/>
        </w:rPr>
        <w:t>B.3980元/人（含证书、培训、资料、课件、场地</w:t>
      </w:r>
      <w:r>
        <w:rPr>
          <w:rFonts w:ascii="仿宋" w:hAnsi="仿宋" w:eastAsia="仿宋" w:cs="仿宋"/>
          <w:bCs/>
          <w:kern w:val="2"/>
          <w:sz w:val="32"/>
          <w:szCs w:val="32"/>
        </w:rPr>
        <w:t>费用及</w:t>
      </w:r>
      <w:r>
        <w:rPr>
          <w:rFonts w:hint="default" w:ascii="仿宋" w:hAnsi="仿宋" w:eastAsia="仿宋" w:cs="仿宋"/>
          <w:bCs/>
          <w:kern w:val="2"/>
          <w:sz w:val="32"/>
          <w:szCs w:val="32"/>
        </w:rPr>
        <w:t>会议期间午餐），住宿统一安排，费用自理。</w:t>
      </w:r>
    </w:p>
    <w:p>
      <w:pPr>
        <w:autoSpaceDE/>
        <w:autoSpaceDN/>
        <w:adjustRightInd/>
        <w:spacing w:line="420" w:lineRule="exact"/>
        <w:ind w:firstLine="640" w:firstLineChars="200"/>
        <w:jc w:val="both"/>
        <w:rPr>
          <w:rFonts w:hint="default" w:ascii="仿宋" w:hAnsi="仿宋" w:eastAsia="仿宋" w:cs="仿宋"/>
          <w:bCs/>
          <w:kern w:val="2"/>
          <w:sz w:val="32"/>
          <w:szCs w:val="32"/>
        </w:rPr>
      </w:pPr>
      <w:r>
        <w:rPr>
          <w:rFonts w:hint="default" w:ascii="仿宋" w:hAnsi="仿宋" w:eastAsia="仿宋" w:cs="仿宋"/>
          <w:bCs/>
          <w:kern w:val="2"/>
          <w:sz w:val="32"/>
          <w:szCs w:val="32"/>
        </w:rPr>
        <w:t>C.</w:t>
      </w:r>
      <w:r>
        <w:rPr>
          <w:rFonts w:ascii="仿宋" w:hAnsi="仿宋" w:eastAsia="仿宋" w:cs="仿宋"/>
          <w:bCs/>
          <w:kern w:val="2"/>
          <w:sz w:val="32"/>
          <w:szCs w:val="32"/>
        </w:rPr>
        <w:t>5</w:t>
      </w:r>
      <w:r>
        <w:rPr>
          <w:rFonts w:hint="default" w:ascii="仿宋" w:hAnsi="仿宋" w:eastAsia="仿宋" w:cs="仿宋"/>
          <w:bCs/>
          <w:kern w:val="2"/>
          <w:sz w:val="32"/>
          <w:szCs w:val="32"/>
        </w:rPr>
        <w:t>980元/人（含</w:t>
      </w:r>
      <w:r>
        <w:rPr>
          <w:rFonts w:ascii="仿宋" w:hAnsi="仿宋" w:eastAsia="仿宋" w:cs="仿宋"/>
          <w:bCs/>
          <w:kern w:val="2"/>
          <w:sz w:val="32"/>
          <w:szCs w:val="32"/>
        </w:rPr>
        <w:t>证书、</w:t>
      </w:r>
      <w:r>
        <w:rPr>
          <w:rFonts w:hint="default" w:ascii="仿宋" w:hAnsi="仿宋" w:eastAsia="仿宋" w:cs="仿宋"/>
          <w:bCs/>
          <w:kern w:val="2"/>
          <w:sz w:val="32"/>
          <w:szCs w:val="32"/>
        </w:rPr>
        <w:t>培训、资料、课件、场地</w:t>
      </w:r>
      <w:r>
        <w:rPr>
          <w:rFonts w:ascii="仿宋" w:hAnsi="仿宋" w:eastAsia="仿宋" w:cs="仿宋"/>
          <w:bCs/>
          <w:kern w:val="2"/>
          <w:sz w:val="32"/>
          <w:szCs w:val="32"/>
        </w:rPr>
        <w:t>费用及</w:t>
      </w:r>
      <w:r>
        <w:rPr>
          <w:rFonts w:hint="default" w:ascii="仿宋" w:hAnsi="仿宋" w:eastAsia="仿宋" w:cs="仿宋"/>
          <w:bCs/>
          <w:kern w:val="2"/>
          <w:sz w:val="32"/>
          <w:szCs w:val="32"/>
        </w:rPr>
        <w:t>会议期间食宿）。</w:t>
      </w:r>
    </w:p>
    <w:p>
      <w:pPr>
        <w:autoSpaceDE/>
        <w:autoSpaceDN/>
        <w:adjustRightInd/>
        <w:spacing w:line="420" w:lineRule="exact"/>
        <w:ind w:firstLine="640" w:firstLineChars="200"/>
        <w:rPr>
          <w:rFonts w:hint="default" w:ascii="仿宋" w:hAnsi="仿宋" w:eastAsia="仿宋" w:cs="仿宋"/>
          <w:bCs/>
          <w:color w:val="000000" w:themeColor="text1"/>
          <w:sz w:val="32"/>
          <w:szCs w:val="32"/>
        </w:rPr>
      </w:pPr>
      <w:r>
        <w:rPr>
          <w:rFonts w:ascii="仿宋" w:hAnsi="仿宋" w:eastAsia="仿宋" w:cs="仿宋"/>
          <w:bCs/>
          <w:color w:val="000000" w:themeColor="text1"/>
          <w:sz w:val="32"/>
          <w:szCs w:val="32"/>
        </w:rPr>
        <w:t>培训结业由</w:t>
      </w:r>
      <w:r>
        <w:rPr>
          <w:rFonts w:hint="default" w:ascii="仿宋" w:hAnsi="仿宋" w:eastAsia="仿宋" w:cs="仿宋"/>
          <w:bCs/>
          <w:kern w:val="2"/>
          <w:sz w:val="32"/>
          <w:szCs w:val="32"/>
        </w:rPr>
        <w:t>中国国家人事人才培训网、北京企业管理咨询协会共同颁发</w:t>
      </w:r>
      <w:r>
        <w:rPr>
          <w:rFonts w:ascii="仿宋" w:hAnsi="仿宋" w:eastAsia="仿宋" w:cs="仿宋"/>
          <w:bCs/>
          <w:kern w:val="2"/>
          <w:sz w:val="32"/>
          <w:szCs w:val="32"/>
        </w:rPr>
        <w:t>“</w:t>
      </w:r>
      <w:r>
        <w:rPr>
          <w:rFonts w:hint="default" w:ascii="仿宋" w:hAnsi="仿宋" w:eastAsia="仿宋" w:cs="仿宋"/>
          <w:bCs/>
          <w:kern w:val="2"/>
          <w:sz w:val="32"/>
          <w:szCs w:val="32"/>
        </w:rPr>
        <w:t>战略规划管理师”</w:t>
      </w:r>
      <w:r>
        <w:rPr>
          <w:rFonts w:ascii="仿宋" w:hAnsi="仿宋" w:eastAsia="仿宋" w:cs="仿宋"/>
          <w:bCs/>
          <w:kern w:val="2"/>
          <w:sz w:val="32"/>
          <w:szCs w:val="32"/>
        </w:rPr>
        <w:t>或“</w:t>
      </w:r>
      <w:r>
        <w:rPr>
          <w:rFonts w:hint="default" w:ascii="仿宋" w:hAnsi="仿宋" w:eastAsia="仿宋" w:cs="仿宋"/>
          <w:bCs/>
          <w:kern w:val="2"/>
          <w:sz w:val="32"/>
          <w:szCs w:val="32"/>
        </w:rPr>
        <w:t>高级人力资源经理”</w:t>
      </w:r>
      <w:r>
        <w:rPr>
          <w:rFonts w:ascii="仿宋" w:hAnsi="仿宋" w:eastAsia="仿宋" w:cs="仿宋"/>
          <w:bCs/>
          <w:color w:val="000000" w:themeColor="text1"/>
          <w:sz w:val="32"/>
          <w:szCs w:val="32"/>
        </w:rPr>
        <w:t>证书，需提供报名回执表、二寸白底免冠彩色照片（电子版）、身份证（复印件）、学历证书（复印件）各一份。证书查询：</w:t>
      </w:r>
      <w:r>
        <w:fldChar w:fldCharType="begin"/>
      </w:r>
      <w:r>
        <w:instrText xml:space="preserve"> HYPERLINK "http://www.chinanet.gov.cn" </w:instrText>
      </w:r>
      <w:r>
        <w:fldChar w:fldCharType="separate"/>
      </w:r>
      <w:r>
        <w:rPr>
          <w:rStyle w:val="11"/>
          <w:rFonts w:hint="default" w:ascii="仿宋" w:hAnsi="仿宋" w:eastAsia="仿宋" w:cs="仿宋"/>
          <w:bCs/>
          <w:color w:val="auto"/>
          <w:kern w:val="2"/>
          <w:sz w:val="32"/>
          <w:szCs w:val="32"/>
          <w:u w:val="none"/>
        </w:rPr>
        <w:t>http://www.chinanet.gov.cn</w:t>
      </w:r>
      <w:r>
        <w:rPr>
          <w:rStyle w:val="11"/>
          <w:rFonts w:hint="default" w:ascii="仿宋" w:hAnsi="仿宋" w:eastAsia="仿宋" w:cs="仿宋"/>
          <w:bCs/>
          <w:color w:val="auto"/>
          <w:kern w:val="2"/>
          <w:sz w:val="32"/>
          <w:szCs w:val="32"/>
          <w:u w:val="none"/>
        </w:rPr>
        <w:fldChar w:fldCharType="end"/>
      </w:r>
      <w:r>
        <w:rPr>
          <w:rFonts w:ascii="仿宋" w:hAnsi="仿宋" w:eastAsia="仿宋" w:cs="仿宋"/>
          <w:bCs/>
          <w:sz w:val="32"/>
          <w:szCs w:val="32"/>
        </w:rPr>
        <w:t>。</w:t>
      </w:r>
    </w:p>
    <w:p>
      <w:pPr>
        <w:autoSpaceDE/>
        <w:autoSpaceDN/>
        <w:adjustRightInd/>
        <w:spacing w:line="420" w:lineRule="exact"/>
        <w:ind w:firstLine="627" w:firstLineChars="196"/>
        <w:jc w:val="both"/>
        <w:rPr>
          <w:rFonts w:hint="default" w:ascii="楷体" w:hAnsi="楷体" w:eastAsia="楷体" w:cs="仿宋"/>
          <w:bCs/>
          <w:kern w:val="2"/>
          <w:sz w:val="32"/>
          <w:szCs w:val="32"/>
        </w:rPr>
      </w:pPr>
      <w:r>
        <w:rPr>
          <w:rFonts w:hint="default" w:ascii="楷体" w:hAnsi="楷体" w:eastAsia="楷体" w:cs="宋体"/>
          <w:color w:val="000000"/>
          <w:sz w:val="32"/>
          <w:szCs w:val="32"/>
        </w:rPr>
        <w:t>（二）联系方式</w:t>
      </w:r>
    </w:p>
    <w:p>
      <w:pPr>
        <w:spacing w:line="420" w:lineRule="exact"/>
        <w:ind w:firstLine="627" w:firstLineChars="196"/>
        <w:rPr>
          <w:rFonts w:hint="eastAsia" w:ascii="仿宋" w:hAnsi="仿宋" w:eastAsia="仿宋" w:cs="仿宋"/>
          <w:bCs/>
          <w:color w:val="000000"/>
          <w:sz w:val="32"/>
          <w:szCs w:val="32"/>
        </w:rPr>
      </w:pPr>
      <w:r>
        <w:rPr>
          <w:rFonts w:hint="eastAsia" w:ascii="仿宋" w:hAnsi="仿宋" w:eastAsia="仿宋" w:cs="仿宋"/>
          <w:bCs/>
          <w:color w:val="000000"/>
          <w:sz w:val="32"/>
          <w:szCs w:val="32"/>
        </w:rPr>
        <w:t xml:space="preserve">报名负责人：聂红军 主任18211071700（微信）   </w:t>
      </w:r>
    </w:p>
    <w:p>
      <w:pPr>
        <w:spacing w:line="420" w:lineRule="exact"/>
        <w:ind w:firstLine="627" w:firstLineChars="196"/>
        <w:rPr>
          <w:rFonts w:hint="eastAsia" w:ascii="仿宋" w:hAnsi="仿宋" w:eastAsia="仿宋" w:cs="仿宋"/>
          <w:bCs/>
          <w:color w:val="000000"/>
          <w:sz w:val="32"/>
          <w:szCs w:val="32"/>
        </w:rPr>
      </w:pPr>
      <w:r>
        <w:rPr>
          <w:rFonts w:hint="eastAsia" w:ascii="仿宋" w:hAnsi="仿宋" w:eastAsia="仿宋" w:cs="仿宋"/>
          <w:bCs/>
          <w:color w:val="000000"/>
          <w:sz w:val="32"/>
          <w:szCs w:val="32"/>
        </w:rPr>
        <w:t xml:space="preserve">电  话：010-87697580     邮    箱：zqgphwz@126.com  </w:t>
      </w:r>
    </w:p>
    <w:p>
      <w:pPr>
        <w:spacing w:line="420" w:lineRule="exact"/>
        <w:ind w:firstLine="627" w:firstLineChars="196"/>
        <w:rPr>
          <w:rFonts w:hint="default"/>
          <w:b/>
          <w:sz w:val="32"/>
          <w:szCs w:val="32"/>
          <w:shd w:val="clear" w:color="auto" w:fill="FFFFFF"/>
        </w:rPr>
      </w:pPr>
      <w:r>
        <w:rPr>
          <w:rFonts w:hint="eastAsia" w:ascii="仿宋" w:hAnsi="仿宋" w:eastAsia="仿宋" w:cs="仿宋"/>
          <w:bCs/>
          <w:color w:val="000000"/>
          <w:sz w:val="32"/>
          <w:szCs w:val="32"/>
        </w:rPr>
        <w:t>qq咨询：3177524020  网址查询：http://www.zqgpchina.cn/</w:t>
      </w:r>
    </w:p>
    <w:p>
      <w:pPr>
        <w:spacing w:line="420" w:lineRule="exact"/>
        <w:ind w:firstLine="627" w:firstLineChars="196"/>
        <w:rPr>
          <w:rFonts w:hint="default" w:ascii="仿宋" w:hAnsi="仿宋" w:eastAsia="仿宋" w:cs="仿宋"/>
          <w:bCs/>
          <w:kern w:val="2"/>
          <w:sz w:val="32"/>
          <w:szCs w:val="32"/>
        </w:rPr>
      </w:pPr>
      <w:r>
        <w:rPr>
          <w:rFonts w:ascii="黑体" w:hAnsi="黑体" w:eastAsia="黑体"/>
          <w:sz w:val="32"/>
          <w:szCs w:val="32"/>
          <w:shd w:val="clear" w:color="auto" w:fill="FFFFFF"/>
        </w:rPr>
        <w:t>附件：</w:t>
      </w:r>
      <w:r>
        <w:rPr>
          <w:rFonts w:hint="default" w:ascii="仿宋" w:hAnsi="仿宋" w:eastAsia="仿宋"/>
          <w:bCs/>
          <w:sz w:val="32"/>
          <w:szCs w:val="32"/>
          <w:shd w:val="clear" w:color="auto" w:fill="FFFFFF"/>
        </w:rPr>
        <w:t>1</w:t>
      </w:r>
      <w:r>
        <w:rPr>
          <w:rFonts w:ascii="仿宋" w:hAnsi="仿宋" w:eastAsia="仿宋"/>
          <w:bCs/>
          <w:sz w:val="32"/>
          <w:szCs w:val="32"/>
          <w:shd w:val="clear" w:color="auto" w:fill="FFFFFF"/>
        </w:rPr>
        <w:t>.</w:t>
      </w:r>
      <w:r>
        <w:rPr>
          <w:rFonts w:hint="default" w:ascii="仿宋" w:hAnsi="仿宋" w:eastAsia="仿宋"/>
          <w:bCs/>
          <w:sz w:val="32"/>
          <w:szCs w:val="32"/>
          <w:shd w:val="clear" w:color="auto" w:fill="FFFFFF"/>
        </w:rPr>
        <w:t>培训</w:t>
      </w:r>
      <w:r>
        <w:rPr>
          <w:rFonts w:hint="default" w:ascii="仿宋" w:hAnsi="仿宋" w:eastAsia="仿宋" w:cs="仿宋"/>
          <w:bCs/>
          <w:kern w:val="2"/>
          <w:sz w:val="32"/>
          <w:szCs w:val="32"/>
        </w:rPr>
        <w:t>内容</w:t>
      </w:r>
    </w:p>
    <w:p>
      <w:pPr>
        <w:autoSpaceDE/>
        <w:autoSpaceDN/>
        <w:adjustRightInd/>
        <w:spacing w:line="420" w:lineRule="exact"/>
        <w:ind w:firstLine="1600" w:firstLineChars="500"/>
        <w:jc w:val="both"/>
        <w:rPr>
          <w:rFonts w:hint="default" w:ascii="仿宋" w:hAnsi="仿宋" w:eastAsia="仿宋" w:cs="宋体"/>
          <w:color w:val="000000"/>
          <w:sz w:val="28"/>
          <w:szCs w:val="28"/>
        </w:rPr>
      </w:pPr>
      <w:r>
        <w:rPr>
          <w:rFonts w:hint="default" w:ascii="仿宋" w:hAnsi="仿宋" w:eastAsia="仿宋" w:cs="仿宋"/>
          <w:bCs/>
          <w:kern w:val="2"/>
          <w:sz w:val="32"/>
          <w:szCs w:val="32"/>
        </w:rPr>
        <w:t>2</w:t>
      </w:r>
      <w:r>
        <w:rPr>
          <w:rFonts w:ascii="仿宋" w:hAnsi="仿宋" w:eastAsia="仿宋" w:cs="仿宋"/>
          <w:bCs/>
          <w:kern w:val="2"/>
          <w:sz w:val="32"/>
          <w:szCs w:val="32"/>
        </w:rPr>
        <w:t>.</w:t>
      </w:r>
      <w:r>
        <w:rPr>
          <w:rFonts w:hint="default" w:ascii="仿宋" w:hAnsi="仿宋" w:eastAsia="仿宋" w:cs="宋体"/>
          <w:color w:val="000000"/>
          <w:sz w:val="32"/>
          <w:szCs w:val="32"/>
        </w:rPr>
        <w:t>报名回执表</w:t>
      </w:r>
    </w:p>
    <w:p>
      <w:pPr>
        <w:autoSpaceDE/>
        <w:autoSpaceDN/>
        <w:adjustRightInd/>
        <w:spacing w:line="420" w:lineRule="exact"/>
        <w:ind w:firstLine="560" w:firstLineChars="200"/>
        <w:jc w:val="both"/>
        <w:rPr>
          <w:rFonts w:hint="default" w:ascii="仿宋" w:hAnsi="仿宋" w:eastAsia="仿宋" w:cs="宋体"/>
          <w:color w:val="000000"/>
          <w:sz w:val="28"/>
          <w:szCs w:val="28"/>
        </w:rPr>
      </w:pPr>
    </w:p>
    <w:p>
      <w:pPr>
        <w:autoSpaceDE/>
        <w:autoSpaceDN/>
        <w:adjustRightInd/>
        <w:spacing w:line="420" w:lineRule="exact"/>
        <w:ind w:firstLine="560" w:firstLineChars="200"/>
        <w:jc w:val="both"/>
        <w:rPr>
          <w:rFonts w:hint="default" w:ascii="仿宋" w:hAnsi="仿宋" w:eastAsia="仿宋" w:cs="宋体"/>
          <w:color w:val="000000"/>
          <w:sz w:val="28"/>
          <w:szCs w:val="28"/>
        </w:rPr>
      </w:pPr>
    </w:p>
    <w:p>
      <w:pPr>
        <w:autoSpaceDE/>
        <w:autoSpaceDN/>
        <w:adjustRightInd/>
        <w:spacing w:line="420" w:lineRule="exact"/>
        <w:ind w:firstLine="640" w:firstLineChars="200"/>
        <w:jc w:val="both"/>
        <w:rPr>
          <w:rFonts w:hint="default" w:ascii="仿宋" w:hAnsi="仿宋" w:eastAsia="仿宋" w:cs="宋体"/>
          <w:color w:val="000000"/>
          <w:sz w:val="28"/>
          <w:szCs w:val="28"/>
        </w:rPr>
      </w:pPr>
      <w:r>
        <w:rPr>
          <w:rFonts w:hint="eastAsia" w:ascii="仿宋" w:hAnsi="仿宋" w:eastAsia="仿宋" w:cs="宋体"/>
          <w:color w:val="000000"/>
          <w:sz w:val="32"/>
          <w:szCs w:val="32"/>
          <w:lang w:eastAsia="zh-CN"/>
        </w:rPr>
        <w:drawing>
          <wp:anchor distT="0" distB="0" distL="114935" distR="114935" simplePos="0" relativeHeight="251658240" behindDoc="0" locked="0" layoutInCell="1" allowOverlap="1">
            <wp:simplePos x="0" y="0"/>
            <wp:positionH relativeFrom="column">
              <wp:posOffset>1882140</wp:posOffset>
            </wp:positionH>
            <wp:positionV relativeFrom="paragraph">
              <wp:posOffset>91440</wp:posOffset>
            </wp:positionV>
            <wp:extent cx="4221480" cy="1691640"/>
            <wp:effectExtent l="0" t="0" r="0" b="0"/>
            <wp:wrapNone/>
            <wp:docPr id="1" name="图片 1" descr="16119099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11909917(1)"/>
                    <pic:cNvPicPr>
                      <a:picLocks noChangeAspect="1"/>
                    </pic:cNvPicPr>
                  </pic:nvPicPr>
                  <pic:blipFill>
                    <a:blip r:embed="rId5"/>
                    <a:stretch>
                      <a:fillRect/>
                    </a:stretch>
                  </pic:blipFill>
                  <pic:spPr>
                    <a:xfrm>
                      <a:off x="0" y="0"/>
                      <a:ext cx="4221480" cy="1691640"/>
                    </a:xfrm>
                    <a:prstGeom prst="rect">
                      <a:avLst/>
                    </a:prstGeom>
                  </pic:spPr>
                </pic:pic>
              </a:graphicData>
            </a:graphic>
          </wp:anchor>
        </w:drawing>
      </w:r>
    </w:p>
    <w:p>
      <w:pPr>
        <w:autoSpaceDE/>
        <w:autoSpaceDN/>
        <w:adjustRightInd/>
        <w:spacing w:line="420" w:lineRule="exact"/>
        <w:ind w:firstLine="560" w:firstLineChars="200"/>
        <w:jc w:val="both"/>
        <w:rPr>
          <w:rFonts w:hint="default" w:ascii="仿宋" w:hAnsi="仿宋" w:eastAsia="仿宋" w:cs="宋体"/>
          <w:color w:val="000000"/>
          <w:sz w:val="28"/>
          <w:szCs w:val="28"/>
        </w:rPr>
      </w:pPr>
    </w:p>
    <w:p>
      <w:pPr>
        <w:autoSpaceDE/>
        <w:autoSpaceDN/>
        <w:adjustRightInd/>
        <w:spacing w:line="420" w:lineRule="exact"/>
        <w:ind w:firstLine="4800" w:firstLineChars="1500"/>
        <w:jc w:val="both"/>
        <w:rPr>
          <w:rFonts w:hint="eastAsia" w:ascii="仿宋" w:hAnsi="仿宋" w:eastAsia="仿宋" w:cs="宋体"/>
          <w:color w:val="000000"/>
          <w:sz w:val="32"/>
          <w:szCs w:val="32"/>
          <w:lang w:eastAsia="zh-CN"/>
        </w:rPr>
      </w:pPr>
    </w:p>
    <w:p>
      <w:pPr>
        <w:autoSpaceDE/>
        <w:autoSpaceDN/>
        <w:adjustRightInd/>
        <w:spacing w:line="420" w:lineRule="exact"/>
        <w:ind w:firstLine="4800" w:firstLineChars="1500"/>
        <w:jc w:val="both"/>
        <w:rPr>
          <w:rFonts w:hint="default" w:ascii="仿宋" w:hAnsi="仿宋" w:eastAsia="仿宋" w:cs="宋体"/>
          <w:color w:val="000000"/>
          <w:sz w:val="32"/>
          <w:szCs w:val="32"/>
        </w:rPr>
      </w:pPr>
    </w:p>
    <w:p>
      <w:pPr>
        <w:autoSpaceDE/>
        <w:autoSpaceDN/>
        <w:adjustRightInd/>
        <w:spacing w:line="420" w:lineRule="exact"/>
        <w:ind w:firstLine="4800" w:firstLineChars="1500"/>
        <w:jc w:val="both"/>
        <w:rPr>
          <w:rFonts w:hint="default" w:ascii="仿宋" w:hAnsi="仿宋" w:eastAsia="仿宋" w:cs="宋体"/>
          <w:color w:val="000000"/>
          <w:sz w:val="32"/>
          <w:szCs w:val="32"/>
        </w:rPr>
      </w:pPr>
    </w:p>
    <w:p>
      <w:pPr>
        <w:autoSpaceDE/>
        <w:autoSpaceDN/>
        <w:adjustRightInd/>
        <w:spacing w:line="420" w:lineRule="exact"/>
        <w:ind w:firstLine="4800" w:firstLineChars="1500"/>
        <w:jc w:val="both"/>
        <w:rPr>
          <w:rFonts w:hint="default" w:ascii="仿宋" w:hAnsi="仿宋" w:eastAsia="仿宋" w:cs="宋体"/>
          <w:color w:val="000000"/>
          <w:sz w:val="32"/>
          <w:szCs w:val="32"/>
        </w:rPr>
      </w:pPr>
    </w:p>
    <w:p>
      <w:pPr>
        <w:autoSpaceDE/>
        <w:autoSpaceDN/>
        <w:adjustRightInd/>
        <w:spacing w:line="420" w:lineRule="exact"/>
        <w:ind w:firstLine="4800" w:firstLineChars="1500"/>
        <w:jc w:val="both"/>
        <w:rPr>
          <w:rFonts w:hint="default" w:ascii="仿宋" w:hAnsi="仿宋" w:eastAsia="仿宋" w:cs="宋体"/>
          <w:color w:val="000000"/>
          <w:sz w:val="32"/>
          <w:szCs w:val="32"/>
        </w:rPr>
      </w:pPr>
    </w:p>
    <w:p>
      <w:pPr>
        <w:autoSpaceDE/>
        <w:autoSpaceDN/>
        <w:adjustRightInd/>
        <w:spacing w:line="420" w:lineRule="exact"/>
        <w:ind w:firstLine="4800" w:firstLineChars="1500"/>
        <w:jc w:val="both"/>
        <w:rPr>
          <w:rFonts w:hint="default" w:ascii="仿宋" w:hAnsi="仿宋" w:eastAsia="仿宋" w:cs="宋体"/>
          <w:color w:val="000000"/>
          <w:sz w:val="32"/>
          <w:szCs w:val="32"/>
        </w:rPr>
      </w:pPr>
    </w:p>
    <w:p>
      <w:pPr>
        <w:autoSpaceDE/>
        <w:autoSpaceDN/>
        <w:adjustRightInd/>
        <w:spacing w:line="420" w:lineRule="exact"/>
        <w:ind w:firstLine="4800" w:firstLineChars="1500"/>
        <w:jc w:val="both"/>
        <w:rPr>
          <w:rFonts w:hint="default" w:ascii="仿宋" w:hAnsi="仿宋" w:eastAsia="仿宋" w:cs="宋体"/>
          <w:color w:val="000000"/>
          <w:sz w:val="32"/>
          <w:szCs w:val="32"/>
        </w:rPr>
      </w:pPr>
    </w:p>
    <w:p>
      <w:pPr>
        <w:autoSpaceDE/>
        <w:autoSpaceDN/>
        <w:adjustRightInd/>
        <w:spacing w:line="420" w:lineRule="exact"/>
        <w:ind w:firstLine="4800" w:firstLineChars="1500"/>
        <w:jc w:val="both"/>
        <w:rPr>
          <w:rFonts w:hint="default" w:ascii="仿宋" w:hAnsi="仿宋" w:eastAsia="仿宋" w:cs="宋体"/>
          <w:color w:val="000000"/>
          <w:sz w:val="32"/>
          <w:szCs w:val="32"/>
        </w:rPr>
      </w:pPr>
    </w:p>
    <w:p>
      <w:pPr>
        <w:autoSpaceDE/>
        <w:autoSpaceDN/>
        <w:adjustRightInd/>
        <w:spacing w:line="560" w:lineRule="exact"/>
        <w:jc w:val="both"/>
        <w:rPr>
          <w:rFonts w:hint="default" w:ascii="仿宋" w:hAnsi="仿宋" w:eastAsia="仿宋" w:cs="宋体"/>
          <w:color w:val="000000"/>
          <w:szCs w:val="24"/>
        </w:rPr>
      </w:pPr>
    </w:p>
    <w:p>
      <w:pPr>
        <w:autoSpaceDE/>
        <w:autoSpaceDN/>
        <w:adjustRightInd/>
        <w:spacing w:line="290" w:lineRule="exact"/>
        <w:jc w:val="both"/>
        <w:rPr>
          <w:rFonts w:hint="default" w:cs="宋体"/>
          <w:b/>
          <w:bCs/>
          <w:kern w:val="2"/>
          <w:sz w:val="28"/>
          <w:szCs w:val="28"/>
        </w:rPr>
      </w:pPr>
    </w:p>
    <w:p>
      <w:pPr>
        <w:autoSpaceDE/>
        <w:autoSpaceDN/>
        <w:adjustRightInd/>
        <w:spacing w:line="290" w:lineRule="exact"/>
        <w:jc w:val="both"/>
        <w:rPr>
          <w:rFonts w:hint="default" w:cs="宋体"/>
          <w:b/>
          <w:bCs/>
          <w:kern w:val="2"/>
          <w:sz w:val="28"/>
          <w:szCs w:val="28"/>
        </w:rPr>
      </w:pPr>
    </w:p>
    <w:p>
      <w:pPr>
        <w:autoSpaceDE/>
        <w:autoSpaceDN/>
        <w:adjustRightInd/>
        <w:spacing w:line="290" w:lineRule="exact"/>
        <w:jc w:val="both"/>
        <w:rPr>
          <w:rFonts w:hint="default" w:cs="宋体"/>
          <w:b/>
          <w:bCs/>
          <w:kern w:val="2"/>
          <w:sz w:val="28"/>
          <w:szCs w:val="28"/>
        </w:rPr>
      </w:pPr>
    </w:p>
    <w:p>
      <w:pPr>
        <w:autoSpaceDE/>
        <w:autoSpaceDN/>
        <w:adjustRightInd/>
        <w:spacing w:line="290" w:lineRule="exact"/>
        <w:jc w:val="both"/>
        <w:rPr>
          <w:rFonts w:hint="default" w:cs="宋体"/>
          <w:b/>
          <w:bCs/>
          <w:kern w:val="2"/>
          <w:sz w:val="28"/>
          <w:szCs w:val="28"/>
        </w:rPr>
      </w:pPr>
    </w:p>
    <w:p>
      <w:pPr>
        <w:autoSpaceDE/>
        <w:autoSpaceDN/>
        <w:adjustRightInd/>
        <w:spacing w:line="290" w:lineRule="exact"/>
        <w:jc w:val="both"/>
        <w:rPr>
          <w:rFonts w:hint="default" w:cs="宋体"/>
          <w:b/>
          <w:bCs/>
          <w:kern w:val="2"/>
          <w:sz w:val="28"/>
          <w:szCs w:val="28"/>
        </w:rPr>
      </w:pPr>
    </w:p>
    <w:p>
      <w:pPr>
        <w:autoSpaceDE/>
        <w:autoSpaceDN/>
        <w:adjustRightInd/>
        <w:spacing w:line="290" w:lineRule="exact"/>
        <w:jc w:val="both"/>
        <w:rPr>
          <w:rFonts w:hint="default" w:cs="宋体"/>
          <w:b/>
          <w:bCs/>
          <w:kern w:val="2"/>
          <w:sz w:val="28"/>
          <w:szCs w:val="28"/>
        </w:rPr>
      </w:pPr>
    </w:p>
    <w:p>
      <w:pPr>
        <w:autoSpaceDE/>
        <w:autoSpaceDN/>
        <w:adjustRightInd/>
        <w:spacing w:line="290" w:lineRule="exact"/>
        <w:jc w:val="both"/>
        <w:rPr>
          <w:rFonts w:hint="default" w:cs="宋体"/>
          <w:b/>
          <w:bCs/>
          <w:kern w:val="2"/>
          <w:sz w:val="28"/>
          <w:szCs w:val="28"/>
        </w:rPr>
      </w:pPr>
    </w:p>
    <w:p>
      <w:pPr>
        <w:autoSpaceDE/>
        <w:autoSpaceDN/>
        <w:adjustRightInd/>
        <w:spacing w:line="290" w:lineRule="exact"/>
        <w:jc w:val="both"/>
        <w:rPr>
          <w:rFonts w:hint="default" w:cs="宋体"/>
          <w:b/>
          <w:bCs/>
          <w:kern w:val="2"/>
          <w:sz w:val="28"/>
          <w:szCs w:val="28"/>
        </w:rPr>
      </w:pPr>
    </w:p>
    <w:p>
      <w:pPr>
        <w:autoSpaceDE/>
        <w:autoSpaceDN/>
        <w:adjustRightInd/>
        <w:spacing w:line="280" w:lineRule="exact"/>
        <w:jc w:val="both"/>
        <w:rPr>
          <w:rFonts w:hint="default" w:ascii="黑体" w:hAnsi="黑体" w:eastAsia="黑体" w:cs="宋体"/>
          <w:bCs/>
          <w:kern w:val="2"/>
          <w:sz w:val="28"/>
          <w:szCs w:val="28"/>
        </w:rPr>
      </w:pPr>
      <w:r>
        <w:rPr>
          <w:rFonts w:ascii="黑体" w:hAnsi="黑体" w:eastAsia="黑体" w:cs="宋体"/>
          <w:bCs/>
          <w:kern w:val="2"/>
          <w:sz w:val="28"/>
          <w:szCs w:val="28"/>
        </w:rPr>
        <w:t>附件：1</w:t>
      </w:r>
    </w:p>
    <w:p>
      <w:pPr>
        <w:autoSpaceDE/>
        <w:autoSpaceDN/>
        <w:adjustRightInd/>
        <w:spacing w:line="280" w:lineRule="exact"/>
        <w:jc w:val="center"/>
        <w:rPr>
          <w:rFonts w:cs="宋体"/>
          <w:b/>
          <w:bCs/>
          <w:kern w:val="2"/>
          <w:sz w:val="30"/>
          <w:szCs w:val="30"/>
        </w:rPr>
      </w:pPr>
    </w:p>
    <w:p>
      <w:pPr>
        <w:autoSpaceDE/>
        <w:autoSpaceDN/>
        <w:adjustRightInd/>
        <w:spacing w:line="440" w:lineRule="exact"/>
        <w:jc w:val="center"/>
        <w:rPr>
          <w:rFonts w:hint="default" w:cs="宋体"/>
          <w:b/>
          <w:bCs/>
          <w:kern w:val="2"/>
          <w:sz w:val="32"/>
          <w:szCs w:val="32"/>
        </w:rPr>
      </w:pPr>
      <w:r>
        <w:rPr>
          <w:rFonts w:cs="宋体"/>
          <w:b/>
          <w:bCs/>
          <w:kern w:val="2"/>
          <w:sz w:val="32"/>
          <w:szCs w:val="32"/>
        </w:rPr>
        <w:t>培 训 内 容</w:t>
      </w:r>
    </w:p>
    <w:p>
      <w:pPr>
        <w:autoSpaceDE/>
        <w:autoSpaceDN/>
        <w:adjustRightInd/>
        <w:spacing w:line="280" w:lineRule="exact"/>
        <w:ind w:firstLine="560" w:firstLineChars="200"/>
        <w:jc w:val="both"/>
        <w:rPr>
          <w:rFonts w:ascii="黑体" w:hAnsi="黑体" w:eastAsia="黑体" w:cs="楷体"/>
          <w:kern w:val="2"/>
          <w:sz w:val="28"/>
          <w:szCs w:val="28"/>
        </w:rPr>
      </w:pPr>
    </w:p>
    <w:p>
      <w:pPr>
        <w:autoSpaceDE/>
        <w:autoSpaceDN/>
        <w:adjustRightInd/>
        <w:spacing w:line="280" w:lineRule="exact"/>
        <w:ind w:firstLine="560" w:firstLineChars="200"/>
        <w:jc w:val="both"/>
        <w:rPr>
          <w:rFonts w:hint="default" w:ascii="黑体" w:hAnsi="黑体" w:eastAsia="黑体" w:cs="楷体"/>
          <w:kern w:val="2"/>
          <w:sz w:val="28"/>
          <w:szCs w:val="28"/>
        </w:rPr>
      </w:pPr>
      <w:r>
        <w:rPr>
          <w:rFonts w:ascii="黑体" w:hAnsi="黑体" w:eastAsia="黑体" w:cs="楷体"/>
          <w:kern w:val="2"/>
          <w:sz w:val="28"/>
          <w:szCs w:val="28"/>
        </w:rPr>
        <w:t>一、国有企业改革相关政策解读</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1</w:t>
      </w:r>
      <w:r>
        <w:rPr>
          <w:rFonts w:ascii="仿宋" w:hAnsi="仿宋" w:eastAsia="仿宋" w:cs="仿宋"/>
          <w:bCs/>
          <w:kern w:val="2"/>
          <w:sz w:val="28"/>
          <w:szCs w:val="28"/>
        </w:rPr>
        <w:t>.</w:t>
      </w:r>
      <w:r>
        <w:rPr>
          <w:rFonts w:hint="default" w:ascii="仿宋" w:hAnsi="仿宋" w:eastAsia="仿宋" w:cs="仿宋"/>
          <w:bCs/>
          <w:kern w:val="2"/>
          <w:sz w:val="28"/>
          <w:szCs w:val="28"/>
        </w:rPr>
        <w:t>《国企改革三年行动方案（2020-2022年）》要点解读</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2</w:t>
      </w:r>
      <w:r>
        <w:rPr>
          <w:rFonts w:ascii="仿宋" w:hAnsi="仿宋" w:eastAsia="仿宋" w:cs="仿宋"/>
          <w:bCs/>
          <w:kern w:val="2"/>
          <w:sz w:val="28"/>
          <w:szCs w:val="28"/>
        </w:rPr>
        <w:t>.</w:t>
      </w:r>
      <w:r>
        <w:rPr>
          <w:rFonts w:hint="default" w:ascii="仿宋" w:hAnsi="仿宋" w:eastAsia="仿宋" w:cs="仿宋"/>
          <w:bCs/>
          <w:kern w:val="2"/>
          <w:sz w:val="28"/>
          <w:szCs w:val="28"/>
        </w:rPr>
        <w:t>国资国企改革“1+N”系列政策文件的重点内容解读 </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3</w:t>
      </w:r>
      <w:r>
        <w:rPr>
          <w:rFonts w:ascii="仿宋" w:hAnsi="仿宋" w:eastAsia="仿宋" w:cs="仿宋"/>
          <w:bCs/>
          <w:kern w:val="2"/>
          <w:sz w:val="28"/>
          <w:szCs w:val="28"/>
        </w:rPr>
        <w:t>.</w:t>
      </w:r>
      <w:r>
        <w:rPr>
          <w:rFonts w:hint="default" w:ascii="仿宋" w:hAnsi="仿宋" w:eastAsia="仿宋" w:cs="仿宋"/>
          <w:bCs/>
          <w:kern w:val="2"/>
          <w:sz w:val="28"/>
          <w:szCs w:val="28"/>
        </w:rPr>
        <w:t>习近平总书记有关国资国企改革的历次重要讲话和指示批示解读 </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4</w:t>
      </w:r>
      <w:r>
        <w:rPr>
          <w:rFonts w:ascii="仿宋" w:hAnsi="仿宋" w:eastAsia="仿宋" w:cs="仿宋"/>
          <w:bCs/>
          <w:kern w:val="2"/>
          <w:sz w:val="28"/>
          <w:szCs w:val="28"/>
        </w:rPr>
        <w:t>.</w:t>
      </w:r>
      <w:r>
        <w:rPr>
          <w:rFonts w:hint="default" w:ascii="仿宋" w:hAnsi="仿宋" w:eastAsia="仿宋" w:cs="仿宋"/>
          <w:bCs/>
          <w:kern w:val="2"/>
          <w:sz w:val="28"/>
          <w:szCs w:val="28"/>
        </w:rPr>
        <w:t>《国企改革“双百行动”工作方案》及相关政策解析</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5</w:t>
      </w:r>
      <w:r>
        <w:rPr>
          <w:rFonts w:ascii="仿宋" w:hAnsi="仿宋" w:eastAsia="仿宋" w:cs="仿宋"/>
          <w:bCs/>
          <w:kern w:val="2"/>
          <w:sz w:val="28"/>
          <w:szCs w:val="28"/>
        </w:rPr>
        <w:t>.</w:t>
      </w:r>
      <w:r>
        <w:rPr>
          <w:rFonts w:hint="default" w:ascii="仿宋" w:hAnsi="仿宋" w:eastAsia="仿宋" w:cs="仿宋"/>
          <w:bCs/>
          <w:kern w:val="2"/>
          <w:sz w:val="28"/>
          <w:szCs w:val="28"/>
        </w:rPr>
        <w:t>混合所有制改革的主要思路、操纵模式及公司治理的政策要点</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6</w:t>
      </w:r>
      <w:r>
        <w:rPr>
          <w:rFonts w:ascii="仿宋" w:hAnsi="仿宋" w:eastAsia="仿宋" w:cs="仿宋"/>
          <w:bCs/>
          <w:kern w:val="2"/>
          <w:sz w:val="28"/>
          <w:szCs w:val="28"/>
        </w:rPr>
        <w:t>.</w:t>
      </w:r>
      <w:r>
        <w:rPr>
          <w:rFonts w:hint="default" w:ascii="仿宋" w:hAnsi="仿宋" w:eastAsia="仿宋" w:cs="仿宋"/>
          <w:bCs/>
          <w:kern w:val="2"/>
          <w:sz w:val="28"/>
          <w:szCs w:val="28"/>
        </w:rPr>
        <w:t xml:space="preserve">国务院国资委、国家发改委分别牵头的改革试点以及先进省市国企混改和员工持股试点的实际进展情况 </w:t>
      </w:r>
    </w:p>
    <w:p>
      <w:pPr>
        <w:autoSpaceDE/>
        <w:autoSpaceDN/>
        <w:adjustRightInd/>
        <w:spacing w:line="280" w:lineRule="exact"/>
        <w:ind w:firstLine="560" w:firstLineChars="200"/>
        <w:jc w:val="both"/>
        <w:rPr>
          <w:rFonts w:hint="default" w:ascii="黑体" w:hAnsi="黑体" w:eastAsia="黑体" w:cs="楷体"/>
          <w:kern w:val="2"/>
          <w:sz w:val="28"/>
          <w:szCs w:val="28"/>
        </w:rPr>
      </w:pPr>
      <w:r>
        <w:rPr>
          <w:rFonts w:hint="default" w:ascii="黑体" w:hAnsi="黑体" w:eastAsia="黑体" w:cs="楷体"/>
          <w:kern w:val="2"/>
          <w:sz w:val="28"/>
          <w:szCs w:val="28"/>
        </w:rPr>
        <w:t>二</w:t>
      </w:r>
      <w:r>
        <w:rPr>
          <w:rFonts w:ascii="黑体" w:hAnsi="黑体" w:eastAsia="黑体" w:cs="楷体"/>
          <w:kern w:val="2"/>
          <w:sz w:val="28"/>
          <w:szCs w:val="28"/>
        </w:rPr>
        <w:t>、</w:t>
      </w:r>
      <w:r>
        <w:rPr>
          <w:rFonts w:hint="default" w:ascii="黑体" w:hAnsi="黑体" w:eastAsia="黑体" w:cs="楷体"/>
          <w:kern w:val="2"/>
          <w:sz w:val="28"/>
          <w:szCs w:val="28"/>
        </w:rPr>
        <w:t>国企混合所有制改革的政策解读与操作要点</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1</w:t>
      </w:r>
      <w:r>
        <w:rPr>
          <w:rFonts w:ascii="仿宋" w:hAnsi="仿宋" w:eastAsia="仿宋" w:cs="仿宋"/>
          <w:bCs/>
          <w:kern w:val="2"/>
          <w:sz w:val="28"/>
          <w:szCs w:val="28"/>
        </w:rPr>
        <w:t>.</w:t>
      </w:r>
      <w:r>
        <w:rPr>
          <w:rFonts w:hint="default" w:ascii="仿宋" w:hAnsi="仿宋" w:eastAsia="仿宋" w:cs="仿宋"/>
          <w:bCs/>
          <w:kern w:val="2"/>
          <w:sz w:val="28"/>
          <w:szCs w:val="28"/>
        </w:rPr>
        <w:t>对国企混合所有制改革的认识</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2</w:t>
      </w:r>
      <w:r>
        <w:rPr>
          <w:rFonts w:ascii="仿宋" w:hAnsi="仿宋" w:eastAsia="仿宋" w:cs="仿宋"/>
          <w:bCs/>
          <w:kern w:val="2"/>
          <w:sz w:val="28"/>
          <w:szCs w:val="28"/>
        </w:rPr>
        <w:t>.</w:t>
      </w:r>
      <w:r>
        <w:rPr>
          <w:rFonts w:hint="default" w:ascii="仿宋" w:hAnsi="仿宋" w:eastAsia="仿宋" w:cs="仿宋"/>
          <w:bCs/>
          <w:kern w:val="2"/>
          <w:sz w:val="28"/>
          <w:szCs w:val="28"/>
        </w:rPr>
        <w:t>国企混改与员工持股有关政策要点</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3</w:t>
      </w:r>
      <w:r>
        <w:rPr>
          <w:rFonts w:ascii="仿宋" w:hAnsi="仿宋" w:eastAsia="仿宋" w:cs="仿宋"/>
          <w:bCs/>
          <w:kern w:val="2"/>
          <w:sz w:val="28"/>
          <w:szCs w:val="28"/>
        </w:rPr>
        <w:t>.</w:t>
      </w:r>
      <w:r>
        <w:rPr>
          <w:rFonts w:hint="default" w:ascii="仿宋" w:hAnsi="仿宋" w:eastAsia="仿宋" w:cs="仿宋"/>
          <w:bCs/>
          <w:kern w:val="2"/>
          <w:sz w:val="28"/>
          <w:szCs w:val="28"/>
        </w:rPr>
        <w:t>国企混改的三种主要选择形式</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4</w:t>
      </w:r>
      <w:r>
        <w:rPr>
          <w:rFonts w:ascii="仿宋" w:hAnsi="仿宋" w:eastAsia="仿宋" w:cs="仿宋"/>
          <w:bCs/>
          <w:kern w:val="2"/>
          <w:sz w:val="28"/>
          <w:szCs w:val="28"/>
        </w:rPr>
        <w:t>.</w:t>
      </w:r>
      <w:r>
        <w:rPr>
          <w:rFonts w:hint="default" w:ascii="仿宋" w:hAnsi="仿宋" w:eastAsia="仿宋" w:cs="仿宋"/>
          <w:bCs/>
          <w:kern w:val="2"/>
          <w:sz w:val="28"/>
          <w:szCs w:val="28"/>
        </w:rPr>
        <w:t>国企混改的核心思路</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5</w:t>
      </w:r>
      <w:r>
        <w:rPr>
          <w:rFonts w:ascii="仿宋" w:hAnsi="仿宋" w:eastAsia="仿宋" w:cs="仿宋"/>
          <w:bCs/>
          <w:kern w:val="2"/>
          <w:sz w:val="28"/>
          <w:szCs w:val="28"/>
        </w:rPr>
        <w:t>.</w:t>
      </w:r>
      <w:r>
        <w:rPr>
          <w:rFonts w:hint="default" w:ascii="仿宋" w:hAnsi="仿宋" w:eastAsia="仿宋" w:cs="仿宋"/>
          <w:bCs/>
          <w:kern w:val="2"/>
          <w:sz w:val="28"/>
          <w:szCs w:val="28"/>
        </w:rPr>
        <w:t>国企混改的“三混两改”五大操作阶段</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6</w:t>
      </w:r>
      <w:r>
        <w:rPr>
          <w:rFonts w:ascii="仿宋" w:hAnsi="仿宋" w:eastAsia="仿宋" w:cs="仿宋"/>
          <w:bCs/>
          <w:kern w:val="2"/>
          <w:sz w:val="28"/>
          <w:szCs w:val="28"/>
        </w:rPr>
        <w:t>.</w:t>
      </w:r>
      <w:r>
        <w:rPr>
          <w:rFonts w:hint="default" w:ascii="仿宋" w:hAnsi="仿宋" w:eastAsia="仿宋" w:cs="仿宋"/>
          <w:bCs/>
          <w:kern w:val="2"/>
          <w:sz w:val="28"/>
          <w:szCs w:val="28"/>
        </w:rPr>
        <w:t>如何制定“一企一策”混改方案</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7</w:t>
      </w:r>
      <w:r>
        <w:rPr>
          <w:rFonts w:ascii="仿宋" w:hAnsi="仿宋" w:eastAsia="仿宋" w:cs="仿宋"/>
          <w:bCs/>
          <w:kern w:val="2"/>
          <w:sz w:val="28"/>
          <w:szCs w:val="28"/>
        </w:rPr>
        <w:t>.</w:t>
      </w:r>
      <w:r>
        <w:rPr>
          <w:rFonts w:hint="default" w:ascii="仿宋" w:hAnsi="仿宋" w:eastAsia="仿宋" w:cs="仿宋"/>
          <w:bCs/>
          <w:kern w:val="2"/>
          <w:sz w:val="28"/>
          <w:szCs w:val="28"/>
        </w:rPr>
        <w:t>企业混改的基本工作流程</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8</w:t>
      </w:r>
      <w:r>
        <w:rPr>
          <w:rFonts w:ascii="仿宋" w:hAnsi="仿宋" w:eastAsia="仿宋" w:cs="仿宋"/>
          <w:bCs/>
          <w:kern w:val="2"/>
          <w:sz w:val="28"/>
          <w:szCs w:val="28"/>
        </w:rPr>
        <w:t>.</w:t>
      </w:r>
      <w:r>
        <w:rPr>
          <w:rFonts w:hint="default" w:ascii="仿宋" w:hAnsi="仿宋" w:eastAsia="仿宋" w:cs="仿宋"/>
          <w:bCs/>
          <w:kern w:val="2"/>
          <w:sz w:val="28"/>
          <w:szCs w:val="28"/>
        </w:rPr>
        <w:t>战略投资者及财务投资者的选择要点</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9</w:t>
      </w:r>
      <w:r>
        <w:rPr>
          <w:rFonts w:ascii="仿宋" w:hAnsi="仿宋" w:eastAsia="仿宋" w:cs="仿宋"/>
          <w:bCs/>
          <w:kern w:val="2"/>
          <w:sz w:val="28"/>
          <w:szCs w:val="28"/>
        </w:rPr>
        <w:t>.</w:t>
      </w:r>
      <w:r>
        <w:rPr>
          <w:rFonts w:hint="default" w:ascii="仿宋" w:hAnsi="仿宋" w:eastAsia="仿宋" w:cs="仿宋"/>
          <w:bCs/>
          <w:kern w:val="2"/>
          <w:sz w:val="28"/>
          <w:szCs w:val="28"/>
        </w:rPr>
        <w:t>员工的持股与管理</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10</w:t>
      </w:r>
      <w:r>
        <w:rPr>
          <w:rFonts w:ascii="仿宋" w:hAnsi="仿宋" w:eastAsia="仿宋" w:cs="仿宋"/>
          <w:bCs/>
          <w:kern w:val="2"/>
          <w:sz w:val="28"/>
          <w:szCs w:val="28"/>
        </w:rPr>
        <w:t>.</w:t>
      </w:r>
      <w:r>
        <w:rPr>
          <w:rFonts w:hint="default" w:ascii="仿宋" w:hAnsi="仿宋" w:eastAsia="仿宋" w:cs="仿宋"/>
          <w:bCs/>
          <w:kern w:val="2"/>
          <w:sz w:val="28"/>
          <w:szCs w:val="28"/>
        </w:rPr>
        <w:t>企业混改中的产权交易及公开征集投资人</w:t>
      </w:r>
    </w:p>
    <w:p>
      <w:pPr>
        <w:autoSpaceDE/>
        <w:autoSpaceDN/>
        <w:adjustRightInd/>
        <w:spacing w:line="280" w:lineRule="exact"/>
        <w:ind w:firstLine="560" w:firstLineChars="200"/>
        <w:jc w:val="both"/>
        <w:rPr>
          <w:rFonts w:hint="default" w:ascii="黑体" w:hAnsi="黑体" w:eastAsia="黑体" w:cs="楷体"/>
          <w:kern w:val="2"/>
          <w:sz w:val="28"/>
          <w:szCs w:val="28"/>
        </w:rPr>
      </w:pPr>
      <w:r>
        <w:rPr>
          <w:rFonts w:hint="default" w:ascii="黑体" w:hAnsi="黑体" w:eastAsia="黑体" w:cs="楷体"/>
          <w:kern w:val="2"/>
          <w:sz w:val="28"/>
          <w:szCs w:val="28"/>
        </w:rPr>
        <w:t>三</w:t>
      </w:r>
      <w:r>
        <w:rPr>
          <w:rFonts w:ascii="黑体" w:hAnsi="黑体" w:eastAsia="黑体" w:cs="楷体"/>
          <w:kern w:val="2"/>
          <w:sz w:val="28"/>
          <w:szCs w:val="28"/>
        </w:rPr>
        <w:t>、</w:t>
      </w:r>
      <w:r>
        <w:rPr>
          <w:rFonts w:hint="default" w:ascii="黑体" w:hAnsi="黑体" w:eastAsia="黑体" w:cs="楷体"/>
          <w:kern w:val="2"/>
          <w:sz w:val="28"/>
          <w:szCs w:val="28"/>
        </w:rPr>
        <w:t xml:space="preserve">国企混合所有制改革的难点解析、操作模式及实战技术 </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1</w:t>
      </w:r>
      <w:r>
        <w:rPr>
          <w:rFonts w:ascii="仿宋" w:hAnsi="仿宋" w:eastAsia="仿宋" w:cs="仿宋"/>
          <w:bCs/>
          <w:kern w:val="2"/>
          <w:sz w:val="28"/>
          <w:szCs w:val="28"/>
        </w:rPr>
        <w:t>.</w:t>
      </w:r>
      <w:r>
        <w:rPr>
          <w:rFonts w:hint="default" w:ascii="仿宋" w:hAnsi="仿宋" w:eastAsia="仿宋" w:cs="仿宋"/>
          <w:bCs/>
          <w:kern w:val="2"/>
          <w:sz w:val="28"/>
          <w:szCs w:val="28"/>
        </w:rPr>
        <w:t xml:space="preserve">国企混改的经验教训总结 </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2</w:t>
      </w:r>
      <w:r>
        <w:rPr>
          <w:rFonts w:ascii="仿宋" w:hAnsi="仿宋" w:eastAsia="仿宋" w:cs="仿宋"/>
          <w:bCs/>
          <w:kern w:val="2"/>
          <w:sz w:val="28"/>
          <w:szCs w:val="28"/>
        </w:rPr>
        <w:t>.</w:t>
      </w:r>
      <w:r>
        <w:rPr>
          <w:rFonts w:hint="default" w:ascii="仿宋" w:hAnsi="仿宋" w:eastAsia="仿宋" w:cs="仿宋"/>
          <w:bCs/>
          <w:kern w:val="2"/>
          <w:sz w:val="28"/>
          <w:szCs w:val="28"/>
        </w:rPr>
        <w:t xml:space="preserve">推行混合所有制改革的焦点和难点问题解析 </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3</w:t>
      </w:r>
      <w:r>
        <w:rPr>
          <w:rFonts w:ascii="仿宋" w:hAnsi="仿宋" w:eastAsia="仿宋" w:cs="仿宋"/>
          <w:bCs/>
          <w:kern w:val="2"/>
          <w:sz w:val="28"/>
          <w:szCs w:val="28"/>
        </w:rPr>
        <w:t>.</w:t>
      </w:r>
      <w:r>
        <w:rPr>
          <w:rFonts w:hint="default" w:ascii="仿宋" w:hAnsi="仿宋" w:eastAsia="仿宋" w:cs="仿宋"/>
          <w:bCs/>
          <w:kern w:val="2"/>
          <w:sz w:val="28"/>
          <w:szCs w:val="28"/>
        </w:rPr>
        <w:t>不同类型国有企业混改的操作模式以及可借鉴的典型案例</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4</w:t>
      </w:r>
      <w:r>
        <w:rPr>
          <w:rFonts w:ascii="仿宋" w:hAnsi="仿宋" w:eastAsia="仿宋" w:cs="仿宋"/>
          <w:bCs/>
          <w:kern w:val="2"/>
          <w:sz w:val="28"/>
          <w:szCs w:val="28"/>
        </w:rPr>
        <w:t>.</w:t>
      </w:r>
      <w:r>
        <w:rPr>
          <w:rFonts w:hint="default" w:ascii="仿宋" w:hAnsi="仿宋" w:eastAsia="仿宋" w:cs="仿宋"/>
          <w:bCs/>
          <w:kern w:val="2"/>
          <w:sz w:val="28"/>
          <w:szCs w:val="28"/>
        </w:rPr>
        <w:t>国企混合所有制改革六大主要环节的操作要点详解</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5</w:t>
      </w:r>
      <w:r>
        <w:rPr>
          <w:rFonts w:ascii="仿宋" w:hAnsi="仿宋" w:eastAsia="仿宋" w:cs="仿宋"/>
          <w:bCs/>
          <w:kern w:val="2"/>
          <w:sz w:val="28"/>
          <w:szCs w:val="28"/>
        </w:rPr>
        <w:t>.</w:t>
      </w:r>
      <w:r>
        <w:rPr>
          <w:rFonts w:hint="default" w:ascii="仿宋" w:hAnsi="仿宋" w:eastAsia="仿宋" w:cs="仿宋"/>
          <w:bCs/>
          <w:kern w:val="2"/>
          <w:sz w:val="28"/>
          <w:szCs w:val="28"/>
        </w:rPr>
        <w:t>混改工作与企业转型、培育新兴产业、打造一流企业</w:t>
      </w:r>
      <w:r>
        <w:rPr>
          <w:rFonts w:ascii="仿宋" w:hAnsi="仿宋" w:eastAsia="仿宋" w:cs="仿宋"/>
          <w:bCs/>
          <w:kern w:val="2"/>
          <w:sz w:val="28"/>
          <w:szCs w:val="28"/>
        </w:rPr>
        <w:t>的</w:t>
      </w:r>
      <w:r>
        <w:rPr>
          <w:rFonts w:hint="default" w:ascii="仿宋" w:hAnsi="仿宋" w:eastAsia="仿宋" w:cs="仿宋"/>
          <w:bCs/>
          <w:kern w:val="2"/>
          <w:sz w:val="28"/>
          <w:szCs w:val="28"/>
        </w:rPr>
        <w:t>有效结合</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6</w:t>
      </w:r>
      <w:r>
        <w:rPr>
          <w:rFonts w:ascii="仿宋" w:hAnsi="仿宋" w:eastAsia="仿宋" w:cs="仿宋"/>
          <w:bCs/>
          <w:kern w:val="2"/>
          <w:sz w:val="28"/>
          <w:szCs w:val="28"/>
        </w:rPr>
        <w:t>.</w:t>
      </w:r>
      <w:r>
        <w:rPr>
          <w:rFonts w:hint="default" w:ascii="仿宋" w:hAnsi="仿宋" w:eastAsia="仿宋" w:cs="仿宋"/>
          <w:bCs/>
          <w:kern w:val="2"/>
          <w:sz w:val="28"/>
          <w:szCs w:val="28"/>
        </w:rPr>
        <w:t>国企混改方案设计及组织实施疑难问题处理</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7</w:t>
      </w:r>
      <w:r>
        <w:rPr>
          <w:rFonts w:ascii="仿宋" w:hAnsi="仿宋" w:eastAsia="仿宋" w:cs="仿宋"/>
          <w:bCs/>
          <w:kern w:val="2"/>
          <w:sz w:val="28"/>
          <w:szCs w:val="28"/>
        </w:rPr>
        <w:t>.</w:t>
      </w:r>
      <w:r>
        <w:rPr>
          <w:rFonts w:hint="default" w:ascii="仿宋" w:hAnsi="仿宋" w:eastAsia="仿宋" w:cs="仿宋"/>
          <w:bCs/>
          <w:kern w:val="2"/>
          <w:sz w:val="28"/>
          <w:szCs w:val="28"/>
        </w:rPr>
        <w:t>在混改实施过程中，如何防范各类潜在和现实风险</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8</w:t>
      </w:r>
      <w:r>
        <w:rPr>
          <w:rFonts w:ascii="仿宋" w:hAnsi="仿宋" w:eastAsia="仿宋" w:cs="仿宋"/>
          <w:bCs/>
          <w:kern w:val="2"/>
          <w:sz w:val="28"/>
          <w:szCs w:val="28"/>
        </w:rPr>
        <w:t>.</w:t>
      </w:r>
      <w:r>
        <w:rPr>
          <w:rFonts w:hint="default" w:ascii="仿宋" w:hAnsi="仿宋" w:eastAsia="仿宋" w:cs="仿宋"/>
          <w:bCs/>
          <w:kern w:val="2"/>
          <w:sz w:val="28"/>
          <w:szCs w:val="28"/>
        </w:rPr>
        <w:t>央企（含下属企业）混改试点的典型案例详解</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9</w:t>
      </w:r>
      <w:r>
        <w:rPr>
          <w:rFonts w:ascii="仿宋" w:hAnsi="仿宋" w:eastAsia="仿宋" w:cs="仿宋"/>
          <w:bCs/>
          <w:kern w:val="2"/>
          <w:sz w:val="28"/>
          <w:szCs w:val="28"/>
        </w:rPr>
        <w:t>.</w:t>
      </w:r>
      <w:r>
        <w:rPr>
          <w:rFonts w:hint="default" w:ascii="仿宋" w:hAnsi="仿宋" w:eastAsia="仿宋" w:cs="仿宋"/>
          <w:bCs/>
          <w:kern w:val="2"/>
          <w:sz w:val="28"/>
          <w:szCs w:val="28"/>
        </w:rPr>
        <w:t>地方国有企业混改和员工持股试点的典型案例详解</w:t>
      </w:r>
    </w:p>
    <w:p>
      <w:pPr>
        <w:autoSpaceDE/>
        <w:autoSpaceDN/>
        <w:adjustRightInd/>
        <w:spacing w:line="280" w:lineRule="exact"/>
        <w:ind w:firstLine="560" w:firstLineChars="200"/>
        <w:jc w:val="both"/>
        <w:rPr>
          <w:rFonts w:hint="default" w:ascii="黑体" w:hAnsi="黑体" w:eastAsia="黑体" w:cs="楷体"/>
          <w:kern w:val="2"/>
          <w:sz w:val="28"/>
          <w:szCs w:val="28"/>
        </w:rPr>
      </w:pPr>
      <w:r>
        <w:rPr>
          <w:rFonts w:hint="default" w:ascii="黑体" w:hAnsi="黑体" w:eastAsia="黑体" w:cs="楷体"/>
          <w:kern w:val="2"/>
          <w:sz w:val="28"/>
          <w:szCs w:val="28"/>
        </w:rPr>
        <w:t>四</w:t>
      </w:r>
      <w:r>
        <w:rPr>
          <w:rFonts w:ascii="黑体" w:hAnsi="黑体" w:eastAsia="黑体" w:cs="楷体"/>
          <w:kern w:val="2"/>
          <w:sz w:val="28"/>
          <w:szCs w:val="28"/>
        </w:rPr>
        <w:t>、</w:t>
      </w:r>
      <w:r>
        <w:rPr>
          <w:rFonts w:hint="default" w:ascii="黑体" w:hAnsi="黑体" w:eastAsia="黑体" w:cs="楷体"/>
          <w:kern w:val="2"/>
          <w:sz w:val="28"/>
          <w:szCs w:val="28"/>
        </w:rPr>
        <w:t>国企混改中的战略规划及操作要点</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1</w:t>
      </w:r>
      <w:r>
        <w:rPr>
          <w:rFonts w:ascii="仿宋" w:hAnsi="仿宋" w:eastAsia="仿宋" w:cs="仿宋"/>
          <w:bCs/>
          <w:kern w:val="2"/>
          <w:sz w:val="28"/>
          <w:szCs w:val="28"/>
        </w:rPr>
        <w:t>.</w:t>
      </w:r>
      <w:r>
        <w:rPr>
          <w:rFonts w:hint="default" w:ascii="仿宋" w:hAnsi="仿宋" w:eastAsia="仿宋" w:cs="仿宋"/>
          <w:bCs/>
          <w:kern w:val="2"/>
          <w:sz w:val="28"/>
          <w:szCs w:val="28"/>
        </w:rPr>
        <w:t>“十四五”对国有企业的作用与价值</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2</w:t>
      </w:r>
      <w:r>
        <w:rPr>
          <w:rFonts w:ascii="仿宋" w:hAnsi="仿宋" w:eastAsia="仿宋" w:cs="仿宋"/>
          <w:bCs/>
          <w:kern w:val="2"/>
          <w:sz w:val="28"/>
          <w:szCs w:val="28"/>
        </w:rPr>
        <w:t>.</w:t>
      </w:r>
      <w:r>
        <w:rPr>
          <w:rFonts w:hint="default" w:ascii="仿宋" w:hAnsi="仿宋" w:eastAsia="仿宋" w:cs="仿宋"/>
          <w:bCs/>
          <w:kern w:val="2"/>
          <w:sz w:val="28"/>
          <w:szCs w:val="28"/>
        </w:rPr>
        <w:t>“十四五”期间国有企业发展的方向与逻辑</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3</w:t>
      </w:r>
      <w:r>
        <w:rPr>
          <w:rFonts w:ascii="仿宋" w:hAnsi="仿宋" w:eastAsia="仿宋" w:cs="仿宋"/>
          <w:bCs/>
          <w:kern w:val="2"/>
          <w:sz w:val="28"/>
          <w:szCs w:val="28"/>
        </w:rPr>
        <w:t>.</w:t>
      </w:r>
      <w:r>
        <w:rPr>
          <w:rFonts w:hint="default" w:ascii="仿宋" w:hAnsi="仿宋" w:eastAsia="仿宋" w:cs="仿宋"/>
          <w:bCs/>
          <w:kern w:val="2"/>
          <w:sz w:val="28"/>
          <w:szCs w:val="28"/>
        </w:rPr>
        <w:t>国有企业“十四五”战略规划的环境分析</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4</w:t>
      </w:r>
      <w:r>
        <w:rPr>
          <w:rFonts w:ascii="仿宋" w:hAnsi="仿宋" w:eastAsia="仿宋" w:cs="仿宋"/>
          <w:bCs/>
          <w:kern w:val="2"/>
          <w:sz w:val="28"/>
          <w:szCs w:val="28"/>
        </w:rPr>
        <w:t>.</w:t>
      </w:r>
      <w:r>
        <w:rPr>
          <w:rFonts w:hint="default" w:ascii="仿宋" w:hAnsi="仿宋" w:eastAsia="仿宋" w:cs="仿宋"/>
          <w:bCs/>
          <w:kern w:val="2"/>
          <w:sz w:val="28"/>
          <w:szCs w:val="28"/>
        </w:rPr>
        <w:t>“十四五”期间国有企业面临的机遇与挑战</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5</w:t>
      </w:r>
      <w:r>
        <w:rPr>
          <w:rFonts w:ascii="仿宋" w:hAnsi="仿宋" w:eastAsia="仿宋" w:cs="仿宋"/>
          <w:bCs/>
          <w:kern w:val="2"/>
          <w:sz w:val="28"/>
          <w:szCs w:val="28"/>
        </w:rPr>
        <w:t>.</w:t>
      </w:r>
      <w:r>
        <w:rPr>
          <w:rFonts w:hint="default" w:ascii="仿宋" w:hAnsi="仿宋" w:eastAsia="仿宋" w:cs="仿宋"/>
          <w:bCs/>
          <w:kern w:val="2"/>
          <w:sz w:val="28"/>
          <w:szCs w:val="28"/>
        </w:rPr>
        <w:t>国有企业“十四五”战略的顶层设计</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6</w:t>
      </w:r>
      <w:r>
        <w:rPr>
          <w:rFonts w:ascii="仿宋" w:hAnsi="仿宋" w:eastAsia="仿宋" w:cs="仿宋"/>
          <w:bCs/>
          <w:kern w:val="2"/>
          <w:sz w:val="28"/>
          <w:szCs w:val="28"/>
        </w:rPr>
        <w:t>.</w:t>
      </w:r>
      <w:r>
        <w:rPr>
          <w:rFonts w:hint="default" w:ascii="仿宋" w:hAnsi="仿宋" w:eastAsia="仿宋" w:cs="仿宋"/>
          <w:bCs/>
          <w:kern w:val="2"/>
          <w:sz w:val="28"/>
          <w:szCs w:val="28"/>
        </w:rPr>
        <w:t>商业模式设计</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7</w:t>
      </w:r>
      <w:r>
        <w:rPr>
          <w:rFonts w:ascii="仿宋" w:hAnsi="仿宋" w:eastAsia="仿宋" w:cs="仿宋"/>
          <w:bCs/>
          <w:kern w:val="2"/>
          <w:sz w:val="28"/>
          <w:szCs w:val="28"/>
        </w:rPr>
        <w:t>.</w:t>
      </w:r>
      <w:r>
        <w:rPr>
          <w:rFonts w:hint="default" w:ascii="仿宋" w:hAnsi="仿宋" w:eastAsia="仿宋" w:cs="仿宋"/>
          <w:bCs/>
          <w:kern w:val="2"/>
          <w:sz w:val="28"/>
          <w:szCs w:val="28"/>
        </w:rPr>
        <w:t>业务发展战略设计</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8</w:t>
      </w:r>
      <w:r>
        <w:rPr>
          <w:rFonts w:ascii="仿宋" w:hAnsi="仿宋" w:eastAsia="仿宋" w:cs="仿宋"/>
          <w:bCs/>
          <w:kern w:val="2"/>
          <w:sz w:val="28"/>
          <w:szCs w:val="28"/>
        </w:rPr>
        <w:t>.</w:t>
      </w:r>
      <w:r>
        <w:rPr>
          <w:rFonts w:hint="default" w:ascii="仿宋" w:hAnsi="仿宋" w:eastAsia="仿宋" w:cs="仿宋"/>
          <w:bCs/>
          <w:kern w:val="2"/>
          <w:sz w:val="28"/>
          <w:szCs w:val="28"/>
        </w:rPr>
        <w:t>资本战略设计</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9</w:t>
      </w:r>
      <w:r>
        <w:rPr>
          <w:rFonts w:ascii="仿宋" w:hAnsi="仿宋" w:eastAsia="仿宋" w:cs="仿宋"/>
          <w:bCs/>
          <w:kern w:val="2"/>
          <w:sz w:val="28"/>
          <w:szCs w:val="28"/>
        </w:rPr>
        <w:t>.</w:t>
      </w:r>
      <w:r>
        <w:rPr>
          <w:rFonts w:hint="default" w:ascii="仿宋" w:hAnsi="仿宋" w:eastAsia="仿宋" w:cs="仿宋"/>
          <w:bCs/>
          <w:kern w:val="2"/>
          <w:sz w:val="28"/>
          <w:szCs w:val="28"/>
        </w:rPr>
        <w:t>国际化战略设计</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10</w:t>
      </w:r>
      <w:r>
        <w:rPr>
          <w:rFonts w:ascii="仿宋" w:hAnsi="仿宋" w:eastAsia="仿宋" w:cs="仿宋"/>
          <w:bCs/>
          <w:kern w:val="2"/>
          <w:sz w:val="28"/>
          <w:szCs w:val="28"/>
        </w:rPr>
        <w:t>.</w:t>
      </w:r>
      <w:r>
        <w:rPr>
          <w:rFonts w:hint="default" w:ascii="仿宋" w:hAnsi="仿宋" w:eastAsia="仿宋" w:cs="仿宋"/>
          <w:bCs/>
          <w:kern w:val="2"/>
          <w:sz w:val="28"/>
          <w:szCs w:val="28"/>
        </w:rPr>
        <w:t>“十四五”战略规划的操作要点</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11</w:t>
      </w:r>
      <w:r>
        <w:rPr>
          <w:rFonts w:ascii="仿宋" w:hAnsi="仿宋" w:eastAsia="仿宋" w:cs="仿宋"/>
          <w:bCs/>
          <w:kern w:val="2"/>
          <w:sz w:val="28"/>
          <w:szCs w:val="28"/>
        </w:rPr>
        <w:t>.</w:t>
      </w:r>
      <w:r>
        <w:rPr>
          <w:rFonts w:hint="default" w:ascii="仿宋" w:hAnsi="仿宋" w:eastAsia="仿宋" w:cs="仿宋"/>
          <w:bCs/>
          <w:kern w:val="2"/>
          <w:sz w:val="28"/>
          <w:szCs w:val="28"/>
        </w:rPr>
        <w:t>“十四五”战略规划的难点</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12</w:t>
      </w:r>
      <w:r>
        <w:rPr>
          <w:rFonts w:ascii="仿宋" w:hAnsi="仿宋" w:eastAsia="仿宋" w:cs="仿宋"/>
          <w:bCs/>
          <w:kern w:val="2"/>
          <w:sz w:val="28"/>
          <w:szCs w:val="28"/>
        </w:rPr>
        <w:t>.</w:t>
      </w:r>
      <w:r>
        <w:rPr>
          <w:rFonts w:hint="default" w:ascii="仿宋" w:hAnsi="仿宋" w:eastAsia="仿宋" w:cs="仿宋"/>
          <w:bCs/>
          <w:kern w:val="2"/>
          <w:sz w:val="28"/>
          <w:szCs w:val="28"/>
        </w:rPr>
        <w:t>战略管理体系设计</w:t>
      </w:r>
    </w:p>
    <w:p>
      <w:pPr>
        <w:autoSpaceDE/>
        <w:autoSpaceDN/>
        <w:adjustRightInd/>
        <w:spacing w:line="280" w:lineRule="exact"/>
        <w:ind w:firstLine="560" w:firstLineChars="200"/>
        <w:jc w:val="both"/>
        <w:rPr>
          <w:rFonts w:hint="default" w:ascii="黑体" w:hAnsi="黑体" w:eastAsia="黑体" w:cs="楷体"/>
          <w:kern w:val="2"/>
          <w:sz w:val="28"/>
          <w:szCs w:val="28"/>
        </w:rPr>
      </w:pPr>
      <w:r>
        <w:rPr>
          <w:rFonts w:hint="default" w:ascii="黑体" w:hAnsi="黑体" w:eastAsia="黑体" w:cs="楷体"/>
          <w:kern w:val="2"/>
          <w:sz w:val="28"/>
          <w:szCs w:val="28"/>
        </w:rPr>
        <w:t>五</w:t>
      </w:r>
      <w:r>
        <w:rPr>
          <w:rFonts w:ascii="黑体" w:hAnsi="黑体" w:eastAsia="黑体" w:cs="楷体"/>
          <w:kern w:val="2"/>
          <w:sz w:val="28"/>
          <w:szCs w:val="28"/>
        </w:rPr>
        <w:t>、</w:t>
      </w:r>
      <w:r>
        <w:rPr>
          <w:rFonts w:hint="default" w:ascii="黑体" w:hAnsi="黑体" w:eastAsia="黑体" w:cs="楷体"/>
          <w:kern w:val="2"/>
          <w:sz w:val="28"/>
          <w:szCs w:val="28"/>
        </w:rPr>
        <w:t>国企混改后的管控模式及操作要点</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1</w:t>
      </w:r>
      <w:r>
        <w:rPr>
          <w:rFonts w:ascii="仿宋" w:hAnsi="仿宋" w:eastAsia="仿宋" w:cs="仿宋"/>
          <w:bCs/>
          <w:kern w:val="2"/>
          <w:sz w:val="28"/>
          <w:szCs w:val="28"/>
        </w:rPr>
        <w:t>.</w:t>
      </w:r>
      <w:r>
        <w:rPr>
          <w:rFonts w:hint="default" w:ascii="仿宋" w:hAnsi="仿宋" w:eastAsia="仿宋" w:cs="仿宋"/>
          <w:bCs/>
          <w:kern w:val="2"/>
          <w:sz w:val="28"/>
          <w:szCs w:val="28"/>
        </w:rPr>
        <w:t>集团管控的模式分析</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2</w:t>
      </w:r>
      <w:r>
        <w:rPr>
          <w:rFonts w:ascii="仿宋" w:hAnsi="仿宋" w:eastAsia="仿宋" w:cs="仿宋"/>
          <w:bCs/>
          <w:kern w:val="2"/>
          <w:sz w:val="28"/>
          <w:szCs w:val="28"/>
        </w:rPr>
        <w:t>.</w:t>
      </w:r>
      <w:r>
        <w:rPr>
          <w:rFonts w:hint="default" w:ascii="仿宋" w:hAnsi="仿宋" w:eastAsia="仿宋" w:cs="仿宋"/>
          <w:bCs/>
          <w:kern w:val="2"/>
          <w:sz w:val="28"/>
          <w:szCs w:val="28"/>
        </w:rPr>
        <w:t>战略管控型集团管控模式的要点</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3</w:t>
      </w:r>
      <w:r>
        <w:rPr>
          <w:rFonts w:ascii="仿宋" w:hAnsi="仿宋" w:eastAsia="仿宋" w:cs="仿宋"/>
          <w:bCs/>
          <w:kern w:val="2"/>
          <w:sz w:val="28"/>
          <w:szCs w:val="28"/>
        </w:rPr>
        <w:t>.</w:t>
      </w:r>
      <w:r>
        <w:rPr>
          <w:rFonts w:hint="default" w:ascii="仿宋" w:hAnsi="仿宋" w:eastAsia="仿宋" w:cs="仿宋"/>
          <w:bCs/>
          <w:kern w:val="2"/>
          <w:sz w:val="28"/>
          <w:szCs w:val="28"/>
        </w:rPr>
        <w:t>财务管控型集团管控模式的要点</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4</w:t>
      </w:r>
      <w:r>
        <w:rPr>
          <w:rFonts w:ascii="仿宋" w:hAnsi="仿宋" w:eastAsia="仿宋" w:cs="仿宋"/>
          <w:bCs/>
          <w:kern w:val="2"/>
          <w:sz w:val="28"/>
          <w:szCs w:val="28"/>
        </w:rPr>
        <w:t>.</w:t>
      </w:r>
      <w:r>
        <w:rPr>
          <w:rFonts w:hint="default" w:ascii="仿宋" w:hAnsi="仿宋" w:eastAsia="仿宋" w:cs="仿宋"/>
          <w:bCs/>
          <w:kern w:val="2"/>
          <w:sz w:val="28"/>
          <w:szCs w:val="28"/>
        </w:rPr>
        <w:t>运营管控型集团管控模式的要点</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5</w:t>
      </w:r>
      <w:r>
        <w:rPr>
          <w:rFonts w:ascii="仿宋" w:hAnsi="仿宋" w:eastAsia="仿宋" w:cs="仿宋"/>
          <w:bCs/>
          <w:kern w:val="2"/>
          <w:sz w:val="28"/>
          <w:szCs w:val="28"/>
        </w:rPr>
        <w:t>.</w:t>
      </w:r>
      <w:r>
        <w:rPr>
          <w:rFonts w:hint="default" w:ascii="仿宋" w:hAnsi="仿宋" w:eastAsia="仿宋" w:cs="仿宋"/>
          <w:bCs/>
          <w:kern w:val="2"/>
          <w:sz w:val="28"/>
          <w:szCs w:val="28"/>
        </w:rPr>
        <w:t>集团管控面临的六大挑战</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6</w:t>
      </w:r>
      <w:r>
        <w:rPr>
          <w:rFonts w:ascii="仿宋" w:hAnsi="仿宋" w:eastAsia="仿宋" w:cs="仿宋"/>
          <w:bCs/>
          <w:kern w:val="2"/>
          <w:sz w:val="28"/>
          <w:szCs w:val="28"/>
        </w:rPr>
        <w:t>.</w:t>
      </w:r>
      <w:r>
        <w:rPr>
          <w:rFonts w:hint="default" w:ascii="仿宋" w:hAnsi="仿宋" w:eastAsia="仿宋" w:cs="仿宋"/>
          <w:bCs/>
          <w:kern w:val="2"/>
          <w:sz w:val="28"/>
          <w:szCs w:val="28"/>
        </w:rPr>
        <w:t>集团的类型及管控要点</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7</w:t>
      </w:r>
      <w:r>
        <w:rPr>
          <w:rFonts w:ascii="仿宋" w:hAnsi="仿宋" w:eastAsia="仿宋" w:cs="仿宋"/>
          <w:bCs/>
          <w:kern w:val="2"/>
          <w:sz w:val="28"/>
          <w:szCs w:val="28"/>
        </w:rPr>
        <w:t>.</w:t>
      </w:r>
      <w:r>
        <w:rPr>
          <w:rFonts w:hint="default" w:ascii="仿宋" w:hAnsi="仿宋" w:eastAsia="仿宋" w:cs="仿宋"/>
          <w:bCs/>
          <w:kern w:val="2"/>
          <w:sz w:val="28"/>
          <w:szCs w:val="28"/>
        </w:rPr>
        <w:t>国有企业发展不同阶段的集团管控要点</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8</w:t>
      </w:r>
      <w:r>
        <w:rPr>
          <w:rFonts w:ascii="仿宋" w:hAnsi="仿宋" w:eastAsia="仿宋" w:cs="仿宋"/>
          <w:bCs/>
          <w:kern w:val="2"/>
          <w:sz w:val="28"/>
          <w:szCs w:val="28"/>
        </w:rPr>
        <w:t>.</w:t>
      </w:r>
      <w:r>
        <w:rPr>
          <w:rFonts w:hint="default" w:ascii="仿宋" w:hAnsi="仿宋" w:eastAsia="仿宋" w:cs="仿宋"/>
          <w:bCs/>
          <w:kern w:val="2"/>
          <w:sz w:val="28"/>
          <w:szCs w:val="28"/>
        </w:rPr>
        <w:t>不同集团管控模式下总部的定位与功能</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9</w:t>
      </w:r>
      <w:r>
        <w:rPr>
          <w:rFonts w:ascii="仿宋" w:hAnsi="仿宋" w:eastAsia="仿宋" w:cs="仿宋"/>
          <w:bCs/>
          <w:kern w:val="2"/>
          <w:sz w:val="28"/>
          <w:szCs w:val="28"/>
        </w:rPr>
        <w:t>.</w:t>
      </w:r>
      <w:r>
        <w:rPr>
          <w:rFonts w:hint="default" w:ascii="仿宋" w:hAnsi="仿宋" w:eastAsia="仿宋" w:cs="仿宋"/>
          <w:bCs/>
          <w:kern w:val="2"/>
          <w:sz w:val="28"/>
          <w:szCs w:val="28"/>
        </w:rPr>
        <w:t>不同集团管控模式下总部的授权分权模式与要点</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10</w:t>
      </w:r>
      <w:r>
        <w:rPr>
          <w:rFonts w:ascii="仿宋" w:hAnsi="仿宋" w:eastAsia="仿宋" w:cs="仿宋"/>
          <w:bCs/>
          <w:kern w:val="2"/>
          <w:sz w:val="28"/>
          <w:szCs w:val="28"/>
        </w:rPr>
        <w:t>.</w:t>
      </w:r>
      <w:r>
        <w:rPr>
          <w:rFonts w:hint="default" w:ascii="仿宋" w:hAnsi="仿宋" w:eastAsia="仿宋" w:cs="仿宋"/>
          <w:bCs/>
          <w:kern w:val="2"/>
          <w:sz w:val="28"/>
          <w:szCs w:val="28"/>
        </w:rPr>
        <w:t>集团管控的治理结构设计</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11</w:t>
      </w:r>
      <w:r>
        <w:rPr>
          <w:rFonts w:ascii="仿宋" w:hAnsi="仿宋" w:eastAsia="仿宋" w:cs="仿宋"/>
          <w:bCs/>
          <w:kern w:val="2"/>
          <w:sz w:val="28"/>
          <w:szCs w:val="28"/>
        </w:rPr>
        <w:t>.</w:t>
      </w:r>
      <w:r>
        <w:rPr>
          <w:rFonts w:hint="default" w:ascii="仿宋" w:hAnsi="仿宋" w:eastAsia="仿宋" w:cs="仿宋"/>
          <w:bCs/>
          <w:kern w:val="2"/>
          <w:sz w:val="28"/>
          <w:szCs w:val="28"/>
        </w:rPr>
        <w:t>集团管控与国有企业授权分权机制改革</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12</w:t>
      </w:r>
      <w:r>
        <w:rPr>
          <w:rFonts w:ascii="仿宋" w:hAnsi="仿宋" w:eastAsia="仿宋" w:cs="仿宋"/>
          <w:bCs/>
          <w:kern w:val="2"/>
          <w:sz w:val="28"/>
          <w:szCs w:val="28"/>
        </w:rPr>
        <w:t>.</w:t>
      </w:r>
      <w:r>
        <w:rPr>
          <w:rFonts w:hint="default" w:ascii="仿宋" w:hAnsi="仿宋" w:eastAsia="仿宋" w:cs="仿宋"/>
          <w:bCs/>
          <w:kern w:val="2"/>
          <w:sz w:val="28"/>
          <w:szCs w:val="28"/>
        </w:rPr>
        <w:t>集团战略管控体系</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13</w:t>
      </w:r>
      <w:r>
        <w:rPr>
          <w:rFonts w:ascii="仿宋" w:hAnsi="仿宋" w:eastAsia="仿宋" w:cs="仿宋"/>
          <w:bCs/>
          <w:kern w:val="2"/>
          <w:sz w:val="28"/>
          <w:szCs w:val="28"/>
        </w:rPr>
        <w:t>.</w:t>
      </w:r>
      <w:r>
        <w:rPr>
          <w:rFonts w:hint="default" w:ascii="仿宋" w:hAnsi="仿宋" w:eastAsia="仿宋" w:cs="仿宋"/>
          <w:bCs/>
          <w:kern w:val="2"/>
          <w:sz w:val="28"/>
          <w:szCs w:val="28"/>
        </w:rPr>
        <w:t>集团人力资源管控体系</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14</w:t>
      </w:r>
      <w:r>
        <w:rPr>
          <w:rFonts w:ascii="仿宋" w:hAnsi="仿宋" w:eastAsia="仿宋" w:cs="仿宋"/>
          <w:bCs/>
          <w:kern w:val="2"/>
          <w:sz w:val="28"/>
          <w:szCs w:val="28"/>
        </w:rPr>
        <w:t>.</w:t>
      </w:r>
      <w:r>
        <w:rPr>
          <w:rFonts w:hint="default" w:ascii="仿宋" w:hAnsi="仿宋" w:eastAsia="仿宋" w:cs="仿宋"/>
          <w:bCs/>
          <w:kern w:val="2"/>
          <w:sz w:val="28"/>
          <w:szCs w:val="28"/>
        </w:rPr>
        <w:t>集团财务管控体系</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15</w:t>
      </w:r>
      <w:r>
        <w:rPr>
          <w:rFonts w:ascii="仿宋" w:hAnsi="仿宋" w:eastAsia="仿宋" w:cs="仿宋"/>
          <w:bCs/>
          <w:kern w:val="2"/>
          <w:sz w:val="28"/>
          <w:szCs w:val="28"/>
        </w:rPr>
        <w:t>.</w:t>
      </w:r>
      <w:r>
        <w:rPr>
          <w:rFonts w:hint="default" w:ascii="仿宋" w:hAnsi="仿宋" w:eastAsia="仿宋" w:cs="仿宋"/>
          <w:bCs/>
          <w:kern w:val="2"/>
          <w:sz w:val="28"/>
          <w:szCs w:val="28"/>
        </w:rPr>
        <w:t>业绩管控体系</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16</w:t>
      </w:r>
      <w:r>
        <w:rPr>
          <w:rFonts w:ascii="仿宋" w:hAnsi="仿宋" w:eastAsia="仿宋" w:cs="仿宋"/>
          <w:bCs/>
          <w:kern w:val="2"/>
          <w:sz w:val="28"/>
          <w:szCs w:val="28"/>
        </w:rPr>
        <w:t>.</w:t>
      </w:r>
      <w:r>
        <w:rPr>
          <w:rFonts w:hint="default" w:ascii="仿宋" w:hAnsi="仿宋" w:eastAsia="仿宋" w:cs="仿宋"/>
          <w:bCs/>
          <w:kern w:val="2"/>
          <w:sz w:val="28"/>
          <w:szCs w:val="28"/>
        </w:rPr>
        <w:t>风险管控体系</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17</w:t>
      </w:r>
      <w:r>
        <w:rPr>
          <w:rFonts w:ascii="仿宋" w:hAnsi="仿宋" w:eastAsia="仿宋" w:cs="仿宋"/>
          <w:bCs/>
          <w:kern w:val="2"/>
          <w:sz w:val="28"/>
          <w:szCs w:val="28"/>
        </w:rPr>
        <w:t>.</w:t>
      </w:r>
      <w:r>
        <w:rPr>
          <w:rFonts w:hint="default" w:ascii="仿宋" w:hAnsi="仿宋" w:eastAsia="仿宋" w:cs="仿宋"/>
          <w:bCs/>
          <w:kern w:val="2"/>
          <w:sz w:val="28"/>
          <w:szCs w:val="28"/>
        </w:rPr>
        <w:t>集团管控操作要点及难点</w:t>
      </w:r>
    </w:p>
    <w:p>
      <w:pPr>
        <w:autoSpaceDE/>
        <w:autoSpaceDN/>
        <w:adjustRightInd/>
        <w:spacing w:line="280" w:lineRule="exact"/>
        <w:ind w:firstLine="560" w:firstLineChars="200"/>
        <w:jc w:val="both"/>
        <w:rPr>
          <w:rFonts w:hint="default" w:ascii="黑体" w:hAnsi="黑体" w:eastAsia="黑体" w:cs="楷体"/>
          <w:bCs/>
          <w:kern w:val="2"/>
          <w:sz w:val="28"/>
          <w:szCs w:val="28"/>
        </w:rPr>
      </w:pPr>
      <w:r>
        <w:rPr>
          <w:rFonts w:ascii="黑体" w:hAnsi="黑体" w:eastAsia="黑体" w:cs="楷体"/>
          <w:bCs/>
          <w:kern w:val="2"/>
          <w:sz w:val="28"/>
          <w:szCs w:val="28"/>
        </w:rPr>
        <w:t>六、《关于改革国有企业工资决定机制的意见》解读</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1</w:t>
      </w:r>
      <w:r>
        <w:rPr>
          <w:rFonts w:ascii="仿宋" w:hAnsi="仿宋" w:eastAsia="仿宋" w:cs="仿宋"/>
          <w:bCs/>
          <w:kern w:val="2"/>
          <w:sz w:val="28"/>
          <w:szCs w:val="28"/>
        </w:rPr>
        <w:t>.</w:t>
      </w:r>
      <w:r>
        <w:rPr>
          <w:rFonts w:hint="default" w:ascii="仿宋" w:hAnsi="仿宋" w:eastAsia="仿宋" w:cs="仿宋"/>
          <w:bCs/>
          <w:kern w:val="2"/>
          <w:sz w:val="28"/>
          <w:szCs w:val="28"/>
        </w:rPr>
        <w:t>工资决定机制主要概念界定</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2</w:t>
      </w:r>
      <w:r>
        <w:rPr>
          <w:rFonts w:ascii="仿宋" w:hAnsi="仿宋" w:eastAsia="仿宋" w:cs="仿宋"/>
          <w:bCs/>
          <w:kern w:val="2"/>
          <w:sz w:val="28"/>
          <w:szCs w:val="28"/>
        </w:rPr>
        <w:t>.</w:t>
      </w:r>
      <w:r>
        <w:rPr>
          <w:rFonts w:hint="default" w:ascii="仿宋" w:hAnsi="仿宋" w:eastAsia="仿宋" w:cs="仿宋"/>
          <w:bCs/>
          <w:kern w:val="2"/>
          <w:sz w:val="28"/>
          <w:szCs w:val="28"/>
        </w:rPr>
        <w:t>国资系统如何整体规划打造国企与干部员工的命运共同体</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3</w:t>
      </w:r>
      <w:r>
        <w:rPr>
          <w:rFonts w:ascii="仿宋" w:hAnsi="仿宋" w:eastAsia="仿宋" w:cs="仿宋"/>
          <w:bCs/>
          <w:kern w:val="2"/>
          <w:sz w:val="28"/>
          <w:szCs w:val="28"/>
        </w:rPr>
        <w:t>.</w:t>
      </w:r>
      <w:r>
        <w:rPr>
          <w:rFonts w:hint="default" w:ascii="仿宋" w:hAnsi="仿宋" w:eastAsia="仿宋" w:cs="仿宋"/>
          <w:bCs/>
          <w:kern w:val="2"/>
          <w:sz w:val="28"/>
          <w:szCs w:val="28"/>
        </w:rPr>
        <w:t>国资委如何推动区域国企工资总额调整机制的建立</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4</w:t>
      </w:r>
      <w:r>
        <w:rPr>
          <w:rFonts w:ascii="仿宋" w:hAnsi="仿宋" w:eastAsia="仿宋" w:cs="仿宋"/>
          <w:bCs/>
          <w:kern w:val="2"/>
          <w:sz w:val="28"/>
          <w:szCs w:val="28"/>
        </w:rPr>
        <w:t>.</w:t>
      </w:r>
      <w:r>
        <w:rPr>
          <w:rFonts w:hint="default" w:ascii="仿宋" w:hAnsi="仿宋" w:eastAsia="仿宋" w:cs="仿宋"/>
          <w:bCs/>
          <w:kern w:val="2"/>
          <w:sz w:val="28"/>
          <w:szCs w:val="28"/>
        </w:rPr>
        <w:t>企业分类确定工资效益联动指标</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5</w:t>
      </w:r>
      <w:r>
        <w:rPr>
          <w:rFonts w:ascii="仿宋" w:hAnsi="仿宋" w:eastAsia="仿宋" w:cs="仿宋"/>
          <w:bCs/>
          <w:kern w:val="2"/>
          <w:sz w:val="28"/>
          <w:szCs w:val="28"/>
        </w:rPr>
        <w:t>.</w:t>
      </w:r>
      <w:r>
        <w:rPr>
          <w:rFonts w:hint="default" w:ascii="仿宋" w:hAnsi="仿宋" w:eastAsia="仿宋" w:cs="仿宋"/>
          <w:bCs/>
          <w:kern w:val="2"/>
          <w:sz w:val="28"/>
          <w:szCs w:val="28"/>
        </w:rPr>
        <w:t>国企如何利用一企一策改革个性化确定工资总额形成公式</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6</w:t>
      </w:r>
      <w:r>
        <w:rPr>
          <w:rFonts w:ascii="仿宋" w:hAnsi="仿宋" w:eastAsia="仿宋" w:cs="仿宋"/>
          <w:bCs/>
          <w:kern w:val="2"/>
          <w:sz w:val="28"/>
          <w:szCs w:val="28"/>
        </w:rPr>
        <w:t>.</w:t>
      </w:r>
      <w:r>
        <w:rPr>
          <w:rFonts w:hint="default" w:ascii="仿宋" w:hAnsi="仿宋" w:eastAsia="仿宋" w:cs="仿宋"/>
          <w:bCs/>
          <w:kern w:val="2"/>
          <w:sz w:val="28"/>
          <w:szCs w:val="28"/>
        </w:rPr>
        <w:t>基于工资总额机制的内部差异化薪酬</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7</w:t>
      </w:r>
      <w:r>
        <w:rPr>
          <w:rFonts w:ascii="仿宋" w:hAnsi="仿宋" w:eastAsia="仿宋" w:cs="仿宋"/>
          <w:bCs/>
          <w:kern w:val="2"/>
          <w:sz w:val="28"/>
          <w:szCs w:val="28"/>
        </w:rPr>
        <w:t>.</w:t>
      </w:r>
      <w:r>
        <w:rPr>
          <w:rFonts w:hint="default" w:ascii="仿宋" w:hAnsi="仿宋" w:eastAsia="仿宋" w:cs="仿宋"/>
          <w:bCs/>
          <w:kern w:val="2"/>
          <w:sz w:val="28"/>
          <w:szCs w:val="28"/>
        </w:rPr>
        <w:t>工资分配监管体制</w:t>
      </w:r>
    </w:p>
    <w:p>
      <w:pPr>
        <w:autoSpaceDE/>
        <w:autoSpaceDN/>
        <w:adjustRightInd/>
        <w:spacing w:line="280" w:lineRule="exact"/>
        <w:ind w:firstLine="560" w:firstLineChars="200"/>
        <w:jc w:val="both"/>
        <w:rPr>
          <w:rFonts w:hint="default" w:ascii="黑体" w:hAnsi="黑体" w:eastAsia="黑体" w:cs="楷体"/>
          <w:bCs/>
          <w:kern w:val="2"/>
          <w:sz w:val="28"/>
          <w:szCs w:val="28"/>
        </w:rPr>
      </w:pPr>
      <w:r>
        <w:rPr>
          <w:rFonts w:ascii="黑体" w:hAnsi="黑体" w:eastAsia="黑体" w:cs="楷体"/>
          <w:bCs/>
          <w:kern w:val="2"/>
          <w:sz w:val="28"/>
          <w:szCs w:val="28"/>
        </w:rPr>
        <w:t>七、</w:t>
      </w:r>
      <w:r>
        <w:rPr>
          <w:rFonts w:hint="default" w:ascii="黑体" w:hAnsi="黑体" w:eastAsia="黑体" w:cs="楷体"/>
          <w:bCs/>
          <w:kern w:val="2"/>
          <w:sz w:val="28"/>
          <w:szCs w:val="28"/>
        </w:rPr>
        <w:t>国有企业人才管理机制及薪酬绩效管理体系改革</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1</w:t>
      </w:r>
      <w:r>
        <w:rPr>
          <w:rFonts w:ascii="仿宋" w:hAnsi="仿宋" w:eastAsia="仿宋" w:cs="仿宋"/>
          <w:bCs/>
          <w:kern w:val="2"/>
          <w:sz w:val="28"/>
          <w:szCs w:val="28"/>
        </w:rPr>
        <w:t>.</w:t>
      </w:r>
      <w:r>
        <w:rPr>
          <w:rFonts w:hint="default" w:ascii="仿宋" w:hAnsi="仿宋" w:eastAsia="仿宋" w:cs="仿宋"/>
          <w:bCs/>
          <w:kern w:val="2"/>
          <w:sz w:val="28"/>
          <w:szCs w:val="28"/>
        </w:rPr>
        <w:t>薪酬体系改革的政策解读</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2</w:t>
      </w:r>
      <w:r>
        <w:rPr>
          <w:rFonts w:ascii="仿宋" w:hAnsi="仿宋" w:eastAsia="仿宋" w:cs="仿宋"/>
          <w:bCs/>
          <w:kern w:val="2"/>
          <w:sz w:val="28"/>
          <w:szCs w:val="28"/>
        </w:rPr>
        <w:t>.</w:t>
      </w:r>
      <w:r>
        <w:rPr>
          <w:rFonts w:hint="default" w:ascii="仿宋" w:hAnsi="仿宋" w:eastAsia="仿宋" w:cs="仿宋"/>
          <w:bCs/>
          <w:kern w:val="2"/>
          <w:sz w:val="28"/>
          <w:szCs w:val="28"/>
        </w:rPr>
        <w:t>人才流动机制的建立与完善</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3</w:t>
      </w:r>
      <w:r>
        <w:rPr>
          <w:rFonts w:ascii="仿宋" w:hAnsi="仿宋" w:eastAsia="仿宋" w:cs="仿宋"/>
          <w:bCs/>
          <w:kern w:val="2"/>
          <w:sz w:val="28"/>
          <w:szCs w:val="28"/>
        </w:rPr>
        <w:t>.</w:t>
      </w:r>
      <w:r>
        <w:rPr>
          <w:rFonts w:hint="default" w:ascii="仿宋" w:hAnsi="仿宋" w:eastAsia="仿宋" w:cs="仿宋"/>
          <w:bCs/>
          <w:kern w:val="2"/>
          <w:sz w:val="28"/>
          <w:szCs w:val="28"/>
        </w:rPr>
        <w:t>绩效管理的操作步骤、指标设计及管理模式</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4</w:t>
      </w:r>
      <w:r>
        <w:rPr>
          <w:rFonts w:ascii="仿宋" w:hAnsi="仿宋" w:eastAsia="仿宋" w:cs="仿宋"/>
          <w:bCs/>
          <w:kern w:val="2"/>
          <w:sz w:val="28"/>
          <w:szCs w:val="28"/>
        </w:rPr>
        <w:t>.</w:t>
      </w:r>
      <w:r>
        <w:rPr>
          <w:rFonts w:hint="default" w:ascii="仿宋" w:hAnsi="仿宋" w:eastAsia="仿宋" w:cs="仿宋"/>
          <w:bCs/>
          <w:kern w:val="2"/>
          <w:sz w:val="28"/>
          <w:szCs w:val="28"/>
        </w:rPr>
        <w:t>国有企业改革中建立以绩效为导向和市场接轨的薪酬体系</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5</w:t>
      </w:r>
      <w:r>
        <w:rPr>
          <w:rFonts w:ascii="仿宋" w:hAnsi="仿宋" w:eastAsia="仿宋" w:cs="仿宋"/>
          <w:bCs/>
          <w:kern w:val="2"/>
          <w:sz w:val="28"/>
          <w:szCs w:val="28"/>
        </w:rPr>
        <w:t>.</w:t>
      </w:r>
      <w:r>
        <w:rPr>
          <w:rFonts w:hint="default" w:ascii="仿宋" w:hAnsi="仿宋" w:eastAsia="仿宋" w:cs="仿宋"/>
          <w:bCs/>
          <w:kern w:val="2"/>
          <w:sz w:val="28"/>
          <w:szCs w:val="28"/>
        </w:rPr>
        <w:t>绩效考核的难点及解决思路</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6</w:t>
      </w:r>
      <w:r>
        <w:rPr>
          <w:rFonts w:ascii="仿宋" w:hAnsi="仿宋" w:eastAsia="仿宋" w:cs="仿宋"/>
          <w:bCs/>
          <w:kern w:val="2"/>
          <w:sz w:val="28"/>
          <w:szCs w:val="28"/>
        </w:rPr>
        <w:t>.</w:t>
      </w:r>
      <w:r>
        <w:rPr>
          <w:rFonts w:hint="default" w:ascii="仿宋" w:hAnsi="仿宋" w:eastAsia="仿宋" w:cs="仿宋"/>
          <w:bCs/>
          <w:kern w:val="2"/>
          <w:sz w:val="28"/>
          <w:szCs w:val="28"/>
        </w:rPr>
        <w:t>国企三项制度改革的重点、难点问题解析</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7</w:t>
      </w:r>
      <w:r>
        <w:rPr>
          <w:rFonts w:ascii="仿宋" w:hAnsi="仿宋" w:eastAsia="仿宋" w:cs="仿宋"/>
          <w:bCs/>
          <w:kern w:val="2"/>
          <w:sz w:val="28"/>
          <w:szCs w:val="28"/>
        </w:rPr>
        <w:t>.</w:t>
      </w:r>
      <w:r>
        <w:rPr>
          <w:rFonts w:hint="default" w:ascii="仿宋" w:hAnsi="仿宋" w:eastAsia="仿宋" w:cs="仿宋"/>
          <w:bCs/>
          <w:kern w:val="2"/>
          <w:sz w:val="28"/>
          <w:szCs w:val="28"/>
        </w:rPr>
        <w:t xml:space="preserve"> 三项制度改革的推进策略、实施路径及典型成功案例解析</w:t>
      </w:r>
    </w:p>
    <w:p>
      <w:pPr>
        <w:autoSpaceDE/>
        <w:autoSpaceDN/>
        <w:adjustRightInd/>
        <w:spacing w:line="280" w:lineRule="exact"/>
        <w:ind w:firstLine="560" w:firstLineChars="200"/>
        <w:jc w:val="both"/>
        <w:rPr>
          <w:rFonts w:hint="default" w:ascii="黑体" w:hAnsi="黑体" w:eastAsia="黑体" w:cs="楷体"/>
          <w:bCs/>
          <w:kern w:val="2"/>
          <w:sz w:val="28"/>
          <w:szCs w:val="28"/>
        </w:rPr>
      </w:pPr>
      <w:r>
        <w:rPr>
          <w:rFonts w:hint="default" w:ascii="黑体" w:hAnsi="黑体" w:eastAsia="黑体" w:cs="楷体"/>
          <w:bCs/>
          <w:kern w:val="2"/>
          <w:sz w:val="28"/>
          <w:szCs w:val="28"/>
        </w:rPr>
        <w:t>八</w:t>
      </w:r>
      <w:r>
        <w:rPr>
          <w:rFonts w:ascii="黑体" w:hAnsi="黑体" w:eastAsia="黑体" w:cs="楷体"/>
          <w:bCs/>
          <w:kern w:val="2"/>
          <w:sz w:val="28"/>
          <w:szCs w:val="28"/>
        </w:rPr>
        <w:t>、</w:t>
      </w:r>
      <w:r>
        <w:rPr>
          <w:rFonts w:hint="default" w:ascii="黑体" w:hAnsi="黑体" w:eastAsia="黑体" w:cs="楷体"/>
          <w:bCs/>
          <w:kern w:val="2"/>
          <w:sz w:val="28"/>
          <w:szCs w:val="28"/>
        </w:rPr>
        <w:t>国企薪酬改革、员工持股与长期激励机制设计</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1</w:t>
      </w:r>
      <w:r>
        <w:rPr>
          <w:rFonts w:ascii="仿宋" w:hAnsi="仿宋" w:eastAsia="仿宋" w:cs="仿宋"/>
          <w:bCs/>
          <w:kern w:val="2"/>
          <w:sz w:val="28"/>
          <w:szCs w:val="28"/>
        </w:rPr>
        <w:t>.</w:t>
      </w:r>
      <w:r>
        <w:rPr>
          <w:rFonts w:hint="default" w:ascii="仿宋" w:hAnsi="仿宋" w:eastAsia="仿宋" w:cs="仿宋"/>
          <w:bCs/>
          <w:kern w:val="2"/>
          <w:sz w:val="28"/>
          <w:szCs w:val="28"/>
        </w:rPr>
        <w:t>薪酬体系构成与设计原则</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2</w:t>
      </w:r>
      <w:r>
        <w:rPr>
          <w:rFonts w:ascii="仿宋" w:hAnsi="仿宋" w:eastAsia="仿宋" w:cs="仿宋"/>
          <w:bCs/>
          <w:kern w:val="2"/>
          <w:sz w:val="28"/>
          <w:szCs w:val="28"/>
        </w:rPr>
        <w:t>.</w:t>
      </w:r>
      <w:r>
        <w:rPr>
          <w:rFonts w:hint="default" w:ascii="仿宋" w:hAnsi="仿宋" w:eastAsia="仿宋" w:cs="仿宋"/>
          <w:bCs/>
          <w:kern w:val="2"/>
          <w:sz w:val="28"/>
          <w:szCs w:val="28"/>
        </w:rPr>
        <w:t>国企薪酬诊断分析与案例</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3</w:t>
      </w:r>
      <w:r>
        <w:rPr>
          <w:rFonts w:ascii="仿宋" w:hAnsi="仿宋" w:eastAsia="仿宋" w:cs="仿宋"/>
          <w:bCs/>
          <w:kern w:val="2"/>
          <w:sz w:val="28"/>
          <w:szCs w:val="28"/>
        </w:rPr>
        <w:t>.</w:t>
      </w:r>
      <w:r>
        <w:rPr>
          <w:rFonts w:hint="default" w:ascii="仿宋" w:hAnsi="仿宋" w:eastAsia="仿宋" w:cs="仿宋"/>
          <w:bCs/>
          <w:kern w:val="2"/>
          <w:sz w:val="28"/>
          <w:szCs w:val="28"/>
        </w:rPr>
        <w:t>薪酬设计“6+1”</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4</w:t>
      </w:r>
      <w:r>
        <w:rPr>
          <w:rFonts w:ascii="仿宋" w:hAnsi="仿宋" w:eastAsia="仿宋" w:cs="仿宋"/>
          <w:bCs/>
          <w:kern w:val="2"/>
          <w:sz w:val="28"/>
          <w:szCs w:val="28"/>
        </w:rPr>
        <w:t>.</w:t>
      </w:r>
      <w:r>
        <w:rPr>
          <w:rFonts w:hint="default" w:ascii="仿宋" w:hAnsi="仿宋" w:eastAsia="仿宋" w:cs="仿宋"/>
          <w:bCs/>
          <w:kern w:val="2"/>
          <w:sz w:val="28"/>
          <w:szCs w:val="28"/>
        </w:rPr>
        <w:t>国企不同级别员工的薪酬构成</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5</w:t>
      </w:r>
      <w:r>
        <w:rPr>
          <w:rFonts w:ascii="仿宋" w:hAnsi="仿宋" w:eastAsia="仿宋" w:cs="仿宋"/>
          <w:bCs/>
          <w:kern w:val="2"/>
          <w:sz w:val="28"/>
          <w:szCs w:val="28"/>
        </w:rPr>
        <w:t>.</w:t>
      </w:r>
      <w:r>
        <w:rPr>
          <w:rFonts w:hint="default" w:ascii="仿宋" w:hAnsi="仿宋" w:eastAsia="仿宋" w:cs="仿宋"/>
          <w:bCs/>
          <w:kern w:val="2"/>
          <w:sz w:val="28"/>
          <w:szCs w:val="28"/>
        </w:rPr>
        <w:t>股权顶层设计--股权治理机制</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6</w:t>
      </w:r>
      <w:r>
        <w:rPr>
          <w:rFonts w:ascii="仿宋" w:hAnsi="仿宋" w:eastAsia="仿宋" w:cs="仿宋"/>
          <w:bCs/>
          <w:kern w:val="2"/>
          <w:sz w:val="28"/>
          <w:szCs w:val="28"/>
        </w:rPr>
        <w:t>.</w:t>
      </w:r>
      <w:r>
        <w:rPr>
          <w:rFonts w:hint="default" w:ascii="仿宋" w:hAnsi="仿宋" w:eastAsia="仿宋" w:cs="仿宋"/>
          <w:bCs/>
          <w:kern w:val="2"/>
          <w:sz w:val="28"/>
          <w:szCs w:val="28"/>
        </w:rPr>
        <w:t>与薪酬体系匹配的激励方式</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7</w:t>
      </w:r>
      <w:r>
        <w:rPr>
          <w:rFonts w:ascii="仿宋" w:hAnsi="仿宋" w:eastAsia="仿宋" w:cs="仿宋"/>
          <w:bCs/>
          <w:kern w:val="2"/>
          <w:sz w:val="28"/>
          <w:szCs w:val="28"/>
        </w:rPr>
        <w:t>.</w:t>
      </w:r>
      <w:r>
        <w:rPr>
          <w:rFonts w:hint="default" w:ascii="仿宋" w:hAnsi="仿宋" w:eastAsia="仿宋" w:cs="仿宋"/>
          <w:bCs/>
          <w:kern w:val="2"/>
          <w:sz w:val="28"/>
          <w:szCs w:val="28"/>
        </w:rPr>
        <w:t>股权激励机制的现状与设计模式</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8</w:t>
      </w:r>
      <w:r>
        <w:rPr>
          <w:rFonts w:ascii="仿宋" w:hAnsi="仿宋" w:eastAsia="仿宋" w:cs="仿宋"/>
          <w:bCs/>
          <w:kern w:val="2"/>
          <w:sz w:val="28"/>
          <w:szCs w:val="28"/>
        </w:rPr>
        <w:t>.</w:t>
      </w:r>
      <w:r>
        <w:rPr>
          <w:rFonts w:hint="default" w:ascii="仿宋" w:hAnsi="仿宋" w:eastAsia="仿宋" w:cs="仿宋"/>
          <w:bCs/>
          <w:kern w:val="2"/>
          <w:sz w:val="28"/>
          <w:szCs w:val="28"/>
        </w:rPr>
        <w:t>国企长期激励实施的要点</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9</w:t>
      </w:r>
      <w:r>
        <w:rPr>
          <w:rFonts w:ascii="仿宋" w:hAnsi="仿宋" w:eastAsia="仿宋" w:cs="仿宋"/>
          <w:bCs/>
          <w:kern w:val="2"/>
          <w:sz w:val="28"/>
          <w:szCs w:val="28"/>
        </w:rPr>
        <w:t>.</w:t>
      </w:r>
      <w:r>
        <w:rPr>
          <w:rFonts w:hint="default" w:ascii="仿宋" w:hAnsi="仿宋" w:eastAsia="仿宋" w:cs="仿宋"/>
          <w:bCs/>
          <w:kern w:val="2"/>
          <w:sz w:val="28"/>
          <w:szCs w:val="28"/>
        </w:rPr>
        <w:t>股权激励机制主要操作障碍</w:t>
      </w:r>
    </w:p>
    <w:p>
      <w:pPr>
        <w:autoSpaceDE/>
        <w:autoSpaceDN/>
        <w:adjustRightInd/>
        <w:spacing w:line="280" w:lineRule="exact"/>
        <w:ind w:firstLine="560" w:firstLineChars="200"/>
        <w:jc w:val="both"/>
        <w:rPr>
          <w:rFonts w:hint="default" w:ascii="黑体" w:hAnsi="黑体" w:eastAsia="黑体" w:cs="楷体"/>
          <w:bCs/>
          <w:kern w:val="2"/>
          <w:sz w:val="28"/>
          <w:szCs w:val="28"/>
        </w:rPr>
      </w:pPr>
      <w:r>
        <w:rPr>
          <w:rFonts w:hint="default" w:ascii="黑体" w:hAnsi="黑体" w:eastAsia="黑体" w:cs="楷体"/>
          <w:bCs/>
          <w:kern w:val="2"/>
          <w:sz w:val="28"/>
          <w:szCs w:val="28"/>
        </w:rPr>
        <w:t>九</w:t>
      </w:r>
      <w:r>
        <w:rPr>
          <w:rFonts w:ascii="黑体" w:hAnsi="黑体" w:eastAsia="黑体" w:cs="楷体"/>
          <w:bCs/>
          <w:kern w:val="2"/>
          <w:sz w:val="28"/>
          <w:szCs w:val="28"/>
        </w:rPr>
        <w:t>、</w:t>
      </w:r>
      <w:r>
        <w:rPr>
          <w:rFonts w:hint="default" w:ascii="黑体" w:hAnsi="黑体" w:eastAsia="黑体" w:cs="楷体"/>
          <w:bCs/>
          <w:kern w:val="2"/>
          <w:sz w:val="28"/>
          <w:szCs w:val="28"/>
        </w:rPr>
        <w:t>国有企业绩效考核方案设计与操作及案例分享</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1.国有企业</w:t>
      </w:r>
      <w:r>
        <w:rPr>
          <w:rFonts w:hint="default" w:ascii="仿宋" w:hAnsi="仿宋" w:eastAsia="仿宋" w:cs="仿宋"/>
          <w:bCs/>
          <w:kern w:val="2"/>
          <w:sz w:val="28"/>
          <w:szCs w:val="28"/>
        </w:rPr>
        <w:t>考核类型</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2.</w:t>
      </w:r>
      <w:r>
        <w:rPr>
          <w:rFonts w:hint="default" w:ascii="仿宋" w:hAnsi="仿宋" w:eastAsia="仿宋" w:cs="仿宋"/>
          <w:bCs/>
          <w:kern w:val="2"/>
          <w:sz w:val="28"/>
          <w:szCs w:val="28"/>
        </w:rPr>
        <w:t>绩效考核的目的</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3.</w:t>
      </w:r>
      <w:r>
        <w:rPr>
          <w:rFonts w:hint="default" w:ascii="仿宋" w:hAnsi="仿宋" w:eastAsia="仿宋" w:cs="仿宋"/>
          <w:bCs/>
          <w:kern w:val="2"/>
          <w:sz w:val="28"/>
          <w:szCs w:val="28"/>
        </w:rPr>
        <w:t>绩效考核的对象</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（1）对团体人员</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（2）对在岗人员</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4.绩效考核的关系</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5.考核及兑现方式</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（1）</w:t>
      </w:r>
      <w:r>
        <w:rPr>
          <w:rFonts w:hint="default" w:ascii="仿宋" w:hAnsi="仿宋" w:eastAsia="仿宋" w:cs="仿宋"/>
          <w:bCs/>
          <w:kern w:val="2"/>
          <w:sz w:val="28"/>
          <w:szCs w:val="28"/>
        </w:rPr>
        <w:t>股东会或出资人对董事会（或企业的管理部门）</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（2）</w:t>
      </w:r>
      <w:r>
        <w:rPr>
          <w:rFonts w:hint="default" w:ascii="仿宋" w:hAnsi="仿宋" w:eastAsia="仿宋" w:cs="仿宋"/>
          <w:bCs/>
          <w:kern w:val="2"/>
          <w:sz w:val="28"/>
          <w:szCs w:val="28"/>
        </w:rPr>
        <w:t>董事会对经营层</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（3）</w:t>
      </w:r>
      <w:r>
        <w:rPr>
          <w:rFonts w:hint="default" w:ascii="仿宋" w:hAnsi="仿宋" w:eastAsia="仿宋" w:cs="仿宋"/>
          <w:bCs/>
          <w:kern w:val="2"/>
          <w:sz w:val="28"/>
          <w:szCs w:val="28"/>
        </w:rPr>
        <w:t>经营层（经授权）对中层经营管理、技术开发层</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（4）</w:t>
      </w:r>
      <w:r>
        <w:rPr>
          <w:rFonts w:hint="default" w:ascii="仿宋" w:hAnsi="仿宋" w:eastAsia="仿宋" w:cs="仿宋"/>
          <w:bCs/>
          <w:kern w:val="2"/>
          <w:sz w:val="28"/>
          <w:szCs w:val="28"/>
        </w:rPr>
        <w:t>经营管理（被授权）对操作层</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6.</w:t>
      </w:r>
      <w:r>
        <w:rPr>
          <w:rFonts w:hint="default" w:ascii="仿宋" w:hAnsi="仿宋" w:eastAsia="仿宋" w:cs="仿宋"/>
          <w:bCs/>
          <w:kern w:val="2"/>
          <w:sz w:val="28"/>
          <w:szCs w:val="28"/>
        </w:rPr>
        <w:t>绩效考核指标的选择</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（1）</w:t>
      </w:r>
      <w:r>
        <w:rPr>
          <w:rFonts w:hint="default" w:ascii="仿宋" w:hAnsi="仿宋" w:eastAsia="仿宋" w:cs="仿宋"/>
          <w:bCs/>
          <w:kern w:val="2"/>
          <w:sz w:val="28"/>
          <w:szCs w:val="28"/>
        </w:rPr>
        <w:t>对经营管理层</w:t>
      </w:r>
      <w:r>
        <w:rPr>
          <w:rFonts w:ascii="仿宋" w:hAnsi="仿宋" w:eastAsia="仿宋" w:cs="仿宋"/>
          <w:bCs/>
          <w:kern w:val="2"/>
          <w:sz w:val="28"/>
          <w:szCs w:val="28"/>
        </w:rPr>
        <w:t>绩效考核指标</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（2）</w:t>
      </w:r>
      <w:r>
        <w:rPr>
          <w:rFonts w:hint="default" w:ascii="仿宋" w:hAnsi="仿宋" w:eastAsia="仿宋" w:cs="仿宋"/>
          <w:bCs/>
          <w:kern w:val="2"/>
          <w:sz w:val="28"/>
          <w:szCs w:val="28"/>
        </w:rPr>
        <w:t>经营管理层对一般经营管理及技术开发人员</w:t>
      </w:r>
      <w:r>
        <w:rPr>
          <w:rFonts w:ascii="仿宋" w:hAnsi="仿宋" w:eastAsia="仿宋" w:cs="仿宋"/>
          <w:bCs/>
          <w:kern w:val="2"/>
          <w:sz w:val="28"/>
          <w:szCs w:val="28"/>
        </w:rPr>
        <w:t>考核指标</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（3）</w:t>
      </w:r>
      <w:r>
        <w:rPr>
          <w:rFonts w:hint="default" w:ascii="仿宋" w:hAnsi="仿宋" w:eastAsia="仿宋" w:cs="仿宋"/>
          <w:bCs/>
          <w:kern w:val="2"/>
          <w:sz w:val="28"/>
          <w:szCs w:val="28"/>
        </w:rPr>
        <w:t>经营管理对一般操作层</w:t>
      </w:r>
      <w:r>
        <w:rPr>
          <w:rFonts w:ascii="仿宋" w:hAnsi="仿宋" w:eastAsia="仿宋" w:cs="仿宋"/>
          <w:bCs/>
          <w:kern w:val="2"/>
          <w:sz w:val="28"/>
          <w:szCs w:val="28"/>
        </w:rPr>
        <w:t>考核指标</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7.经营管理（含技术人员）人员劳动量化考核标准的设计</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8.经营管理（技术）岗位工作定性考核办法的设计</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9</w:t>
      </w:r>
      <w:r>
        <w:rPr>
          <w:rFonts w:ascii="仿宋" w:hAnsi="仿宋" w:eastAsia="仿宋" w:cs="仿宋"/>
          <w:bCs/>
          <w:kern w:val="2"/>
          <w:sz w:val="28"/>
          <w:szCs w:val="28"/>
        </w:rPr>
        <w:t>.</w:t>
      </w:r>
      <w:r>
        <w:rPr>
          <w:rFonts w:hint="default" w:ascii="仿宋" w:hAnsi="仿宋" w:eastAsia="仿宋" w:cs="仿宋"/>
          <w:bCs/>
          <w:kern w:val="2"/>
          <w:sz w:val="28"/>
          <w:szCs w:val="28"/>
        </w:rPr>
        <w:t>国企绩效考核应当注意的几个问题</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10</w:t>
      </w:r>
      <w:r>
        <w:rPr>
          <w:rFonts w:ascii="仿宋" w:hAnsi="仿宋" w:eastAsia="仿宋" w:cs="仿宋"/>
          <w:bCs/>
          <w:kern w:val="2"/>
          <w:sz w:val="28"/>
          <w:szCs w:val="28"/>
        </w:rPr>
        <w:t>.</w:t>
      </w:r>
      <w:r>
        <w:rPr>
          <w:rFonts w:hint="default" w:ascii="仿宋" w:hAnsi="仿宋" w:eastAsia="仿宋" w:cs="仿宋"/>
          <w:bCs/>
          <w:kern w:val="2"/>
          <w:sz w:val="28"/>
          <w:szCs w:val="28"/>
        </w:rPr>
        <w:t>考核实战技巧及方案分析</w:t>
      </w:r>
    </w:p>
    <w:p>
      <w:pPr>
        <w:autoSpaceDE/>
        <w:autoSpaceDN/>
        <w:adjustRightInd/>
        <w:spacing w:line="280" w:lineRule="exact"/>
        <w:ind w:firstLine="548" w:firstLineChars="196"/>
        <w:jc w:val="both"/>
        <w:rPr>
          <w:rFonts w:hint="default" w:ascii="黑体" w:hAnsi="黑体" w:eastAsia="黑体" w:cs="楷体"/>
          <w:bCs/>
          <w:kern w:val="2"/>
          <w:sz w:val="28"/>
          <w:szCs w:val="28"/>
        </w:rPr>
      </w:pPr>
      <w:r>
        <w:rPr>
          <w:rFonts w:hint="default" w:ascii="黑体" w:hAnsi="黑体" w:eastAsia="黑体" w:cs="楷体"/>
          <w:bCs/>
          <w:kern w:val="2"/>
          <w:sz w:val="28"/>
          <w:szCs w:val="28"/>
        </w:rPr>
        <w:t>十</w:t>
      </w:r>
      <w:r>
        <w:rPr>
          <w:rFonts w:ascii="黑体" w:hAnsi="黑体" w:eastAsia="黑体" w:cs="楷体"/>
          <w:bCs/>
          <w:kern w:val="2"/>
          <w:sz w:val="28"/>
          <w:szCs w:val="28"/>
        </w:rPr>
        <w:t>、</w:t>
      </w:r>
      <w:r>
        <w:rPr>
          <w:rFonts w:hint="default" w:ascii="黑体" w:hAnsi="黑体" w:eastAsia="黑体" w:cs="楷体"/>
          <w:bCs/>
          <w:kern w:val="2"/>
          <w:sz w:val="28"/>
          <w:szCs w:val="28"/>
        </w:rPr>
        <w:t>国企混改中员工持股、股权和分红激励的操作要点及实战技术</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1.国企职工持股的经验教训总结</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 xml:space="preserve">2.不同类型国企推行骨干职工持股的操作模式及可借鉴的典型案例 </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 xml:space="preserve">3.职工持股的可选载体及其适用性、利弊分析 </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 xml:space="preserve">4.国企混改中预留股权的操作方法与技巧 </w:t>
      </w:r>
    </w:p>
    <w:p>
      <w:pPr>
        <w:autoSpaceDE/>
        <w:autoSpaceDN/>
        <w:adjustRightInd/>
        <w:spacing w:line="280" w:lineRule="exact"/>
        <w:ind w:left="837" w:leftChars="232" w:hanging="280" w:hangingChars="100"/>
        <w:jc w:val="both"/>
        <w:rPr>
          <w:rFonts w:hint="default" w:ascii="仿宋" w:hAnsi="仿宋" w:eastAsia="仿宋" w:cs="仿宋"/>
          <w:bCs/>
          <w:kern w:val="2"/>
          <w:sz w:val="28"/>
          <w:szCs w:val="28"/>
        </w:rPr>
      </w:pPr>
      <w:r>
        <w:rPr>
          <w:rFonts w:ascii="仿宋" w:hAnsi="仿宋" w:eastAsia="仿宋" w:cs="仿宋"/>
          <w:bCs/>
          <w:kern w:val="2"/>
          <w:sz w:val="28"/>
          <w:szCs w:val="28"/>
        </w:rPr>
        <w:t xml:space="preserve">5.目前尚不符合职工持股试点意见所要求条件的国企，如何创新设计改革方式和操作路径，依法依规分步推进混改和职工持股工作  </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6.</w:t>
      </w:r>
      <w:r>
        <w:rPr>
          <w:rFonts w:hint="default" w:ascii="仿宋" w:hAnsi="仿宋" w:eastAsia="仿宋" w:cs="仿宋"/>
          <w:bCs/>
          <w:kern w:val="2"/>
          <w:sz w:val="28"/>
          <w:szCs w:val="28"/>
        </w:rPr>
        <w:t xml:space="preserve">股权和分红激励的政策解读 </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 xml:space="preserve">7.股权和分红激励的适用范围、操作模式及可借鉴的典型案例 </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8.职工持股方案、股权和分红激励方案设计及实施疑难问题处</w:t>
      </w:r>
      <w:r>
        <w:rPr>
          <w:rFonts w:hint="default" w:ascii="仿宋" w:hAnsi="仿宋" w:eastAsia="仿宋" w:cs="仿宋"/>
          <w:bCs/>
          <w:kern w:val="2"/>
          <w:sz w:val="28"/>
          <w:szCs w:val="28"/>
        </w:rPr>
        <w:t xml:space="preserve">理 </w:t>
      </w:r>
    </w:p>
    <w:p>
      <w:pPr>
        <w:autoSpaceDE/>
        <w:autoSpaceDN/>
        <w:adjustRightInd/>
        <w:spacing w:line="280" w:lineRule="exact"/>
        <w:ind w:firstLine="560" w:firstLineChars="200"/>
        <w:jc w:val="both"/>
        <w:rPr>
          <w:rFonts w:hint="default" w:ascii="黑体" w:hAnsi="黑体" w:eastAsia="黑体" w:cs="楷体"/>
          <w:bCs/>
          <w:kern w:val="2"/>
          <w:sz w:val="28"/>
          <w:szCs w:val="28"/>
        </w:rPr>
      </w:pPr>
      <w:r>
        <w:rPr>
          <w:rFonts w:hint="default" w:ascii="黑体" w:hAnsi="黑体" w:eastAsia="黑体" w:cs="楷体"/>
          <w:bCs/>
          <w:kern w:val="2"/>
          <w:sz w:val="28"/>
          <w:szCs w:val="28"/>
        </w:rPr>
        <w:t>十一</w:t>
      </w:r>
      <w:r>
        <w:rPr>
          <w:rFonts w:ascii="黑体" w:hAnsi="黑体" w:eastAsia="黑体" w:cs="楷体"/>
          <w:bCs/>
          <w:kern w:val="2"/>
          <w:sz w:val="28"/>
          <w:szCs w:val="28"/>
        </w:rPr>
        <w:t>、</w:t>
      </w:r>
      <w:r>
        <w:rPr>
          <w:rFonts w:hint="default" w:ascii="黑体" w:hAnsi="黑体" w:eastAsia="黑体" w:cs="楷体"/>
          <w:bCs/>
          <w:kern w:val="2"/>
          <w:sz w:val="28"/>
          <w:szCs w:val="28"/>
        </w:rPr>
        <w:t>国企改革中的职工安置实务</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1</w:t>
      </w:r>
      <w:r>
        <w:rPr>
          <w:rFonts w:ascii="仿宋" w:hAnsi="仿宋" w:eastAsia="仿宋" w:cs="仿宋"/>
          <w:bCs/>
          <w:kern w:val="2"/>
          <w:sz w:val="28"/>
          <w:szCs w:val="28"/>
        </w:rPr>
        <w:t>.</w:t>
      </w:r>
      <w:r>
        <w:rPr>
          <w:rFonts w:hint="default" w:ascii="仿宋" w:hAnsi="仿宋" w:eastAsia="仿宋" w:cs="仿宋"/>
          <w:bCs/>
          <w:kern w:val="2"/>
          <w:sz w:val="28"/>
          <w:szCs w:val="28"/>
        </w:rPr>
        <w:t>国企改革所涉及的职工安置与劳动关系处理政策解析</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2</w:t>
      </w:r>
      <w:r>
        <w:rPr>
          <w:rFonts w:ascii="仿宋" w:hAnsi="仿宋" w:eastAsia="仿宋" w:cs="仿宋"/>
          <w:bCs/>
          <w:kern w:val="2"/>
          <w:sz w:val="28"/>
          <w:szCs w:val="28"/>
        </w:rPr>
        <w:t>.</w:t>
      </w:r>
      <w:r>
        <w:rPr>
          <w:rFonts w:hint="default" w:ascii="仿宋" w:hAnsi="仿宋" w:eastAsia="仿宋" w:cs="仿宋"/>
          <w:bCs/>
          <w:kern w:val="2"/>
          <w:sz w:val="28"/>
          <w:szCs w:val="28"/>
        </w:rPr>
        <w:t>不同国企改革类型职工安置要点、焦点难点问题的解决方式详解</w:t>
      </w:r>
    </w:p>
    <w:p>
      <w:pPr>
        <w:autoSpaceDE/>
        <w:autoSpaceDN/>
        <w:adjustRightInd/>
        <w:spacing w:line="280" w:lineRule="exact"/>
        <w:ind w:firstLine="560" w:firstLineChars="200"/>
        <w:jc w:val="both"/>
        <w:rPr>
          <w:rFonts w:hint="default" w:ascii="黑体" w:hAnsi="黑体" w:eastAsia="黑体" w:cs="楷体"/>
          <w:bCs/>
          <w:kern w:val="2"/>
          <w:sz w:val="28"/>
          <w:szCs w:val="28"/>
        </w:rPr>
      </w:pPr>
      <w:r>
        <w:rPr>
          <w:rFonts w:hint="default" w:ascii="黑体" w:hAnsi="黑体" w:eastAsia="黑体" w:cs="楷体"/>
          <w:bCs/>
          <w:kern w:val="2"/>
          <w:sz w:val="28"/>
          <w:szCs w:val="28"/>
        </w:rPr>
        <w:t>十二</w:t>
      </w:r>
      <w:r>
        <w:rPr>
          <w:rFonts w:ascii="黑体" w:hAnsi="黑体" w:eastAsia="黑体" w:cs="楷体"/>
          <w:bCs/>
          <w:kern w:val="2"/>
          <w:sz w:val="28"/>
          <w:szCs w:val="28"/>
        </w:rPr>
        <w:t>、</w:t>
      </w:r>
      <w:r>
        <w:rPr>
          <w:rFonts w:hint="default" w:ascii="黑体" w:hAnsi="黑体" w:eastAsia="黑体" w:cs="楷体"/>
          <w:bCs/>
          <w:kern w:val="2"/>
          <w:sz w:val="28"/>
          <w:szCs w:val="28"/>
        </w:rPr>
        <w:t xml:space="preserve"> 市场化选聘经营管理者与职业经理人</w:t>
      </w:r>
    </w:p>
    <w:p>
      <w:pPr>
        <w:autoSpaceDE/>
        <w:autoSpaceDN/>
        <w:adjustRightInd/>
        <w:spacing w:line="280" w:lineRule="exact"/>
        <w:ind w:left="837" w:leftChars="232" w:hanging="280" w:hangingChars="100"/>
        <w:jc w:val="both"/>
        <w:rPr>
          <w:rFonts w:hint="default" w:ascii="仿宋" w:hAnsi="仿宋" w:eastAsia="仿宋" w:cs="仿宋"/>
          <w:bCs/>
          <w:kern w:val="2"/>
          <w:sz w:val="28"/>
          <w:szCs w:val="28"/>
        </w:rPr>
      </w:pPr>
      <w:r>
        <w:rPr>
          <w:rFonts w:hint="default" w:ascii="仿宋" w:hAnsi="仿宋" w:eastAsia="仿宋" w:cs="仿宋"/>
          <w:bCs/>
          <w:kern w:val="2"/>
          <w:sz w:val="28"/>
          <w:szCs w:val="28"/>
        </w:rPr>
        <w:t>1</w:t>
      </w:r>
      <w:r>
        <w:rPr>
          <w:rFonts w:ascii="仿宋" w:hAnsi="仿宋" w:eastAsia="仿宋" w:cs="仿宋"/>
          <w:bCs/>
          <w:kern w:val="2"/>
          <w:sz w:val="28"/>
          <w:szCs w:val="28"/>
        </w:rPr>
        <w:t>.</w:t>
      </w:r>
      <w:r>
        <w:rPr>
          <w:rFonts w:hint="default" w:ascii="仿宋" w:hAnsi="仿宋" w:eastAsia="仿宋" w:cs="仿宋"/>
          <w:bCs/>
          <w:kern w:val="2"/>
          <w:sz w:val="28"/>
          <w:szCs w:val="28"/>
        </w:rPr>
        <w:t>《关于开展市场化选聘和管理国有企业经营管理者试点工作的意见》解读</w:t>
      </w:r>
    </w:p>
    <w:p>
      <w:pPr>
        <w:autoSpaceDE/>
        <w:autoSpaceDN/>
        <w:adjustRightInd/>
        <w:spacing w:line="280" w:lineRule="exact"/>
        <w:ind w:left="837" w:leftChars="232" w:hanging="280" w:hangingChars="100"/>
        <w:jc w:val="both"/>
        <w:rPr>
          <w:rFonts w:hint="default" w:ascii="仿宋" w:hAnsi="仿宋" w:eastAsia="仿宋" w:cs="仿宋"/>
          <w:bCs/>
          <w:kern w:val="2"/>
          <w:sz w:val="28"/>
          <w:szCs w:val="28"/>
        </w:rPr>
      </w:pPr>
      <w:r>
        <w:rPr>
          <w:rFonts w:hint="default" w:ascii="仿宋" w:hAnsi="仿宋" w:eastAsia="仿宋" w:cs="仿宋"/>
          <w:bCs/>
          <w:kern w:val="2"/>
          <w:sz w:val="28"/>
          <w:szCs w:val="28"/>
        </w:rPr>
        <w:t>2</w:t>
      </w:r>
      <w:r>
        <w:rPr>
          <w:rFonts w:ascii="仿宋" w:hAnsi="仿宋" w:eastAsia="仿宋" w:cs="仿宋"/>
          <w:bCs/>
          <w:kern w:val="2"/>
          <w:sz w:val="28"/>
          <w:szCs w:val="28"/>
        </w:rPr>
        <w:t>.</w:t>
      </w:r>
      <w:r>
        <w:rPr>
          <w:rFonts w:hint="default" w:ascii="仿宋" w:hAnsi="仿宋" w:eastAsia="仿宋" w:cs="仿宋"/>
          <w:bCs/>
          <w:kern w:val="2"/>
          <w:sz w:val="28"/>
          <w:szCs w:val="28"/>
        </w:rPr>
        <w:t>《“双百企业”推行经理层成员任期制和契约化管理操作指引》和《“双百企业”推行职业经理人制度操作指引》解读</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3</w:t>
      </w:r>
      <w:r>
        <w:rPr>
          <w:rFonts w:ascii="仿宋" w:hAnsi="仿宋" w:eastAsia="仿宋" w:cs="仿宋"/>
          <w:bCs/>
          <w:kern w:val="2"/>
          <w:sz w:val="28"/>
          <w:szCs w:val="28"/>
        </w:rPr>
        <w:t>.</w:t>
      </w:r>
      <w:r>
        <w:rPr>
          <w:rFonts w:hint="default" w:ascii="仿宋" w:hAnsi="仿宋" w:eastAsia="仿宋" w:cs="仿宋"/>
          <w:bCs/>
          <w:kern w:val="2"/>
          <w:sz w:val="28"/>
          <w:szCs w:val="28"/>
        </w:rPr>
        <w:t xml:space="preserve">市场化选聘模式分析                                    </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4</w:t>
      </w:r>
      <w:r>
        <w:rPr>
          <w:rFonts w:ascii="仿宋" w:hAnsi="仿宋" w:eastAsia="仿宋" w:cs="仿宋"/>
          <w:bCs/>
          <w:kern w:val="2"/>
          <w:sz w:val="28"/>
          <w:szCs w:val="28"/>
        </w:rPr>
        <w:t>.</w:t>
      </w:r>
      <w:r>
        <w:rPr>
          <w:rFonts w:hint="default" w:ascii="仿宋" w:hAnsi="仿宋" w:eastAsia="仿宋" w:cs="仿宋"/>
          <w:bCs/>
          <w:kern w:val="2"/>
          <w:sz w:val="28"/>
          <w:szCs w:val="28"/>
        </w:rPr>
        <w:t>推行职业经理人制度的总体要求</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5</w:t>
      </w:r>
      <w:r>
        <w:rPr>
          <w:rFonts w:ascii="仿宋" w:hAnsi="仿宋" w:eastAsia="仿宋" w:cs="仿宋"/>
          <w:bCs/>
          <w:kern w:val="2"/>
          <w:sz w:val="28"/>
          <w:szCs w:val="28"/>
        </w:rPr>
        <w:t>.</w:t>
      </w:r>
      <w:r>
        <w:rPr>
          <w:rFonts w:hint="default" w:ascii="仿宋" w:hAnsi="仿宋" w:eastAsia="仿宋" w:cs="仿宋"/>
          <w:bCs/>
          <w:kern w:val="2"/>
          <w:sz w:val="28"/>
          <w:szCs w:val="28"/>
        </w:rPr>
        <w:t>职业经理人制度体系建设与实施的经验借鉴</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6</w:t>
      </w:r>
      <w:r>
        <w:rPr>
          <w:rFonts w:ascii="仿宋" w:hAnsi="仿宋" w:eastAsia="仿宋" w:cs="仿宋"/>
          <w:bCs/>
          <w:kern w:val="2"/>
          <w:sz w:val="28"/>
          <w:szCs w:val="28"/>
        </w:rPr>
        <w:t>.</w:t>
      </w:r>
      <w:r>
        <w:rPr>
          <w:rFonts w:hint="default" w:ascii="仿宋" w:hAnsi="仿宋" w:eastAsia="仿宋" w:cs="仿宋"/>
          <w:bCs/>
          <w:kern w:val="2"/>
          <w:sz w:val="28"/>
          <w:szCs w:val="28"/>
        </w:rPr>
        <w:t>职业经理人制度与国企党建的重要工作</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7</w:t>
      </w:r>
      <w:r>
        <w:rPr>
          <w:rFonts w:ascii="仿宋" w:hAnsi="仿宋" w:eastAsia="仿宋" w:cs="仿宋"/>
          <w:bCs/>
          <w:kern w:val="2"/>
          <w:sz w:val="28"/>
          <w:szCs w:val="28"/>
        </w:rPr>
        <w:t>.</w:t>
      </w:r>
      <w:r>
        <w:rPr>
          <w:rFonts w:hint="default" w:ascii="仿宋" w:hAnsi="仿宋" w:eastAsia="仿宋" w:cs="仿宋"/>
          <w:bCs/>
          <w:kern w:val="2"/>
          <w:sz w:val="28"/>
          <w:szCs w:val="28"/>
        </w:rPr>
        <w:t>案例分析:职业经理人选聘、薪酬机制模式</w:t>
      </w:r>
    </w:p>
    <w:p>
      <w:pPr>
        <w:autoSpaceDE/>
        <w:autoSpaceDN/>
        <w:adjustRightInd/>
        <w:spacing w:line="280" w:lineRule="exact"/>
        <w:ind w:firstLine="560" w:firstLineChars="200"/>
        <w:jc w:val="both"/>
        <w:rPr>
          <w:rFonts w:hint="default" w:ascii="黑体" w:hAnsi="黑体" w:eastAsia="黑体" w:cs="楷体"/>
          <w:bCs/>
          <w:kern w:val="2"/>
          <w:sz w:val="28"/>
          <w:szCs w:val="28"/>
        </w:rPr>
      </w:pPr>
      <w:r>
        <w:rPr>
          <w:rFonts w:hint="default" w:ascii="黑体" w:hAnsi="黑体" w:eastAsia="黑体" w:cs="楷体"/>
          <w:bCs/>
          <w:kern w:val="2"/>
          <w:sz w:val="28"/>
          <w:szCs w:val="28"/>
        </w:rPr>
        <w:t>十三</w:t>
      </w:r>
      <w:r>
        <w:rPr>
          <w:rFonts w:ascii="黑体" w:hAnsi="黑体" w:eastAsia="黑体" w:cs="楷体"/>
          <w:bCs/>
          <w:kern w:val="2"/>
          <w:sz w:val="28"/>
          <w:szCs w:val="28"/>
        </w:rPr>
        <w:t>、</w:t>
      </w:r>
      <w:r>
        <w:rPr>
          <w:rFonts w:hint="default" w:ascii="黑体" w:hAnsi="黑体" w:eastAsia="黑体" w:cs="楷体"/>
          <w:bCs/>
          <w:kern w:val="2"/>
          <w:sz w:val="28"/>
          <w:szCs w:val="28"/>
        </w:rPr>
        <w:t xml:space="preserve">公司治理的变革与升级 </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1.《关于进一步完善国有企业法人治理结构的指导意见》解读</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2.混合所有制企业公司治理的难点问题及解决之道</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3.混合所有制企业商业化、可持续的公司治理结构构建</w:t>
      </w:r>
    </w:p>
    <w:p>
      <w:pPr>
        <w:autoSpaceDE/>
        <w:autoSpaceDN/>
        <w:adjustRightInd/>
        <w:spacing w:line="280" w:lineRule="exact"/>
        <w:ind w:left="837" w:leftChars="232" w:hanging="280" w:hangingChars="100"/>
        <w:jc w:val="both"/>
        <w:rPr>
          <w:rFonts w:hint="default" w:ascii="仿宋" w:hAnsi="仿宋" w:eastAsia="仿宋" w:cs="仿宋"/>
          <w:bCs/>
          <w:kern w:val="2"/>
          <w:sz w:val="28"/>
          <w:szCs w:val="28"/>
        </w:rPr>
      </w:pPr>
      <w:r>
        <w:rPr>
          <w:rFonts w:ascii="仿宋" w:hAnsi="仿宋" w:eastAsia="仿宋" w:cs="仿宋"/>
          <w:bCs/>
          <w:kern w:val="2"/>
          <w:sz w:val="28"/>
          <w:szCs w:val="28"/>
        </w:rPr>
        <w:t>4.建立“加强党的领导、落实董事会职权和构建市场化机制充分统一”的管理机制</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5.企业长期可持续发展与“治理结构竞争力”打造</w:t>
      </w:r>
    </w:p>
    <w:p>
      <w:pPr>
        <w:autoSpaceDE/>
        <w:autoSpaceDN/>
        <w:adjustRightInd/>
        <w:spacing w:line="280" w:lineRule="exact"/>
        <w:ind w:left="1397" w:leftChars="232" w:hanging="840" w:hangingChars="300"/>
        <w:jc w:val="both"/>
        <w:rPr>
          <w:rFonts w:hint="default" w:ascii="黑体" w:hAnsi="黑体" w:eastAsia="黑体" w:cs="楷体"/>
          <w:bCs/>
          <w:kern w:val="2"/>
          <w:sz w:val="28"/>
          <w:szCs w:val="28"/>
        </w:rPr>
      </w:pPr>
      <w:r>
        <w:rPr>
          <w:rFonts w:hint="default" w:ascii="黑体" w:hAnsi="黑体" w:eastAsia="黑体" w:cs="楷体"/>
          <w:bCs/>
          <w:kern w:val="2"/>
          <w:sz w:val="28"/>
          <w:szCs w:val="28"/>
        </w:rPr>
        <w:t>十四</w:t>
      </w:r>
      <w:r>
        <w:rPr>
          <w:rFonts w:ascii="黑体" w:hAnsi="黑体" w:eastAsia="黑体" w:cs="楷体"/>
          <w:bCs/>
          <w:kern w:val="2"/>
          <w:sz w:val="28"/>
          <w:szCs w:val="28"/>
        </w:rPr>
        <w:t>、</w:t>
      </w:r>
      <w:r>
        <w:rPr>
          <w:rFonts w:hint="default" w:ascii="黑体" w:hAnsi="黑体" w:eastAsia="黑体" w:cs="楷体"/>
          <w:bCs/>
          <w:kern w:val="2"/>
          <w:sz w:val="28"/>
          <w:szCs w:val="28"/>
        </w:rPr>
        <w:t>国企与民资双向混改和并购的资本运营政策、实操、工具运用案例分析</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1.参与混改并购的背景分析及资本市场混改3.0模式要点解读</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2.资本市场视角下混改中的重点问题及案例分析—盛宴或鸿门宴</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（1）混资本阶段标的企业的选择要点及国有资本的诉求</w:t>
      </w:r>
    </w:p>
    <w:p>
      <w:pPr>
        <w:autoSpaceDE/>
        <w:autoSpaceDN/>
        <w:adjustRightInd/>
        <w:spacing w:line="280" w:lineRule="exact"/>
        <w:ind w:left="1257" w:leftChars="232" w:hanging="700" w:hangingChars="250"/>
        <w:jc w:val="both"/>
        <w:rPr>
          <w:rFonts w:hint="default" w:ascii="仿宋" w:hAnsi="仿宋" w:eastAsia="仿宋" w:cs="仿宋"/>
          <w:bCs/>
          <w:kern w:val="2"/>
          <w:sz w:val="28"/>
          <w:szCs w:val="28"/>
        </w:rPr>
      </w:pPr>
      <w:r>
        <w:rPr>
          <w:rFonts w:ascii="仿宋" w:hAnsi="仿宋" w:eastAsia="仿宋" w:cs="仿宋"/>
          <w:bCs/>
          <w:kern w:val="2"/>
          <w:sz w:val="28"/>
          <w:szCs w:val="28"/>
        </w:rPr>
        <w:t>（2）合规解决《关于国有控股混合所有制企业开展员工持股试点的意见》</w:t>
      </w:r>
      <w:r>
        <w:rPr>
          <w:rFonts w:hint="default" w:ascii="仿宋" w:hAnsi="仿宋" w:eastAsia="仿宋" w:cs="仿宋"/>
          <w:bCs/>
          <w:kern w:val="2"/>
          <w:sz w:val="28"/>
          <w:szCs w:val="28"/>
        </w:rPr>
        <w:t>（国资发改革〔2016〕133号）</w:t>
      </w:r>
      <w:r>
        <w:rPr>
          <w:rFonts w:ascii="仿宋" w:hAnsi="仿宋" w:eastAsia="仿宋" w:cs="仿宋"/>
          <w:bCs/>
          <w:kern w:val="2"/>
          <w:sz w:val="28"/>
          <w:szCs w:val="28"/>
        </w:rPr>
        <w:t>中提出的员工持股的众多限制性问题</w:t>
      </w:r>
    </w:p>
    <w:p>
      <w:pPr>
        <w:autoSpaceDE/>
        <w:autoSpaceDN/>
        <w:adjustRightInd/>
        <w:spacing w:line="280" w:lineRule="exact"/>
        <w:ind w:left="1257" w:leftChars="232" w:hanging="700" w:hangingChars="250"/>
        <w:jc w:val="both"/>
        <w:rPr>
          <w:rFonts w:hint="default" w:ascii="仿宋" w:hAnsi="仿宋" w:eastAsia="仿宋" w:cs="仿宋"/>
          <w:bCs/>
          <w:kern w:val="2"/>
          <w:sz w:val="28"/>
          <w:szCs w:val="28"/>
        </w:rPr>
      </w:pPr>
      <w:r>
        <w:rPr>
          <w:rFonts w:ascii="仿宋" w:hAnsi="仿宋" w:eastAsia="仿宋" w:cs="仿宋"/>
          <w:bCs/>
          <w:kern w:val="2"/>
          <w:sz w:val="28"/>
          <w:szCs w:val="28"/>
        </w:rPr>
        <w:t>（3）混改的权利分配—改机制阶段如何合理处置实际控制权的争议问题</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（4）混改主导机构的决策风险及应对</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（5）国企经营特质不同的风险及应对</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（6）国企混改手段目的的风险及应对</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（7）国资产值论与民资利润论融合机制的合理安排问题</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（8）混改退出方式特点及安排的要点</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（9）对国资受限尽调的风险及应对</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（10）人才IPO对混改控制型溢价的影响</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（11）防止业绩变脸—管理团队稳定性处理的建议</w:t>
      </w:r>
    </w:p>
    <w:p>
      <w:pPr>
        <w:autoSpaceDE/>
        <w:autoSpaceDN/>
        <w:adjustRightInd/>
        <w:spacing w:line="280" w:lineRule="exact"/>
        <w:ind w:left="1397" w:leftChars="232" w:hanging="840" w:hangingChars="300"/>
        <w:jc w:val="both"/>
        <w:rPr>
          <w:rFonts w:hint="default" w:ascii="仿宋" w:hAnsi="仿宋" w:eastAsia="仿宋" w:cs="仿宋"/>
          <w:bCs/>
          <w:kern w:val="2"/>
          <w:sz w:val="28"/>
          <w:szCs w:val="28"/>
        </w:rPr>
      </w:pPr>
      <w:r>
        <w:rPr>
          <w:rFonts w:ascii="仿宋" w:hAnsi="仿宋" w:eastAsia="仿宋" w:cs="仿宋"/>
          <w:bCs/>
          <w:kern w:val="2"/>
          <w:sz w:val="28"/>
          <w:szCs w:val="28"/>
        </w:rPr>
        <w:t>（12）混改股权架构设计—管理层收购或管理层控制的对比与合规性安排</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（13）国有资产流失的责任、风险及应对</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3.资本市场视角下国有资本参与并购重组与混改实操（逆向混改）</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（1）IPO注册制以后上市公司的压力</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（2）上市公司控股权/股权转让的特殊规定</w:t>
      </w:r>
    </w:p>
    <w:p>
      <w:pPr>
        <w:autoSpaceDE/>
        <w:autoSpaceDN/>
        <w:adjustRightInd/>
        <w:spacing w:line="280" w:lineRule="exact"/>
        <w:ind w:left="1257" w:leftChars="232" w:hanging="700" w:hangingChars="250"/>
        <w:jc w:val="both"/>
        <w:rPr>
          <w:rFonts w:hint="default" w:ascii="仿宋" w:hAnsi="仿宋" w:eastAsia="仿宋" w:cs="仿宋"/>
          <w:bCs/>
          <w:kern w:val="2"/>
          <w:sz w:val="28"/>
          <w:szCs w:val="28"/>
        </w:rPr>
      </w:pPr>
      <w:r>
        <w:rPr>
          <w:rFonts w:ascii="仿宋" w:hAnsi="仿宋" w:eastAsia="仿宋" w:cs="仿宋"/>
          <w:bCs/>
          <w:kern w:val="2"/>
          <w:sz w:val="28"/>
          <w:szCs w:val="28"/>
        </w:rPr>
        <w:t>（3）国有资本的主动出击：借壳上市、收购上市公司、上市公司二股东、并购重组非上市公司</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（4）国有资本收购上市公司控股权的特殊考虑</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（5）国有资本参与下的产业整合与纾困</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 xml:space="preserve">（6）逆向混改上市公司—平台公司转型发展的新阶段 </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（7）地方国资企业并购上市公司标的之筛选建议</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（8</w:t>
      </w:r>
      <w:r>
        <w:rPr>
          <w:rFonts w:hint="default" w:ascii="仿宋" w:hAnsi="仿宋" w:eastAsia="仿宋" w:cs="仿宋"/>
          <w:bCs/>
          <w:kern w:val="2"/>
          <w:sz w:val="28"/>
          <w:szCs w:val="28"/>
        </w:rPr>
        <w:t>）</w:t>
      </w:r>
      <w:r>
        <w:rPr>
          <w:rFonts w:ascii="仿宋" w:hAnsi="仿宋" w:eastAsia="仿宋" w:cs="仿宋"/>
          <w:bCs/>
          <w:kern w:val="2"/>
          <w:sz w:val="28"/>
          <w:szCs w:val="28"/>
        </w:rPr>
        <w:t>地方国资企业并购上市公司的后续整合</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（9）结构性机会捕获-逆向混改非上市公司</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（10）员工持股（限制、入股方式、减持要求）</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4.资本市场视角下民资参与混改的模式及相关问题应对（正向混改）</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（1）参与国企混改的模式：非上市公司混改、上市公司混改、并购</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（2）参与国企产权转让的相关要求及操作要点</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（3）参与国企增资扩股的相关要求及操作要点</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（4）进场挂牌前需要完成工作</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（5）民资收购参股国有上市公司--国有上市公司的压力及动力</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（6）民资收购参股国有上市公司--国有上市公司转让规定配套安排</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（7）参与国企混改的资本市场退出路径</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 xml:space="preserve">5.上市公司层面混改下的并购重组方案设计、资金结构设计及代表    </w:t>
      </w:r>
    </w:p>
    <w:p>
      <w:pPr>
        <w:autoSpaceDE/>
        <w:autoSpaceDN/>
        <w:adjustRightInd/>
        <w:spacing w:line="280" w:lineRule="exact"/>
        <w:ind w:left="976" w:leftChars="290" w:hanging="280" w:hangingChars="100"/>
        <w:jc w:val="both"/>
        <w:rPr>
          <w:rFonts w:hint="default" w:ascii="仿宋" w:hAnsi="仿宋" w:eastAsia="仿宋" w:cs="仿宋"/>
          <w:bCs/>
          <w:kern w:val="2"/>
          <w:sz w:val="28"/>
          <w:szCs w:val="28"/>
        </w:rPr>
      </w:pPr>
      <w:r>
        <w:rPr>
          <w:rFonts w:ascii="仿宋" w:hAnsi="仿宋" w:eastAsia="仿宋" w:cs="仿宋"/>
          <w:bCs/>
          <w:kern w:val="2"/>
          <w:sz w:val="28"/>
          <w:szCs w:val="28"/>
        </w:rPr>
        <w:t xml:space="preserve">   性案例</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（1）构建立体化全要素的方案设计</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（2）标的估值作价安排—重视历史、差异及国资的特殊要求</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（3）如何选择支付—退出周期、预期判断、纳税及结合支付</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（4）业绩承诺与补偿</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（5）何时停牌--交易核心条款具备</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（6）并购前期的资金安排--资方对标的企业的介入</w:t>
      </w:r>
    </w:p>
    <w:p>
      <w:pPr>
        <w:autoSpaceDE/>
        <w:autoSpaceDN/>
        <w:adjustRightInd/>
        <w:spacing w:line="280" w:lineRule="exact"/>
        <w:ind w:left="1257" w:leftChars="232" w:hanging="700" w:hangingChars="250"/>
        <w:jc w:val="both"/>
        <w:rPr>
          <w:rFonts w:hint="default" w:ascii="仿宋" w:hAnsi="仿宋" w:eastAsia="仿宋" w:cs="仿宋"/>
          <w:bCs/>
          <w:kern w:val="2"/>
          <w:sz w:val="28"/>
          <w:szCs w:val="28"/>
        </w:rPr>
      </w:pPr>
      <w:r>
        <w:rPr>
          <w:rFonts w:ascii="仿宋" w:hAnsi="仿宋" w:eastAsia="仿宋" w:cs="仿宋"/>
          <w:bCs/>
          <w:kern w:val="2"/>
          <w:sz w:val="28"/>
          <w:szCs w:val="28"/>
        </w:rPr>
        <w:t>（7）并购中的配套融资发行方式、额度及使用—再融资新规对混改中配套融资的深度影响（是否会形成第二次并购浪潮）</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（8）并购中的配套融资牵扯的控制权变更认定标准</w:t>
      </w:r>
    </w:p>
    <w:p>
      <w:pPr>
        <w:autoSpaceDE/>
        <w:autoSpaceDN/>
        <w:adjustRightInd/>
        <w:spacing w:line="280" w:lineRule="exact"/>
        <w:ind w:left="1257" w:leftChars="232" w:hanging="700" w:hangingChars="250"/>
        <w:jc w:val="both"/>
        <w:rPr>
          <w:rFonts w:hint="default" w:ascii="仿宋" w:hAnsi="仿宋" w:eastAsia="仿宋" w:cs="仿宋"/>
          <w:bCs/>
          <w:kern w:val="2"/>
          <w:sz w:val="28"/>
          <w:szCs w:val="28"/>
        </w:rPr>
      </w:pPr>
      <w:r>
        <w:rPr>
          <w:rFonts w:ascii="仿宋" w:hAnsi="仿宋" w:eastAsia="仿宋" w:cs="仿宋"/>
          <w:bCs/>
          <w:kern w:val="2"/>
          <w:sz w:val="28"/>
          <w:szCs w:val="28"/>
        </w:rPr>
        <w:t>（9）并购中的资金支持--资金对并购方的介入（配套融资及参与型并购、控制型并购）</w:t>
      </w:r>
    </w:p>
    <w:p>
      <w:pPr>
        <w:widowControl/>
        <w:autoSpaceDE/>
        <w:autoSpaceDN/>
        <w:spacing w:line="360" w:lineRule="exact"/>
        <w:jc w:val="both"/>
        <w:rPr>
          <w:rStyle w:val="10"/>
          <w:rFonts w:hint="default" w:ascii="黑体" w:hAnsi="黑体" w:eastAsia="黑体" w:cs="黑体"/>
          <w:b w:val="0"/>
          <w:bCs w:val="0"/>
          <w:color w:val="000000"/>
          <w:sz w:val="28"/>
          <w:szCs w:val="28"/>
        </w:rPr>
      </w:pPr>
    </w:p>
    <w:p>
      <w:pPr>
        <w:widowControl/>
        <w:autoSpaceDE/>
        <w:autoSpaceDN/>
        <w:spacing w:line="360" w:lineRule="exact"/>
        <w:jc w:val="both"/>
        <w:rPr>
          <w:rStyle w:val="10"/>
          <w:rFonts w:ascii="黑体" w:hAnsi="黑体" w:eastAsia="黑体" w:cs="黑体"/>
          <w:b w:val="0"/>
          <w:bCs w:val="0"/>
          <w:color w:val="000000"/>
          <w:sz w:val="28"/>
          <w:szCs w:val="28"/>
        </w:rPr>
      </w:pPr>
    </w:p>
    <w:p>
      <w:pPr>
        <w:widowControl/>
        <w:autoSpaceDE/>
        <w:autoSpaceDN/>
        <w:spacing w:line="360" w:lineRule="exact"/>
        <w:jc w:val="both"/>
        <w:rPr>
          <w:rStyle w:val="10"/>
          <w:rFonts w:hint="default" w:ascii="黑体" w:hAnsi="黑体" w:eastAsia="黑体" w:cs="黑体"/>
          <w:b w:val="0"/>
          <w:bCs w:val="0"/>
          <w:color w:val="000000"/>
          <w:sz w:val="28"/>
          <w:szCs w:val="28"/>
        </w:rPr>
      </w:pPr>
      <w:r>
        <w:rPr>
          <w:rStyle w:val="10"/>
          <w:rFonts w:ascii="黑体" w:hAnsi="黑体" w:eastAsia="黑体" w:cs="黑体"/>
          <w:b w:val="0"/>
          <w:bCs w:val="0"/>
          <w:color w:val="000000"/>
          <w:sz w:val="28"/>
          <w:szCs w:val="28"/>
        </w:rPr>
        <w:t>附件：2</w:t>
      </w:r>
    </w:p>
    <w:p>
      <w:pPr>
        <w:widowControl/>
        <w:autoSpaceDE/>
        <w:autoSpaceDN/>
        <w:spacing w:line="360" w:lineRule="exact"/>
        <w:jc w:val="center"/>
        <w:rPr>
          <w:rStyle w:val="10"/>
          <w:rFonts w:hint="default" w:cs="宋体"/>
          <w:b w:val="0"/>
          <w:bCs w:val="0"/>
          <w:color w:val="000000"/>
          <w:sz w:val="28"/>
          <w:szCs w:val="28"/>
        </w:rPr>
      </w:pPr>
    </w:p>
    <w:p>
      <w:pPr>
        <w:widowControl/>
        <w:autoSpaceDE/>
        <w:autoSpaceDN/>
        <w:spacing w:line="360" w:lineRule="exact"/>
        <w:jc w:val="center"/>
        <w:rPr>
          <w:rStyle w:val="10"/>
          <w:rFonts w:hint="default" w:cs="宋体"/>
          <w:b w:val="0"/>
          <w:bCs w:val="0"/>
          <w:color w:val="000000"/>
          <w:sz w:val="28"/>
          <w:szCs w:val="28"/>
        </w:rPr>
      </w:pPr>
      <w:r>
        <w:rPr>
          <w:rStyle w:val="10"/>
          <w:rFonts w:cs="宋体"/>
          <w:b w:val="0"/>
          <w:bCs w:val="0"/>
          <w:color w:val="000000"/>
          <w:sz w:val="28"/>
          <w:szCs w:val="28"/>
        </w:rPr>
        <w:t xml:space="preserve">国企混改方案设计暨战略规划 现代企业制度建设 员工持股 </w:t>
      </w:r>
    </w:p>
    <w:p>
      <w:pPr>
        <w:widowControl/>
        <w:autoSpaceDE/>
        <w:autoSpaceDN/>
        <w:spacing w:line="360" w:lineRule="exact"/>
        <w:jc w:val="center"/>
        <w:rPr>
          <w:rStyle w:val="10"/>
          <w:rFonts w:hint="default" w:cs="宋体"/>
          <w:b w:val="0"/>
          <w:bCs w:val="0"/>
          <w:color w:val="000000"/>
          <w:sz w:val="28"/>
          <w:szCs w:val="28"/>
        </w:rPr>
      </w:pPr>
      <w:r>
        <w:rPr>
          <w:rStyle w:val="10"/>
          <w:rFonts w:cs="宋体"/>
          <w:b w:val="0"/>
          <w:bCs w:val="0"/>
          <w:color w:val="000000"/>
          <w:sz w:val="28"/>
          <w:szCs w:val="28"/>
        </w:rPr>
        <w:t>激励政策及资本运营实务培训班报名回执表</w:t>
      </w:r>
    </w:p>
    <w:p>
      <w:pPr>
        <w:widowControl/>
        <w:autoSpaceDE/>
        <w:autoSpaceDN/>
        <w:spacing w:line="360" w:lineRule="exact"/>
        <w:jc w:val="right"/>
        <w:rPr>
          <w:rStyle w:val="10"/>
          <w:rFonts w:hint="default" w:ascii="黑体" w:hAnsi="黑体" w:eastAsia="黑体" w:cs="黑体"/>
          <w:b w:val="0"/>
          <w:bCs w:val="0"/>
          <w:color w:val="000000"/>
          <w:sz w:val="28"/>
          <w:szCs w:val="28"/>
        </w:rPr>
      </w:pPr>
    </w:p>
    <w:tbl>
      <w:tblPr>
        <w:tblStyle w:val="8"/>
        <w:tblW w:w="97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5"/>
        <w:gridCol w:w="850"/>
        <w:gridCol w:w="1142"/>
        <w:gridCol w:w="142"/>
        <w:gridCol w:w="1987"/>
        <w:gridCol w:w="157"/>
        <w:gridCol w:w="390"/>
        <w:gridCol w:w="298"/>
        <w:gridCol w:w="309"/>
        <w:gridCol w:w="542"/>
        <w:gridCol w:w="291"/>
        <w:gridCol w:w="1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665" w:type="dxa"/>
            <w:vAlign w:val="center"/>
          </w:tcPr>
          <w:p>
            <w:pPr>
              <w:autoSpaceDE/>
              <w:autoSpaceDN/>
              <w:adjustRightInd/>
              <w:spacing w:line="360" w:lineRule="exact"/>
              <w:ind w:right="-168" w:rightChars="-70"/>
              <w:jc w:val="center"/>
              <w:rPr>
                <w:rFonts w:hint="default" w:ascii="仿宋_GB2312" w:hAnsi="Times New Roman" w:eastAsia="仿宋_GB2312"/>
                <w:kern w:val="2"/>
                <w:szCs w:val="22"/>
              </w:rPr>
            </w:pPr>
            <w:r>
              <w:rPr>
                <w:rFonts w:ascii="仿宋_GB2312" w:hAnsi="Times New Roman" w:eastAsia="仿宋_GB2312"/>
                <w:kern w:val="2"/>
                <w:szCs w:val="22"/>
              </w:rPr>
              <w:t>单位名称</w:t>
            </w:r>
          </w:p>
        </w:tc>
        <w:tc>
          <w:tcPr>
            <w:tcW w:w="4966" w:type="dxa"/>
            <w:gridSpan w:val="7"/>
            <w:vAlign w:val="center"/>
          </w:tcPr>
          <w:p>
            <w:pPr>
              <w:autoSpaceDE/>
              <w:autoSpaceDN/>
              <w:adjustRightInd/>
              <w:spacing w:line="360" w:lineRule="exact"/>
              <w:ind w:right="-168" w:rightChars="-70"/>
              <w:jc w:val="center"/>
              <w:rPr>
                <w:rFonts w:hint="default" w:ascii="仿宋_GB2312" w:hAnsi="Times New Roman" w:eastAsia="仿宋_GB2312"/>
                <w:kern w:val="2"/>
                <w:szCs w:val="22"/>
              </w:rPr>
            </w:pPr>
          </w:p>
        </w:tc>
        <w:tc>
          <w:tcPr>
            <w:tcW w:w="851" w:type="dxa"/>
            <w:gridSpan w:val="2"/>
            <w:vAlign w:val="center"/>
          </w:tcPr>
          <w:p>
            <w:pPr>
              <w:autoSpaceDE/>
              <w:autoSpaceDN/>
              <w:adjustRightInd/>
              <w:spacing w:line="360" w:lineRule="exact"/>
              <w:ind w:right="-168" w:rightChars="-70"/>
              <w:jc w:val="both"/>
              <w:rPr>
                <w:rFonts w:hint="default" w:ascii="仿宋_GB2312" w:hAnsi="Times New Roman" w:eastAsia="仿宋_GB2312"/>
                <w:kern w:val="2"/>
                <w:szCs w:val="22"/>
              </w:rPr>
            </w:pPr>
            <w:r>
              <w:rPr>
                <w:rFonts w:ascii="仿宋_GB2312" w:hAnsi="Times New Roman" w:eastAsia="仿宋_GB2312"/>
                <w:kern w:val="2"/>
                <w:szCs w:val="22"/>
              </w:rPr>
              <w:t>邮编</w:t>
            </w:r>
          </w:p>
        </w:tc>
        <w:tc>
          <w:tcPr>
            <w:tcW w:w="2278" w:type="dxa"/>
            <w:gridSpan w:val="2"/>
            <w:vAlign w:val="center"/>
          </w:tcPr>
          <w:p>
            <w:pPr>
              <w:autoSpaceDE/>
              <w:autoSpaceDN/>
              <w:adjustRightInd/>
              <w:spacing w:line="360" w:lineRule="exact"/>
              <w:ind w:right="-168" w:rightChars="-70" w:firstLine="960"/>
              <w:jc w:val="center"/>
              <w:rPr>
                <w:rFonts w:hint="default" w:ascii="仿宋_GB2312" w:hAnsi="Times New Roman" w:eastAsia="仿宋_GB2312"/>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665" w:type="dxa"/>
            <w:vAlign w:val="center"/>
          </w:tcPr>
          <w:p>
            <w:pPr>
              <w:autoSpaceDE/>
              <w:autoSpaceDN/>
              <w:adjustRightInd/>
              <w:spacing w:line="360" w:lineRule="exact"/>
              <w:ind w:right="-168" w:rightChars="-70"/>
              <w:jc w:val="center"/>
              <w:rPr>
                <w:rFonts w:hint="default" w:ascii="仿宋_GB2312" w:hAnsi="Times New Roman" w:eastAsia="仿宋_GB2312"/>
                <w:kern w:val="2"/>
                <w:szCs w:val="22"/>
              </w:rPr>
            </w:pPr>
            <w:r>
              <w:rPr>
                <w:rFonts w:ascii="仿宋_GB2312" w:hAnsi="Times New Roman" w:eastAsia="仿宋_GB2312"/>
                <w:kern w:val="2"/>
                <w:szCs w:val="22"/>
              </w:rPr>
              <w:t>单位地址</w:t>
            </w:r>
          </w:p>
        </w:tc>
        <w:tc>
          <w:tcPr>
            <w:tcW w:w="8095" w:type="dxa"/>
            <w:gridSpan w:val="11"/>
            <w:vAlign w:val="center"/>
          </w:tcPr>
          <w:p>
            <w:pPr>
              <w:autoSpaceDE/>
              <w:autoSpaceDN/>
              <w:adjustRightInd/>
              <w:spacing w:line="360" w:lineRule="exact"/>
              <w:ind w:right="-168" w:rightChars="-70" w:firstLine="960"/>
              <w:jc w:val="center"/>
              <w:rPr>
                <w:rFonts w:hint="default" w:ascii="仿宋_GB2312" w:hAnsi="Times New Roman" w:eastAsia="仿宋_GB2312"/>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665" w:type="dxa"/>
            <w:vAlign w:val="center"/>
          </w:tcPr>
          <w:p>
            <w:pPr>
              <w:autoSpaceDE/>
              <w:autoSpaceDN/>
              <w:adjustRightInd/>
              <w:spacing w:line="360" w:lineRule="exact"/>
              <w:ind w:right="-168" w:rightChars="-70"/>
              <w:jc w:val="center"/>
              <w:rPr>
                <w:rFonts w:hint="default" w:ascii="仿宋_GB2312" w:hAnsi="Times New Roman" w:eastAsia="仿宋_GB2312"/>
                <w:kern w:val="2"/>
                <w:szCs w:val="22"/>
              </w:rPr>
            </w:pPr>
            <w:r>
              <w:rPr>
                <w:rFonts w:ascii="仿宋_GB2312" w:hAnsi="Times New Roman" w:eastAsia="仿宋_GB2312"/>
                <w:kern w:val="2"/>
                <w:szCs w:val="22"/>
              </w:rPr>
              <w:t>联系人</w:t>
            </w:r>
          </w:p>
        </w:tc>
        <w:tc>
          <w:tcPr>
            <w:tcW w:w="2134" w:type="dxa"/>
            <w:gridSpan w:val="3"/>
            <w:vAlign w:val="center"/>
          </w:tcPr>
          <w:p>
            <w:pPr>
              <w:autoSpaceDE/>
              <w:autoSpaceDN/>
              <w:adjustRightInd/>
              <w:spacing w:line="360" w:lineRule="exact"/>
              <w:ind w:right="-168" w:rightChars="-70" w:firstLine="960"/>
              <w:jc w:val="both"/>
              <w:rPr>
                <w:rFonts w:hint="default" w:ascii="仿宋_GB2312" w:hAnsi="Times New Roman" w:eastAsia="仿宋_GB2312"/>
                <w:kern w:val="2"/>
                <w:szCs w:val="22"/>
              </w:rPr>
            </w:pPr>
          </w:p>
        </w:tc>
        <w:tc>
          <w:tcPr>
            <w:tcW w:w="2534" w:type="dxa"/>
            <w:gridSpan w:val="3"/>
            <w:vAlign w:val="center"/>
          </w:tcPr>
          <w:p>
            <w:pPr>
              <w:autoSpaceDE/>
              <w:autoSpaceDN/>
              <w:adjustRightInd/>
              <w:spacing w:line="360" w:lineRule="exact"/>
              <w:ind w:right="-168" w:rightChars="-70"/>
              <w:jc w:val="center"/>
              <w:rPr>
                <w:rFonts w:hint="default" w:ascii="仿宋_GB2312" w:hAnsi="Times New Roman" w:eastAsia="仿宋_GB2312"/>
                <w:kern w:val="2"/>
                <w:szCs w:val="22"/>
              </w:rPr>
            </w:pPr>
            <w:r>
              <w:rPr>
                <w:rFonts w:ascii="仿宋_GB2312" w:hAnsi="Times New Roman" w:eastAsia="仿宋_GB2312"/>
                <w:kern w:val="2"/>
                <w:szCs w:val="22"/>
              </w:rPr>
              <w:t>职位/岗位</w:t>
            </w:r>
          </w:p>
        </w:tc>
        <w:tc>
          <w:tcPr>
            <w:tcW w:w="3427" w:type="dxa"/>
            <w:gridSpan w:val="5"/>
            <w:vAlign w:val="center"/>
          </w:tcPr>
          <w:p>
            <w:pPr>
              <w:autoSpaceDE/>
              <w:autoSpaceDN/>
              <w:adjustRightInd/>
              <w:spacing w:line="360" w:lineRule="exact"/>
              <w:ind w:right="-168" w:rightChars="-70" w:firstLine="960"/>
              <w:jc w:val="center"/>
              <w:rPr>
                <w:rFonts w:hint="default" w:ascii="仿宋_GB2312" w:hAnsi="Times New Roman" w:eastAsia="仿宋_GB2312"/>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665" w:type="dxa"/>
            <w:vAlign w:val="center"/>
          </w:tcPr>
          <w:p>
            <w:pPr>
              <w:autoSpaceDE/>
              <w:autoSpaceDN/>
              <w:adjustRightInd/>
              <w:spacing w:line="360" w:lineRule="exact"/>
              <w:ind w:right="-168" w:rightChars="-70"/>
              <w:jc w:val="center"/>
              <w:rPr>
                <w:rFonts w:hint="default" w:ascii="仿宋_GB2312" w:hAnsi="Times New Roman" w:eastAsia="仿宋_GB2312"/>
                <w:kern w:val="2"/>
                <w:szCs w:val="22"/>
              </w:rPr>
            </w:pPr>
            <w:r>
              <w:rPr>
                <w:rFonts w:ascii="仿宋_GB2312" w:hAnsi="Times New Roman" w:eastAsia="仿宋_GB2312"/>
                <w:kern w:val="2"/>
                <w:szCs w:val="22"/>
              </w:rPr>
              <w:t>办公电话</w:t>
            </w:r>
          </w:p>
        </w:tc>
        <w:tc>
          <w:tcPr>
            <w:tcW w:w="2134" w:type="dxa"/>
            <w:gridSpan w:val="3"/>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2534" w:type="dxa"/>
            <w:gridSpan w:val="3"/>
            <w:vAlign w:val="center"/>
          </w:tcPr>
          <w:p>
            <w:pPr>
              <w:autoSpaceDE/>
              <w:autoSpaceDN/>
              <w:adjustRightInd/>
              <w:spacing w:line="360" w:lineRule="exact"/>
              <w:ind w:right="-168" w:rightChars="-70"/>
              <w:jc w:val="center"/>
              <w:rPr>
                <w:rFonts w:hint="default" w:ascii="仿宋_GB2312" w:hAnsi="Times New Roman" w:eastAsia="仿宋_GB2312"/>
                <w:kern w:val="2"/>
                <w:szCs w:val="22"/>
              </w:rPr>
            </w:pPr>
            <w:r>
              <w:rPr>
                <w:rFonts w:ascii="仿宋_GB2312" w:hAnsi="Times New Roman" w:eastAsia="仿宋_GB2312"/>
                <w:kern w:val="2"/>
                <w:szCs w:val="22"/>
              </w:rPr>
              <w:t>手    机</w:t>
            </w:r>
          </w:p>
        </w:tc>
        <w:tc>
          <w:tcPr>
            <w:tcW w:w="3427" w:type="dxa"/>
            <w:gridSpan w:val="5"/>
            <w:vAlign w:val="center"/>
          </w:tcPr>
          <w:p>
            <w:pPr>
              <w:autoSpaceDE/>
              <w:autoSpaceDN/>
              <w:adjustRightInd/>
              <w:spacing w:line="360" w:lineRule="exact"/>
              <w:ind w:right="-168" w:rightChars="-70" w:firstLine="960"/>
              <w:jc w:val="center"/>
              <w:rPr>
                <w:rFonts w:hint="default" w:ascii="仿宋_GB2312" w:hAnsi="Times New Roman" w:eastAsia="仿宋_GB2312"/>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665" w:type="dxa"/>
            <w:vAlign w:val="center"/>
          </w:tcPr>
          <w:p>
            <w:pPr>
              <w:autoSpaceDE/>
              <w:autoSpaceDN/>
              <w:adjustRightInd/>
              <w:spacing w:line="360" w:lineRule="exact"/>
              <w:ind w:right="-168" w:rightChars="-70"/>
              <w:jc w:val="center"/>
              <w:rPr>
                <w:rFonts w:hint="default" w:ascii="仿宋_GB2312" w:hAnsi="Times New Roman" w:eastAsia="仿宋_GB2312"/>
                <w:kern w:val="2"/>
                <w:szCs w:val="22"/>
              </w:rPr>
            </w:pPr>
            <w:r>
              <w:rPr>
                <w:rFonts w:ascii="仿宋_GB2312" w:hAnsi="Times New Roman" w:eastAsia="仿宋_GB2312"/>
                <w:kern w:val="2"/>
                <w:szCs w:val="22"/>
              </w:rPr>
              <w:t>传   真</w:t>
            </w:r>
          </w:p>
        </w:tc>
        <w:tc>
          <w:tcPr>
            <w:tcW w:w="2134" w:type="dxa"/>
            <w:gridSpan w:val="3"/>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2534" w:type="dxa"/>
            <w:gridSpan w:val="3"/>
            <w:vAlign w:val="center"/>
          </w:tcPr>
          <w:p>
            <w:pPr>
              <w:autoSpaceDE/>
              <w:autoSpaceDN/>
              <w:adjustRightInd/>
              <w:spacing w:line="360" w:lineRule="exact"/>
              <w:ind w:right="-168" w:rightChars="-70"/>
              <w:jc w:val="center"/>
              <w:rPr>
                <w:rFonts w:hint="default" w:ascii="仿宋_GB2312" w:hAnsi="Times New Roman" w:eastAsia="仿宋_GB2312"/>
                <w:kern w:val="2"/>
                <w:szCs w:val="22"/>
              </w:rPr>
            </w:pPr>
            <w:r>
              <w:rPr>
                <w:rFonts w:ascii="仿宋_GB2312" w:hAnsi="Times New Roman" w:eastAsia="仿宋_GB2312"/>
                <w:kern w:val="2"/>
                <w:szCs w:val="22"/>
              </w:rPr>
              <w:t>电子信箱</w:t>
            </w:r>
          </w:p>
        </w:tc>
        <w:tc>
          <w:tcPr>
            <w:tcW w:w="3427" w:type="dxa"/>
            <w:gridSpan w:val="5"/>
            <w:vAlign w:val="center"/>
          </w:tcPr>
          <w:p>
            <w:pPr>
              <w:autoSpaceDE/>
              <w:autoSpaceDN/>
              <w:adjustRightInd/>
              <w:spacing w:line="360" w:lineRule="exact"/>
              <w:ind w:right="-168" w:rightChars="-70" w:firstLine="960"/>
              <w:jc w:val="center"/>
              <w:rPr>
                <w:rFonts w:hint="default" w:ascii="仿宋_GB2312" w:hAnsi="Times New Roman" w:eastAsia="仿宋_GB2312"/>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665" w:type="dxa"/>
            <w:vAlign w:val="center"/>
          </w:tcPr>
          <w:p>
            <w:pPr>
              <w:autoSpaceDE/>
              <w:autoSpaceDN/>
              <w:adjustRightInd/>
              <w:spacing w:line="360" w:lineRule="exact"/>
              <w:ind w:right="-168" w:rightChars="-70"/>
              <w:jc w:val="center"/>
              <w:rPr>
                <w:rFonts w:hint="default" w:ascii="仿宋_GB2312" w:hAnsi="Times New Roman" w:eastAsia="仿宋_GB2312"/>
                <w:kern w:val="2"/>
                <w:szCs w:val="22"/>
              </w:rPr>
            </w:pPr>
            <w:r>
              <w:rPr>
                <w:rFonts w:ascii="仿宋_GB2312" w:hAnsi="Times New Roman" w:eastAsia="仿宋_GB2312"/>
                <w:kern w:val="2"/>
                <w:szCs w:val="22"/>
              </w:rPr>
              <w:t>参加培训人员</w:t>
            </w:r>
          </w:p>
        </w:tc>
        <w:tc>
          <w:tcPr>
            <w:tcW w:w="850" w:type="dxa"/>
            <w:vAlign w:val="center"/>
          </w:tcPr>
          <w:p>
            <w:pPr>
              <w:autoSpaceDE/>
              <w:autoSpaceDN/>
              <w:adjustRightInd/>
              <w:spacing w:line="360" w:lineRule="exact"/>
              <w:ind w:right="-168" w:rightChars="-70"/>
              <w:jc w:val="center"/>
              <w:rPr>
                <w:rFonts w:hint="default" w:ascii="仿宋_GB2312" w:hAnsi="Times New Roman" w:eastAsia="仿宋_GB2312"/>
                <w:kern w:val="2"/>
                <w:szCs w:val="22"/>
              </w:rPr>
            </w:pPr>
            <w:r>
              <w:rPr>
                <w:rFonts w:ascii="仿宋_GB2312" w:hAnsi="Times New Roman" w:eastAsia="仿宋_GB2312"/>
                <w:kern w:val="2"/>
                <w:szCs w:val="22"/>
              </w:rPr>
              <w:t>性别</w:t>
            </w:r>
          </w:p>
        </w:tc>
        <w:tc>
          <w:tcPr>
            <w:tcW w:w="1284" w:type="dxa"/>
            <w:gridSpan w:val="2"/>
            <w:vAlign w:val="center"/>
          </w:tcPr>
          <w:p>
            <w:pPr>
              <w:autoSpaceDE/>
              <w:autoSpaceDN/>
              <w:adjustRightInd/>
              <w:spacing w:line="360" w:lineRule="exact"/>
              <w:ind w:right="-168" w:rightChars="-70"/>
              <w:jc w:val="center"/>
              <w:rPr>
                <w:rFonts w:hint="default" w:ascii="仿宋_GB2312" w:hAnsi="Times New Roman" w:eastAsia="仿宋_GB2312"/>
                <w:kern w:val="2"/>
                <w:szCs w:val="22"/>
              </w:rPr>
            </w:pPr>
            <w:r>
              <w:rPr>
                <w:rFonts w:ascii="仿宋_GB2312" w:hAnsi="Times New Roman" w:eastAsia="仿宋_GB2312"/>
                <w:kern w:val="2"/>
                <w:szCs w:val="22"/>
              </w:rPr>
              <w:t>职务</w:t>
            </w:r>
          </w:p>
        </w:tc>
        <w:tc>
          <w:tcPr>
            <w:tcW w:w="1987" w:type="dxa"/>
            <w:vAlign w:val="center"/>
          </w:tcPr>
          <w:p>
            <w:pPr>
              <w:autoSpaceDE/>
              <w:autoSpaceDN/>
              <w:adjustRightInd/>
              <w:spacing w:line="360" w:lineRule="exact"/>
              <w:ind w:right="-168" w:rightChars="-70"/>
              <w:jc w:val="center"/>
              <w:rPr>
                <w:rFonts w:hint="default" w:ascii="仿宋_GB2312" w:hAnsi="Times New Roman" w:eastAsia="仿宋_GB2312"/>
                <w:kern w:val="2"/>
                <w:szCs w:val="22"/>
              </w:rPr>
            </w:pPr>
            <w:r>
              <w:rPr>
                <w:rFonts w:ascii="仿宋_GB2312" w:hAnsi="Times New Roman" w:eastAsia="仿宋_GB2312"/>
                <w:kern w:val="2"/>
                <w:szCs w:val="22"/>
              </w:rPr>
              <w:t>电话</w:t>
            </w:r>
          </w:p>
        </w:tc>
        <w:tc>
          <w:tcPr>
            <w:tcW w:w="1987" w:type="dxa"/>
            <w:gridSpan w:val="6"/>
            <w:vAlign w:val="center"/>
          </w:tcPr>
          <w:p>
            <w:pPr>
              <w:autoSpaceDE/>
              <w:autoSpaceDN/>
              <w:adjustRightInd/>
              <w:spacing w:line="360" w:lineRule="exact"/>
              <w:ind w:right="-168" w:rightChars="-70"/>
              <w:jc w:val="center"/>
              <w:rPr>
                <w:rFonts w:hint="default" w:ascii="仿宋_GB2312" w:hAnsi="Times New Roman" w:eastAsia="仿宋_GB2312"/>
                <w:kern w:val="2"/>
                <w:szCs w:val="22"/>
              </w:rPr>
            </w:pPr>
            <w:r>
              <w:rPr>
                <w:rFonts w:ascii="仿宋_GB2312" w:hAnsi="Times New Roman" w:eastAsia="仿宋_GB2312"/>
                <w:kern w:val="2"/>
                <w:szCs w:val="22"/>
              </w:rPr>
              <w:t>手机</w:t>
            </w:r>
          </w:p>
        </w:tc>
        <w:tc>
          <w:tcPr>
            <w:tcW w:w="1987" w:type="dxa"/>
            <w:vAlign w:val="center"/>
          </w:tcPr>
          <w:p>
            <w:pPr>
              <w:autoSpaceDE/>
              <w:autoSpaceDN/>
              <w:adjustRightInd/>
              <w:spacing w:line="360" w:lineRule="exact"/>
              <w:ind w:right="-168" w:rightChars="-70"/>
              <w:jc w:val="center"/>
              <w:rPr>
                <w:rFonts w:hint="default" w:ascii="仿宋_GB2312" w:hAnsi="Times New Roman" w:eastAsia="仿宋_GB2312"/>
                <w:kern w:val="2"/>
                <w:szCs w:val="22"/>
              </w:rPr>
            </w:pPr>
            <w:r>
              <w:rPr>
                <w:rFonts w:ascii="仿宋_GB2312" w:hAnsi="Times New Roman" w:eastAsia="仿宋_GB2312"/>
                <w:kern w:val="2"/>
                <w:szCs w:val="22"/>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665"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850"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284" w:type="dxa"/>
            <w:gridSpan w:val="2"/>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987"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987" w:type="dxa"/>
            <w:gridSpan w:val="6"/>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987"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665"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850"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284" w:type="dxa"/>
            <w:gridSpan w:val="2"/>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987"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987" w:type="dxa"/>
            <w:gridSpan w:val="6"/>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987"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665"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850"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284" w:type="dxa"/>
            <w:gridSpan w:val="2"/>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987"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987" w:type="dxa"/>
            <w:gridSpan w:val="6"/>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987"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665"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850"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284" w:type="dxa"/>
            <w:gridSpan w:val="2"/>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987"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987" w:type="dxa"/>
            <w:gridSpan w:val="6"/>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987"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665"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850"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284" w:type="dxa"/>
            <w:gridSpan w:val="2"/>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987"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987" w:type="dxa"/>
            <w:gridSpan w:val="6"/>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987"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3657" w:type="dxa"/>
            <w:gridSpan w:val="3"/>
            <w:vAlign w:val="center"/>
          </w:tcPr>
          <w:p>
            <w:pPr>
              <w:autoSpaceDE/>
              <w:autoSpaceDN/>
              <w:adjustRightInd/>
              <w:spacing w:line="360" w:lineRule="exact"/>
              <w:ind w:right="-168" w:rightChars="-70"/>
              <w:rPr>
                <w:rFonts w:hint="default" w:ascii="仿宋_GB2312" w:hAnsi="Times New Roman" w:eastAsia="仿宋_GB2312"/>
                <w:color w:val="FF0000"/>
                <w:kern w:val="2"/>
                <w:szCs w:val="22"/>
              </w:rPr>
            </w:pPr>
            <w:r>
              <w:rPr>
                <w:rFonts w:ascii="仿宋_GB2312" w:hAnsi="Times New Roman" w:eastAsia="仿宋_GB2312"/>
                <w:color w:val="000000"/>
                <w:kern w:val="2"/>
                <w:szCs w:val="22"/>
              </w:rPr>
              <w:t>证书申报</w:t>
            </w:r>
          </w:p>
        </w:tc>
        <w:tc>
          <w:tcPr>
            <w:tcW w:w="6103" w:type="dxa"/>
            <w:gridSpan w:val="9"/>
            <w:vAlign w:val="center"/>
          </w:tcPr>
          <w:p>
            <w:pPr>
              <w:autoSpaceDE/>
              <w:autoSpaceDN/>
              <w:adjustRightInd/>
              <w:spacing w:line="360" w:lineRule="exact"/>
              <w:ind w:right="-168" w:rightChars="-70"/>
              <w:rPr>
                <w:rFonts w:hint="default" w:ascii="仿宋_GB2312" w:hAnsi="Times New Roman" w:eastAsia="仿宋_GB2312"/>
                <w:color w:val="FF0000"/>
                <w:kern w:val="2"/>
                <w:szCs w:val="22"/>
              </w:rPr>
            </w:pPr>
            <w:r>
              <w:rPr>
                <w:rFonts w:hint="default" w:ascii="仿宋_GB2312" w:hAnsi="Times New Roman" w:eastAsia="仿宋_GB2312"/>
                <w:color w:val="000000"/>
                <w:kern w:val="2"/>
                <w:szCs w:val="22"/>
              </w:rPr>
              <w:t>《战略规划管理师》</w:t>
            </w:r>
            <w:r>
              <w:rPr>
                <w:rFonts w:ascii="仿宋_GB2312" w:hAnsi="Times New Roman" w:eastAsia="仿宋_GB2312"/>
                <w:color w:val="000000"/>
                <w:kern w:val="2"/>
                <w:szCs w:val="22"/>
              </w:rPr>
              <w:t>□ 《高级人力资源经理》□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665" w:type="dxa"/>
            <w:vAlign w:val="center"/>
          </w:tcPr>
          <w:p>
            <w:pPr>
              <w:autoSpaceDE/>
              <w:autoSpaceDN/>
              <w:adjustRightInd/>
              <w:spacing w:line="360" w:lineRule="exact"/>
              <w:ind w:right="-168" w:rightChars="-70"/>
              <w:jc w:val="center"/>
              <w:rPr>
                <w:rFonts w:hint="default" w:ascii="仿宋_GB2312" w:hAnsi="Times New Roman" w:eastAsia="仿宋_GB2312"/>
                <w:bCs/>
                <w:kern w:val="2"/>
                <w:szCs w:val="22"/>
              </w:rPr>
            </w:pPr>
            <w:r>
              <w:rPr>
                <w:rFonts w:ascii="仿宋_GB2312" w:hAnsi="Times New Roman" w:eastAsia="仿宋_GB2312"/>
                <w:bCs/>
                <w:kern w:val="2"/>
                <w:szCs w:val="22"/>
              </w:rPr>
              <w:t>标准选项</w:t>
            </w:r>
          </w:p>
        </w:tc>
        <w:tc>
          <w:tcPr>
            <w:tcW w:w="8095" w:type="dxa"/>
            <w:gridSpan w:val="11"/>
            <w:vAlign w:val="center"/>
          </w:tcPr>
          <w:p>
            <w:pPr>
              <w:autoSpaceDE/>
              <w:autoSpaceDN/>
              <w:adjustRightInd/>
              <w:spacing w:line="360" w:lineRule="exact"/>
              <w:ind w:right="-168" w:rightChars="-70"/>
              <w:rPr>
                <w:rFonts w:hint="default" w:ascii="仿宋_GB2312" w:hAnsi="Times New Roman" w:eastAsia="仿宋_GB2312"/>
                <w:color w:val="000000"/>
                <w:kern w:val="2"/>
                <w:szCs w:val="22"/>
              </w:rPr>
            </w:pPr>
            <w:r>
              <w:rPr>
                <w:rFonts w:hint="default" w:ascii="仿宋_GB2312" w:eastAsia="仿宋_GB2312" w:cs="宋体"/>
                <w:color w:val="000000"/>
                <w:sz w:val="28"/>
                <w:szCs w:val="28"/>
              </w:rPr>
              <w:t>A：2980元□       B：3980元□     C</w:t>
            </w:r>
            <w:r>
              <w:rPr>
                <w:rFonts w:ascii="仿宋_GB2312" w:eastAsia="仿宋_GB2312" w:cs="宋体"/>
                <w:color w:val="000000"/>
                <w:sz w:val="28"/>
                <w:szCs w:val="28"/>
              </w:rPr>
              <w:t>：5</w:t>
            </w:r>
            <w:r>
              <w:rPr>
                <w:rFonts w:hint="default" w:ascii="仿宋_GB2312" w:eastAsia="仿宋_GB2312" w:cs="宋体"/>
                <w:color w:val="000000"/>
                <w:sz w:val="28"/>
                <w:szCs w:val="28"/>
              </w:rPr>
              <w:t>980元□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665" w:type="dxa"/>
          </w:tcPr>
          <w:p>
            <w:pPr>
              <w:autoSpaceDE/>
              <w:autoSpaceDN/>
              <w:adjustRightInd/>
              <w:spacing w:line="360" w:lineRule="exact"/>
              <w:ind w:right="-168" w:rightChars="-70"/>
              <w:jc w:val="center"/>
              <w:rPr>
                <w:rFonts w:hint="default" w:ascii="仿宋_GB2312" w:hAnsi="Times New Roman" w:eastAsia="仿宋_GB2312"/>
                <w:bCs/>
                <w:kern w:val="2"/>
                <w:szCs w:val="22"/>
              </w:rPr>
            </w:pPr>
            <w:r>
              <w:rPr>
                <w:rFonts w:ascii="仿宋_GB2312" w:hAnsi="Times New Roman" w:eastAsia="仿宋_GB2312"/>
                <w:bCs/>
                <w:kern w:val="2"/>
                <w:szCs w:val="22"/>
              </w:rPr>
              <w:t>付款方式</w:t>
            </w:r>
          </w:p>
        </w:tc>
        <w:tc>
          <w:tcPr>
            <w:tcW w:w="4278" w:type="dxa"/>
            <w:gridSpan w:val="5"/>
          </w:tcPr>
          <w:p>
            <w:pPr>
              <w:widowControl/>
              <w:autoSpaceDE/>
              <w:autoSpaceDN/>
              <w:adjustRightInd/>
              <w:spacing w:line="360" w:lineRule="exact"/>
              <w:ind w:right="-168" w:rightChars="-70"/>
              <w:jc w:val="center"/>
              <w:rPr>
                <w:rFonts w:hint="default" w:ascii="仿宋_GB2312" w:hAnsi="Times New Roman" w:eastAsia="仿宋_GB2312"/>
                <w:kern w:val="2"/>
                <w:szCs w:val="22"/>
              </w:rPr>
            </w:pPr>
            <w:r>
              <w:rPr>
                <w:rFonts w:ascii="仿宋_GB2312" w:hAnsi="Times New Roman" w:eastAsia="仿宋_GB2312"/>
                <w:kern w:val="2"/>
                <w:szCs w:val="22"/>
              </w:rPr>
              <w:t xml:space="preserve">□银行     □网银 </w:t>
            </w:r>
          </w:p>
        </w:tc>
        <w:tc>
          <w:tcPr>
            <w:tcW w:w="997" w:type="dxa"/>
            <w:gridSpan w:val="3"/>
          </w:tcPr>
          <w:p>
            <w:pPr>
              <w:widowControl/>
              <w:autoSpaceDE/>
              <w:autoSpaceDN/>
              <w:adjustRightInd/>
              <w:spacing w:line="360" w:lineRule="exact"/>
              <w:ind w:right="-168" w:rightChars="-70"/>
              <w:jc w:val="center"/>
              <w:rPr>
                <w:rFonts w:hint="default" w:ascii="仿宋_GB2312" w:hAnsi="Times New Roman" w:eastAsia="仿宋_GB2312"/>
                <w:kern w:val="2"/>
                <w:szCs w:val="22"/>
              </w:rPr>
            </w:pPr>
            <w:r>
              <w:rPr>
                <w:rFonts w:ascii="仿宋_GB2312" w:hAnsi="Times New Roman" w:eastAsia="仿宋_GB2312"/>
                <w:kern w:val="2"/>
                <w:szCs w:val="22"/>
              </w:rPr>
              <w:t>金额</w:t>
            </w:r>
          </w:p>
        </w:tc>
        <w:tc>
          <w:tcPr>
            <w:tcW w:w="2820" w:type="dxa"/>
            <w:gridSpan w:val="3"/>
          </w:tcPr>
          <w:p>
            <w:pPr>
              <w:widowControl/>
              <w:autoSpaceDE/>
              <w:autoSpaceDN/>
              <w:adjustRightInd/>
              <w:spacing w:line="360" w:lineRule="exact"/>
              <w:ind w:right="-168" w:rightChars="-70"/>
              <w:jc w:val="center"/>
              <w:rPr>
                <w:rFonts w:hint="default" w:ascii="仿宋_GB2312" w:hAnsi="Times New Roman" w:eastAsia="仿宋_GB2312"/>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1665" w:type="dxa"/>
            <w:vAlign w:val="center"/>
          </w:tcPr>
          <w:p>
            <w:pPr>
              <w:autoSpaceDE/>
              <w:autoSpaceDN/>
              <w:adjustRightInd/>
              <w:spacing w:line="360" w:lineRule="exact"/>
              <w:ind w:right="-168" w:rightChars="-70"/>
              <w:jc w:val="center"/>
              <w:rPr>
                <w:rFonts w:hint="default" w:ascii="仿宋_GB2312" w:hAnsi="Times New Roman" w:eastAsia="仿宋_GB2312"/>
                <w:bCs/>
                <w:kern w:val="2"/>
                <w:szCs w:val="22"/>
              </w:rPr>
            </w:pPr>
            <w:r>
              <w:rPr>
                <w:rFonts w:ascii="仿宋_GB2312" w:hAnsi="Times New Roman" w:eastAsia="仿宋_GB2312"/>
                <w:bCs/>
                <w:kern w:val="2"/>
                <w:szCs w:val="22"/>
              </w:rPr>
              <w:t>需要与专家</w:t>
            </w:r>
          </w:p>
          <w:p>
            <w:pPr>
              <w:autoSpaceDE/>
              <w:autoSpaceDN/>
              <w:adjustRightInd/>
              <w:spacing w:line="360" w:lineRule="exact"/>
              <w:ind w:right="-168" w:rightChars="-70"/>
              <w:jc w:val="center"/>
              <w:rPr>
                <w:rFonts w:hint="default" w:ascii="仿宋_GB2312" w:hAnsi="Times New Roman" w:eastAsia="仿宋_GB2312"/>
                <w:bCs/>
                <w:kern w:val="2"/>
                <w:szCs w:val="22"/>
              </w:rPr>
            </w:pPr>
            <w:r>
              <w:rPr>
                <w:rFonts w:ascii="仿宋_GB2312" w:hAnsi="Times New Roman" w:eastAsia="仿宋_GB2312"/>
                <w:bCs/>
                <w:kern w:val="2"/>
                <w:szCs w:val="22"/>
              </w:rPr>
              <w:t>沟通的问题</w:t>
            </w:r>
          </w:p>
        </w:tc>
        <w:tc>
          <w:tcPr>
            <w:tcW w:w="8095" w:type="dxa"/>
            <w:gridSpan w:val="11"/>
          </w:tcPr>
          <w:p>
            <w:pPr>
              <w:widowControl/>
              <w:autoSpaceDE/>
              <w:autoSpaceDN/>
              <w:adjustRightInd/>
              <w:spacing w:line="360" w:lineRule="exact"/>
              <w:ind w:right="-168" w:rightChars="-70"/>
              <w:jc w:val="center"/>
              <w:rPr>
                <w:rFonts w:hint="default" w:ascii="仿宋_GB2312" w:hAnsi="Times New Roman" w:eastAsia="仿宋_GB2312"/>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8" w:hRule="atLeast"/>
        </w:trPr>
        <w:tc>
          <w:tcPr>
            <w:tcW w:w="1665" w:type="dxa"/>
            <w:vAlign w:val="center"/>
          </w:tcPr>
          <w:p>
            <w:pPr>
              <w:autoSpaceDE/>
              <w:autoSpaceDN/>
              <w:adjustRightInd/>
              <w:spacing w:line="360" w:lineRule="exact"/>
              <w:ind w:right="-168" w:rightChars="-70"/>
              <w:jc w:val="center"/>
              <w:rPr>
                <w:rFonts w:hint="default" w:ascii="仿宋_GB2312" w:hAnsi="Times New Roman" w:eastAsia="仿宋_GB2312"/>
                <w:kern w:val="2"/>
                <w:szCs w:val="22"/>
              </w:rPr>
            </w:pPr>
            <w:r>
              <w:rPr>
                <w:rFonts w:ascii="仿宋_GB2312" w:hAnsi="Times New Roman" w:eastAsia="仿宋_GB2312"/>
                <w:bCs/>
                <w:kern w:val="2"/>
                <w:szCs w:val="22"/>
              </w:rPr>
              <w:t>收款账户</w:t>
            </w:r>
          </w:p>
        </w:tc>
        <w:tc>
          <w:tcPr>
            <w:tcW w:w="8095" w:type="dxa"/>
            <w:gridSpan w:val="11"/>
            <w:vAlign w:val="center"/>
          </w:tcPr>
          <w:p>
            <w:pPr>
              <w:widowControl/>
              <w:spacing w:line="360" w:lineRule="exact"/>
              <w:rPr>
                <w:rFonts w:hint="default" w:ascii="仿宋" w:hAnsi="仿宋" w:eastAsia="仿宋" w:cs="仿宋"/>
                <w:lang w:val="zh-CN"/>
              </w:rPr>
            </w:pPr>
            <w:r>
              <w:rPr>
                <w:rFonts w:ascii="仿宋" w:hAnsi="仿宋" w:eastAsia="仿宋" w:cs="仿宋"/>
                <w:lang w:val="zh-CN"/>
              </w:rPr>
              <w:t xml:space="preserve">单位名称： 北京中建科信管理咨询集团有限公司 </w:t>
            </w:r>
          </w:p>
          <w:p>
            <w:pPr>
              <w:widowControl/>
              <w:spacing w:line="360" w:lineRule="exact"/>
              <w:rPr>
                <w:rFonts w:hint="default" w:ascii="仿宋" w:hAnsi="仿宋" w:eastAsia="仿宋" w:cs="仿宋"/>
                <w:lang w:val="zh-CN"/>
              </w:rPr>
            </w:pPr>
            <w:r>
              <w:rPr>
                <w:rFonts w:ascii="仿宋" w:hAnsi="仿宋" w:eastAsia="仿宋" w:cs="仿宋"/>
                <w:lang w:val="zh-CN"/>
              </w:rPr>
              <w:t xml:space="preserve">开户行： 中国工商银行股份有限公司北京半壁店支行 </w:t>
            </w:r>
          </w:p>
          <w:p>
            <w:pPr>
              <w:spacing w:line="360" w:lineRule="exact"/>
              <w:rPr>
                <w:rFonts w:hint="default" w:ascii="仿宋_GB2312" w:hAnsi="Times New Roman" w:eastAsia="仿宋_GB2312"/>
                <w:b/>
                <w:bCs/>
                <w:kern w:val="2"/>
                <w:sz w:val="28"/>
                <w:szCs w:val="28"/>
              </w:rPr>
            </w:pPr>
            <w:r>
              <w:rPr>
                <w:rFonts w:ascii="仿宋" w:hAnsi="仿宋" w:eastAsia="仿宋" w:cs="仿宋"/>
                <w:lang w:val="zh-CN"/>
              </w:rPr>
              <w:t>账号： 0200247009200068235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trPr>
        <w:tc>
          <w:tcPr>
            <w:tcW w:w="1665" w:type="dxa"/>
            <w:vAlign w:val="center"/>
          </w:tcPr>
          <w:p>
            <w:pPr>
              <w:autoSpaceDE/>
              <w:autoSpaceDN/>
              <w:adjustRightInd/>
              <w:spacing w:line="360" w:lineRule="exact"/>
              <w:ind w:right="-168" w:rightChars="-70"/>
              <w:jc w:val="center"/>
              <w:rPr>
                <w:rFonts w:hint="default" w:ascii="仿宋_GB2312" w:hAnsi="Times New Roman" w:eastAsia="仿宋_GB2312"/>
                <w:bCs/>
                <w:kern w:val="2"/>
                <w:szCs w:val="22"/>
              </w:rPr>
            </w:pPr>
            <w:r>
              <w:rPr>
                <w:rFonts w:ascii="仿宋_GB2312" w:hAnsi="Times New Roman" w:eastAsia="仿宋_GB2312"/>
                <w:bCs/>
                <w:kern w:val="2"/>
                <w:szCs w:val="22"/>
              </w:rPr>
              <w:t>备注</w:t>
            </w:r>
          </w:p>
        </w:tc>
        <w:tc>
          <w:tcPr>
            <w:tcW w:w="4668" w:type="dxa"/>
            <w:gridSpan w:val="6"/>
            <w:vAlign w:val="center"/>
          </w:tcPr>
          <w:p>
            <w:pPr>
              <w:autoSpaceDE/>
              <w:autoSpaceDN/>
              <w:adjustRightInd/>
              <w:spacing w:line="360" w:lineRule="exact"/>
              <w:ind w:right="-168" w:rightChars="-70"/>
              <w:rPr>
                <w:rFonts w:hint="default" w:ascii="仿宋_GB2312" w:hAnsi="Times New Roman" w:eastAsia="仿宋_GB2312"/>
                <w:kern w:val="2"/>
                <w:szCs w:val="22"/>
              </w:rPr>
            </w:pPr>
            <w:r>
              <w:rPr>
                <w:rFonts w:ascii="仿宋_GB2312" w:eastAsia="仿宋_GB2312"/>
                <w:szCs w:val="22"/>
              </w:rPr>
              <w:t>请将《报名回执表》回传至会务组，并在报名3日内办理培训费，会务组确认到款后即发《参会凭证》，详细说明培训安排具体事项。</w:t>
            </w:r>
          </w:p>
        </w:tc>
        <w:tc>
          <w:tcPr>
            <w:tcW w:w="3427" w:type="dxa"/>
            <w:gridSpan w:val="5"/>
            <w:vAlign w:val="center"/>
          </w:tcPr>
          <w:p>
            <w:pPr>
              <w:autoSpaceDE/>
              <w:autoSpaceDN/>
              <w:adjustRightInd/>
              <w:spacing w:line="360" w:lineRule="exact"/>
              <w:ind w:right="-168" w:rightChars="-70" w:firstLine="1080" w:firstLineChars="450"/>
              <w:jc w:val="both"/>
              <w:rPr>
                <w:rFonts w:hint="default" w:ascii="仿宋_GB2312" w:hAnsi="Times New Roman" w:eastAsia="仿宋_GB2312"/>
                <w:kern w:val="2"/>
                <w:szCs w:val="22"/>
              </w:rPr>
            </w:pPr>
            <w:r>
              <w:rPr>
                <w:rFonts w:ascii="仿宋_GB2312" w:hAnsi="Times New Roman" w:eastAsia="仿宋_GB2312"/>
                <w:kern w:val="2"/>
                <w:szCs w:val="22"/>
              </w:rPr>
              <w:t>单位印章</w:t>
            </w:r>
          </w:p>
          <w:p>
            <w:pPr>
              <w:autoSpaceDE/>
              <w:autoSpaceDN/>
              <w:adjustRightInd/>
              <w:spacing w:line="360" w:lineRule="exact"/>
              <w:ind w:right="-168" w:rightChars="-70" w:firstLine="720" w:firstLineChars="300"/>
              <w:jc w:val="both"/>
              <w:rPr>
                <w:rFonts w:hint="default" w:ascii="仿宋_GB2312" w:hAnsi="Times New Roman" w:eastAsia="仿宋_GB2312"/>
                <w:kern w:val="2"/>
                <w:szCs w:val="22"/>
              </w:rPr>
            </w:pPr>
            <w:r>
              <w:rPr>
                <w:rFonts w:ascii="仿宋_GB2312" w:hAnsi="Times New Roman" w:eastAsia="仿宋_GB2312"/>
                <w:kern w:val="2"/>
                <w:szCs w:val="22"/>
              </w:rPr>
              <w:t>202</w:t>
            </w:r>
            <w:r>
              <w:rPr>
                <w:rFonts w:hint="eastAsia" w:ascii="仿宋_GB2312" w:hAnsi="Times New Roman" w:eastAsia="仿宋_GB2312"/>
                <w:kern w:val="2"/>
                <w:szCs w:val="22"/>
                <w:lang w:val="en-US" w:eastAsia="zh-CN"/>
              </w:rPr>
              <w:t>1</w:t>
            </w:r>
            <w:r>
              <w:rPr>
                <w:rFonts w:ascii="仿宋_GB2312" w:hAnsi="Times New Roman" w:eastAsia="仿宋_GB2312"/>
                <w:kern w:val="2"/>
                <w:szCs w:val="22"/>
              </w:rPr>
              <w:t>年  月  日</w:t>
            </w:r>
          </w:p>
        </w:tc>
      </w:tr>
    </w:tbl>
    <w:p>
      <w:pPr>
        <w:widowControl/>
        <w:autoSpaceDE/>
        <w:autoSpaceDN/>
        <w:spacing w:line="360" w:lineRule="exact"/>
        <w:jc w:val="center"/>
        <w:rPr>
          <w:rStyle w:val="10"/>
          <w:rFonts w:hint="default" w:cs="黑体"/>
          <w:sz w:val="28"/>
          <w:szCs w:val="28"/>
          <w:lang w:val="zh-CN"/>
        </w:rPr>
      </w:pPr>
    </w:p>
    <w:p>
      <w:pPr>
        <w:autoSpaceDE/>
        <w:autoSpaceDN/>
        <w:adjustRightInd/>
        <w:spacing w:line="320" w:lineRule="exact"/>
        <w:ind w:firstLine="600" w:firstLineChars="200"/>
        <w:jc w:val="both"/>
        <w:rPr>
          <w:rFonts w:hint="eastAsia" w:ascii="仿宋" w:hAnsi="仿宋" w:eastAsia="仿宋" w:cs="仿宋"/>
          <w:bCs/>
          <w:kern w:val="2"/>
          <w:sz w:val="30"/>
          <w:szCs w:val="30"/>
        </w:rPr>
      </w:pPr>
      <w:r>
        <w:rPr>
          <w:rFonts w:ascii="仿宋" w:hAnsi="仿宋" w:eastAsia="仿宋" w:cs="仿宋"/>
          <w:bCs/>
          <w:kern w:val="2"/>
          <w:sz w:val="30"/>
          <w:szCs w:val="30"/>
        </w:rPr>
        <w:t>联</w:t>
      </w:r>
      <w:r>
        <w:rPr>
          <w:rFonts w:hint="eastAsia" w:ascii="仿宋" w:hAnsi="仿宋" w:eastAsia="仿宋" w:cs="仿宋"/>
          <w:bCs/>
          <w:kern w:val="2"/>
          <w:sz w:val="30"/>
          <w:szCs w:val="30"/>
        </w:rPr>
        <w:t xml:space="preserve">报名负责人：聂红军 主任18211071700（微信）   </w:t>
      </w:r>
    </w:p>
    <w:p>
      <w:pPr>
        <w:autoSpaceDE/>
        <w:autoSpaceDN/>
        <w:adjustRightInd/>
        <w:spacing w:line="320" w:lineRule="exact"/>
        <w:ind w:firstLine="600" w:firstLineChars="200"/>
        <w:jc w:val="both"/>
        <w:rPr>
          <w:rFonts w:hint="eastAsia" w:ascii="仿宋" w:hAnsi="仿宋" w:eastAsia="仿宋" w:cs="仿宋"/>
          <w:bCs/>
          <w:kern w:val="2"/>
          <w:sz w:val="30"/>
          <w:szCs w:val="30"/>
        </w:rPr>
      </w:pPr>
      <w:r>
        <w:rPr>
          <w:rFonts w:hint="eastAsia" w:ascii="仿宋" w:hAnsi="仿宋" w:eastAsia="仿宋" w:cs="仿宋"/>
          <w:bCs/>
          <w:kern w:val="2"/>
          <w:sz w:val="30"/>
          <w:szCs w:val="30"/>
        </w:rPr>
        <w:t xml:space="preserve">电  话：010-87697580      邮    箱：zqgphwz@126.com  </w:t>
      </w:r>
    </w:p>
    <w:p>
      <w:pPr>
        <w:autoSpaceDE/>
        <w:autoSpaceDN/>
        <w:adjustRightInd/>
        <w:spacing w:line="320" w:lineRule="exact"/>
        <w:ind w:firstLine="600" w:firstLineChars="200"/>
        <w:jc w:val="both"/>
        <w:rPr>
          <w:rFonts w:hint="default" w:ascii="仿宋" w:hAnsi="仿宋" w:eastAsia="仿宋" w:cs="仿宋"/>
          <w:bCs/>
          <w:kern w:val="2"/>
          <w:sz w:val="30"/>
          <w:szCs w:val="30"/>
        </w:rPr>
      </w:pPr>
      <w:r>
        <w:rPr>
          <w:rFonts w:hint="eastAsia" w:ascii="仿宋" w:hAnsi="仿宋" w:eastAsia="仿宋" w:cs="仿宋"/>
          <w:bCs/>
          <w:kern w:val="2"/>
          <w:sz w:val="30"/>
          <w:szCs w:val="30"/>
        </w:rPr>
        <w:t xml:space="preserve">qq咨询：3177524020     </w:t>
      </w:r>
      <w:bookmarkStart w:id="0" w:name="_GoBack"/>
      <w:bookmarkEnd w:id="0"/>
      <w:r>
        <w:rPr>
          <w:rFonts w:hint="eastAsia" w:ascii="仿宋" w:hAnsi="仿宋" w:eastAsia="仿宋" w:cs="仿宋"/>
          <w:bCs/>
          <w:kern w:val="2"/>
          <w:sz w:val="30"/>
          <w:szCs w:val="30"/>
        </w:rPr>
        <w:t>网址查询：http://www.zqgpchina.cn/</w:t>
      </w:r>
    </w:p>
    <w:p>
      <w:pPr>
        <w:rPr>
          <w:rFonts w:hint="default" w:ascii="仿宋" w:hAnsi="仿宋" w:eastAsia="仿宋" w:cs="仿宋"/>
          <w:bCs/>
          <w:kern w:val="2"/>
          <w:sz w:val="30"/>
          <w:szCs w:val="30"/>
        </w:rPr>
      </w:pPr>
    </w:p>
    <w:sectPr>
      <w:footerReference r:id="rId3" w:type="default"/>
      <w:pgSz w:w="11906" w:h="16838"/>
      <w:pgMar w:top="1440" w:right="1474" w:bottom="1440" w:left="1474" w:header="851"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楷体">
    <w:altName w:val="楷体_GB2312"/>
    <w:panose1 w:val="02010609060101010101"/>
    <w:charset w:val="86"/>
    <w:family w:val="modern"/>
    <w:pitch w:val="default"/>
    <w:sig w:usb0="00000000" w:usb1="00000000" w:usb2="00000016" w:usb3="00000000" w:csb0="00040001" w:csb1="00000000"/>
  </w:font>
  <w:font w:name="仿宋">
    <w:altName w:val="Arial Unicode MS"/>
    <w:panose1 w:val="02010609060101010101"/>
    <w:charset w:val="86"/>
    <w:family w:val="modern"/>
    <w:pitch w:val="default"/>
    <w:sig w:usb0="00000000" w:usb1="00000000"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default"/>
      </w:rPr>
    </w:pPr>
    <w:r>
      <w:rPr>
        <w:rFonts w:hint="default"/>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hint="default"/>
                            </w:rPr>
                          </w:pPr>
                          <w:r>
                            <w:fldChar w:fldCharType="begin"/>
                          </w:r>
                          <w:r>
                            <w:instrText xml:space="preserve"> PAGE  \* MERGEFORMAT </w:instrText>
                          </w:r>
                          <w:r>
                            <w:fldChar w:fldCharType="separate"/>
                          </w:r>
                          <w:r>
                            <w:rPr>
                              <w:rFonts w:hint="default"/>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pE+Zc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J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RPmXMQIAAGMEAAAOAAAAAAAAAAEAIAAAAB8BAABkcnMvZTJvRG9jLnhtbFBLBQYA&#10;AAAABgAGAFkBAADCBQAAAAA=&#10;">
              <v:fill on="f" focussize="0,0"/>
              <v:stroke on="f" weight="0.5pt"/>
              <v:imagedata o:title=""/>
              <o:lock v:ext="edit" aspectratio="f"/>
              <v:textbox inset="0mm,0mm,0mm,0mm" style="mso-fit-shape-to-text:t;">
                <w:txbxContent>
                  <w:p>
                    <w:pPr>
                      <w:pStyle w:val="5"/>
                      <w:rPr>
                        <w:rFonts w:hint="default"/>
                      </w:rPr>
                    </w:pPr>
                    <w:r>
                      <w:fldChar w:fldCharType="begin"/>
                    </w:r>
                    <w:r>
                      <w:instrText xml:space="preserve"> PAGE  \* MERGEFORMAT </w:instrText>
                    </w:r>
                    <w:r>
                      <w:fldChar w:fldCharType="separate"/>
                    </w:r>
                    <w:r>
                      <w:rPr>
                        <w:rFonts w:hint="default"/>
                      </w:rP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20"/>
  <w:drawingGridVerticalSpacing w:val="163"/>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718"/>
    <w:rsid w:val="000044B5"/>
    <w:rsid w:val="000111BB"/>
    <w:rsid w:val="00021EF2"/>
    <w:rsid w:val="00035C2D"/>
    <w:rsid w:val="00035E76"/>
    <w:rsid w:val="00035F93"/>
    <w:rsid w:val="0004463B"/>
    <w:rsid w:val="00067BD4"/>
    <w:rsid w:val="00073C5E"/>
    <w:rsid w:val="0009163D"/>
    <w:rsid w:val="0009632B"/>
    <w:rsid w:val="000B3CED"/>
    <w:rsid w:val="000B5CF0"/>
    <w:rsid w:val="000E468A"/>
    <w:rsid w:val="000F0735"/>
    <w:rsid w:val="001477F4"/>
    <w:rsid w:val="00154EF3"/>
    <w:rsid w:val="00172461"/>
    <w:rsid w:val="001B15FC"/>
    <w:rsid w:val="001D5820"/>
    <w:rsid w:val="001F266D"/>
    <w:rsid w:val="001F2CC6"/>
    <w:rsid w:val="001F5DBA"/>
    <w:rsid w:val="002016D4"/>
    <w:rsid w:val="00227088"/>
    <w:rsid w:val="00234D81"/>
    <w:rsid w:val="0023794D"/>
    <w:rsid w:val="0024067D"/>
    <w:rsid w:val="002733FA"/>
    <w:rsid w:val="002A5354"/>
    <w:rsid w:val="002C0C87"/>
    <w:rsid w:val="002D7C2D"/>
    <w:rsid w:val="00303B6C"/>
    <w:rsid w:val="00360AC6"/>
    <w:rsid w:val="00361B23"/>
    <w:rsid w:val="00362096"/>
    <w:rsid w:val="00366D1D"/>
    <w:rsid w:val="003843DE"/>
    <w:rsid w:val="003A1259"/>
    <w:rsid w:val="003A6A3F"/>
    <w:rsid w:val="003D3698"/>
    <w:rsid w:val="003E039A"/>
    <w:rsid w:val="003F712A"/>
    <w:rsid w:val="004127EC"/>
    <w:rsid w:val="00417F3A"/>
    <w:rsid w:val="0042016E"/>
    <w:rsid w:val="0042243A"/>
    <w:rsid w:val="0042509D"/>
    <w:rsid w:val="00444929"/>
    <w:rsid w:val="0045207C"/>
    <w:rsid w:val="00490AAB"/>
    <w:rsid w:val="00491230"/>
    <w:rsid w:val="004A463C"/>
    <w:rsid w:val="004C2C6B"/>
    <w:rsid w:val="004E33BE"/>
    <w:rsid w:val="00510FDD"/>
    <w:rsid w:val="00520FF8"/>
    <w:rsid w:val="005230FF"/>
    <w:rsid w:val="00524A3E"/>
    <w:rsid w:val="005258A8"/>
    <w:rsid w:val="00540080"/>
    <w:rsid w:val="00541B75"/>
    <w:rsid w:val="00544181"/>
    <w:rsid w:val="00566878"/>
    <w:rsid w:val="00572630"/>
    <w:rsid w:val="005C332F"/>
    <w:rsid w:val="005C5022"/>
    <w:rsid w:val="00600FA8"/>
    <w:rsid w:val="006011E8"/>
    <w:rsid w:val="00601C30"/>
    <w:rsid w:val="00605B40"/>
    <w:rsid w:val="00616606"/>
    <w:rsid w:val="00656947"/>
    <w:rsid w:val="00657822"/>
    <w:rsid w:val="00670351"/>
    <w:rsid w:val="00695CC8"/>
    <w:rsid w:val="006B1F90"/>
    <w:rsid w:val="006B3A84"/>
    <w:rsid w:val="006E23D4"/>
    <w:rsid w:val="006E54CB"/>
    <w:rsid w:val="006F117C"/>
    <w:rsid w:val="006F58F0"/>
    <w:rsid w:val="006F745F"/>
    <w:rsid w:val="00724E89"/>
    <w:rsid w:val="00760628"/>
    <w:rsid w:val="00786656"/>
    <w:rsid w:val="007B7767"/>
    <w:rsid w:val="007C1475"/>
    <w:rsid w:val="007F5FC8"/>
    <w:rsid w:val="00832BCD"/>
    <w:rsid w:val="00836463"/>
    <w:rsid w:val="00852A49"/>
    <w:rsid w:val="00856C67"/>
    <w:rsid w:val="00860964"/>
    <w:rsid w:val="00882120"/>
    <w:rsid w:val="008B199B"/>
    <w:rsid w:val="008C6426"/>
    <w:rsid w:val="008E378E"/>
    <w:rsid w:val="008E47B6"/>
    <w:rsid w:val="008E633F"/>
    <w:rsid w:val="008E79C6"/>
    <w:rsid w:val="008F08D1"/>
    <w:rsid w:val="00916F8F"/>
    <w:rsid w:val="009176A2"/>
    <w:rsid w:val="00920D6E"/>
    <w:rsid w:val="00925415"/>
    <w:rsid w:val="009308F0"/>
    <w:rsid w:val="00930C9B"/>
    <w:rsid w:val="00935C8F"/>
    <w:rsid w:val="009418F0"/>
    <w:rsid w:val="00941E9F"/>
    <w:rsid w:val="00957A5B"/>
    <w:rsid w:val="00976288"/>
    <w:rsid w:val="00981D3A"/>
    <w:rsid w:val="009A4718"/>
    <w:rsid w:val="009D1BF9"/>
    <w:rsid w:val="009D3B47"/>
    <w:rsid w:val="009E1973"/>
    <w:rsid w:val="009F3CD3"/>
    <w:rsid w:val="009F5906"/>
    <w:rsid w:val="00A03547"/>
    <w:rsid w:val="00A21947"/>
    <w:rsid w:val="00A35661"/>
    <w:rsid w:val="00A365AD"/>
    <w:rsid w:val="00A55121"/>
    <w:rsid w:val="00A6651E"/>
    <w:rsid w:val="00A76A48"/>
    <w:rsid w:val="00AB4C35"/>
    <w:rsid w:val="00AF6597"/>
    <w:rsid w:val="00B055A5"/>
    <w:rsid w:val="00B36FBC"/>
    <w:rsid w:val="00B76E68"/>
    <w:rsid w:val="00B865F7"/>
    <w:rsid w:val="00B87A6C"/>
    <w:rsid w:val="00B953A2"/>
    <w:rsid w:val="00BA0443"/>
    <w:rsid w:val="00BC37A5"/>
    <w:rsid w:val="00BE0FB0"/>
    <w:rsid w:val="00BE5173"/>
    <w:rsid w:val="00BF18E2"/>
    <w:rsid w:val="00C04F37"/>
    <w:rsid w:val="00C10B2E"/>
    <w:rsid w:val="00C110F8"/>
    <w:rsid w:val="00C44BC1"/>
    <w:rsid w:val="00C5747F"/>
    <w:rsid w:val="00C7524A"/>
    <w:rsid w:val="00C96EFB"/>
    <w:rsid w:val="00CF1181"/>
    <w:rsid w:val="00D142CC"/>
    <w:rsid w:val="00D47982"/>
    <w:rsid w:val="00D74547"/>
    <w:rsid w:val="00D77B8F"/>
    <w:rsid w:val="00DA154B"/>
    <w:rsid w:val="00DB5D24"/>
    <w:rsid w:val="00DB62D4"/>
    <w:rsid w:val="00DC5B74"/>
    <w:rsid w:val="00DF2C2A"/>
    <w:rsid w:val="00E23AA1"/>
    <w:rsid w:val="00E364AD"/>
    <w:rsid w:val="00E40FB3"/>
    <w:rsid w:val="00E51A5B"/>
    <w:rsid w:val="00E63E5B"/>
    <w:rsid w:val="00E73D9A"/>
    <w:rsid w:val="00EB3F9D"/>
    <w:rsid w:val="00EC2070"/>
    <w:rsid w:val="00EC557A"/>
    <w:rsid w:val="00ED0F3B"/>
    <w:rsid w:val="00F032D9"/>
    <w:rsid w:val="00F2027E"/>
    <w:rsid w:val="00F23CC4"/>
    <w:rsid w:val="00F31608"/>
    <w:rsid w:val="00F52CD5"/>
    <w:rsid w:val="00F65A5C"/>
    <w:rsid w:val="00F73A63"/>
    <w:rsid w:val="00F847DA"/>
    <w:rsid w:val="00FA5D57"/>
    <w:rsid w:val="00FE7832"/>
    <w:rsid w:val="01D575DF"/>
    <w:rsid w:val="02010140"/>
    <w:rsid w:val="020B184C"/>
    <w:rsid w:val="023508ED"/>
    <w:rsid w:val="02A06172"/>
    <w:rsid w:val="03322ED8"/>
    <w:rsid w:val="034E0A46"/>
    <w:rsid w:val="03591A3A"/>
    <w:rsid w:val="03960487"/>
    <w:rsid w:val="03C34D69"/>
    <w:rsid w:val="03CA468D"/>
    <w:rsid w:val="040D19ED"/>
    <w:rsid w:val="04227050"/>
    <w:rsid w:val="04CD2CB6"/>
    <w:rsid w:val="05445189"/>
    <w:rsid w:val="064E5209"/>
    <w:rsid w:val="06B920D9"/>
    <w:rsid w:val="06DD2DFE"/>
    <w:rsid w:val="06FF23B6"/>
    <w:rsid w:val="07744D8F"/>
    <w:rsid w:val="082736D7"/>
    <w:rsid w:val="09670DD9"/>
    <w:rsid w:val="09775B4F"/>
    <w:rsid w:val="09834B04"/>
    <w:rsid w:val="09BC4DC1"/>
    <w:rsid w:val="0A4F475D"/>
    <w:rsid w:val="0A6068B3"/>
    <w:rsid w:val="0AD85986"/>
    <w:rsid w:val="0B263D27"/>
    <w:rsid w:val="0B342C4E"/>
    <w:rsid w:val="0B38547E"/>
    <w:rsid w:val="0B963AD9"/>
    <w:rsid w:val="0CB407A4"/>
    <w:rsid w:val="0D1D7BBC"/>
    <w:rsid w:val="0D6816F1"/>
    <w:rsid w:val="0DEB38FB"/>
    <w:rsid w:val="0E334E87"/>
    <w:rsid w:val="0E4A5841"/>
    <w:rsid w:val="0E4E6BE0"/>
    <w:rsid w:val="0E5B5605"/>
    <w:rsid w:val="0E653794"/>
    <w:rsid w:val="0ED00BBE"/>
    <w:rsid w:val="0F0A6C7F"/>
    <w:rsid w:val="0F227C77"/>
    <w:rsid w:val="0F35059E"/>
    <w:rsid w:val="0FB52D69"/>
    <w:rsid w:val="101C413A"/>
    <w:rsid w:val="1076080C"/>
    <w:rsid w:val="10A30B74"/>
    <w:rsid w:val="10BA4BFA"/>
    <w:rsid w:val="116A33E2"/>
    <w:rsid w:val="11994A95"/>
    <w:rsid w:val="11AD3F6C"/>
    <w:rsid w:val="12154990"/>
    <w:rsid w:val="125D33C3"/>
    <w:rsid w:val="12624D08"/>
    <w:rsid w:val="127F0B86"/>
    <w:rsid w:val="12A223A0"/>
    <w:rsid w:val="12A75D12"/>
    <w:rsid w:val="130370BA"/>
    <w:rsid w:val="138676E1"/>
    <w:rsid w:val="144B78EE"/>
    <w:rsid w:val="14A4521A"/>
    <w:rsid w:val="14A45533"/>
    <w:rsid w:val="14F5183B"/>
    <w:rsid w:val="14FB37E7"/>
    <w:rsid w:val="15123C59"/>
    <w:rsid w:val="15D741F2"/>
    <w:rsid w:val="15F64273"/>
    <w:rsid w:val="16582B97"/>
    <w:rsid w:val="1668735B"/>
    <w:rsid w:val="16C51BCF"/>
    <w:rsid w:val="16D0026B"/>
    <w:rsid w:val="16D65119"/>
    <w:rsid w:val="17963566"/>
    <w:rsid w:val="17F36277"/>
    <w:rsid w:val="18152505"/>
    <w:rsid w:val="18315960"/>
    <w:rsid w:val="186C2CE5"/>
    <w:rsid w:val="18F95CA4"/>
    <w:rsid w:val="192270A3"/>
    <w:rsid w:val="19B51E31"/>
    <w:rsid w:val="1A9214E5"/>
    <w:rsid w:val="1AA41179"/>
    <w:rsid w:val="1B3D1A9E"/>
    <w:rsid w:val="1BB0272F"/>
    <w:rsid w:val="1BE72544"/>
    <w:rsid w:val="1C545D10"/>
    <w:rsid w:val="1C555446"/>
    <w:rsid w:val="1C6A4525"/>
    <w:rsid w:val="1CE765F5"/>
    <w:rsid w:val="1D3F2E3A"/>
    <w:rsid w:val="1DD221B5"/>
    <w:rsid w:val="1E4F7F49"/>
    <w:rsid w:val="1EC919C7"/>
    <w:rsid w:val="1ED6232C"/>
    <w:rsid w:val="1EF7164B"/>
    <w:rsid w:val="1EFC7295"/>
    <w:rsid w:val="1F4756F0"/>
    <w:rsid w:val="1F925D56"/>
    <w:rsid w:val="1FFA3FCD"/>
    <w:rsid w:val="20014536"/>
    <w:rsid w:val="2004540F"/>
    <w:rsid w:val="208D5A53"/>
    <w:rsid w:val="20ED6BF1"/>
    <w:rsid w:val="21154513"/>
    <w:rsid w:val="21FE02C4"/>
    <w:rsid w:val="21FF770B"/>
    <w:rsid w:val="226310D0"/>
    <w:rsid w:val="227026ED"/>
    <w:rsid w:val="227F122C"/>
    <w:rsid w:val="23357269"/>
    <w:rsid w:val="23457FDD"/>
    <w:rsid w:val="237E32ED"/>
    <w:rsid w:val="23DC2190"/>
    <w:rsid w:val="24D21B2B"/>
    <w:rsid w:val="24E20D27"/>
    <w:rsid w:val="24F32D6F"/>
    <w:rsid w:val="262C064B"/>
    <w:rsid w:val="263D67BA"/>
    <w:rsid w:val="26580C18"/>
    <w:rsid w:val="269814DC"/>
    <w:rsid w:val="26AF6904"/>
    <w:rsid w:val="26B9256C"/>
    <w:rsid w:val="26FC6F3B"/>
    <w:rsid w:val="28954560"/>
    <w:rsid w:val="289B156C"/>
    <w:rsid w:val="293A4DC4"/>
    <w:rsid w:val="293A614F"/>
    <w:rsid w:val="293F5C26"/>
    <w:rsid w:val="29625BA0"/>
    <w:rsid w:val="2A524616"/>
    <w:rsid w:val="2A777DE0"/>
    <w:rsid w:val="2B141FEE"/>
    <w:rsid w:val="2B4E4E92"/>
    <w:rsid w:val="2B884590"/>
    <w:rsid w:val="2BA75B24"/>
    <w:rsid w:val="2BB86403"/>
    <w:rsid w:val="2BCE67F3"/>
    <w:rsid w:val="2BFE6327"/>
    <w:rsid w:val="2C0F35C2"/>
    <w:rsid w:val="2CA61C7B"/>
    <w:rsid w:val="2D062817"/>
    <w:rsid w:val="2D19794B"/>
    <w:rsid w:val="2D260A12"/>
    <w:rsid w:val="2DCF26B6"/>
    <w:rsid w:val="2E117179"/>
    <w:rsid w:val="2E34342A"/>
    <w:rsid w:val="2E9A11AA"/>
    <w:rsid w:val="2EFC34D4"/>
    <w:rsid w:val="2F0F1A5E"/>
    <w:rsid w:val="2F7224C7"/>
    <w:rsid w:val="2FCA1B63"/>
    <w:rsid w:val="2FDB1A27"/>
    <w:rsid w:val="3049446D"/>
    <w:rsid w:val="307C1C46"/>
    <w:rsid w:val="31312DC4"/>
    <w:rsid w:val="31B202FA"/>
    <w:rsid w:val="320E6DB8"/>
    <w:rsid w:val="329B54CE"/>
    <w:rsid w:val="330658EE"/>
    <w:rsid w:val="33194E8B"/>
    <w:rsid w:val="33357C17"/>
    <w:rsid w:val="34BA2FEC"/>
    <w:rsid w:val="370A317A"/>
    <w:rsid w:val="374851A9"/>
    <w:rsid w:val="3751381C"/>
    <w:rsid w:val="377C7F4F"/>
    <w:rsid w:val="37AE71B7"/>
    <w:rsid w:val="38180EAA"/>
    <w:rsid w:val="382D095B"/>
    <w:rsid w:val="382E41E0"/>
    <w:rsid w:val="38611A20"/>
    <w:rsid w:val="389C3D42"/>
    <w:rsid w:val="38BE6917"/>
    <w:rsid w:val="38E2170E"/>
    <w:rsid w:val="390B748A"/>
    <w:rsid w:val="395D0167"/>
    <w:rsid w:val="397A7295"/>
    <w:rsid w:val="398B671E"/>
    <w:rsid w:val="39A95330"/>
    <w:rsid w:val="3A007054"/>
    <w:rsid w:val="3B5109D6"/>
    <w:rsid w:val="3B692CF3"/>
    <w:rsid w:val="3C360076"/>
    <w:rsid w:val="3C667E10"/>
    <w:rsid w:val="3CA35392"/>
    <w:rsid w:val="3CD35984"/>
    <w:rsid w:val="3CD879D0"/>
    <w:rsid w:val="3CF60E3E"/>
    <w:rsid w:val="3D4C0924"/>
    <w:rsid w:val="3D6605C3"/>
    <w:rsid w:val="3D7F0281"/>
    <w:rsid w:val="3DAF09EE"/>
    <w:rsid w:val="3DBB6B08"/>
    <w:rsid w:val="3DED1096"/>
    <w:rsid w:val="3E6D68A1"/>
    <w:rsid w:val="3ED516E1"/>
    <w:rsid w:val="3EE90306"/>
    <w:rsid w:val="3F0B7E13"/>
    <w:rsid w:val="3F7E3230"/>
    <w:rsid w:val="3FA82939"/>
    <w:rsid w:val="3FED2847"/>
    <w:rsid w:val="402F0CE6"/>
    <w:rsid w:val="40850505"/>
    <w:rsid w:val="40AD2EF6"/>
    <w:rsid w:val="413D0100"/>
    <w:rsid w:val="414A0BB2"/>
    <w:rsid w:val="415B6467"/>
    <w:rsid w:val="4204679C"/>
    <w:rsid w:val="423635BF"/>
    <w:rsid w:val="428E348C"/>
    <w:rsid w:val="429243B5"/>
    <w:rsid w:val="42F15105"/>
    <w:rsid w:val="43A17C95"/>
    <w:rsid w:val="43C64C27"/>
    <w:rsid w:val="43F74639"/>
    <w:rsid w:val="44544259"/>
    <w:rsid w:val="44AE0531"/>
    <w:rsid w:val="45225D69"/>
    <w:rsid w:val="45617C39"/>
    <w:rsid w:val="456A4030"/>
    <w:rsid w:val="46D92F28"/>
    <w:rsid w:val="46EE412E"/>
    <w:rsid w:val="46FE5667"/>
    <w:rsid w:val="47557B02"/>
    <w:rsid w:val="4840399D"/>
    <w:rsid w:val="486767AE"/>
    <w:rsid w:val="491471D7"/>
    <w:rsid w:val="49296AAF"/>
    <w:rsid w:val="496E2109"/>
    <w:rsid w:val="49AB48C7"/>
    <w:rsid w:val="4A0D7A62"/>
    <w:rsid w:val="4A63438C"/>
    <w:rsid w:val="4AA67AD7"/>
    <w:rsid w:val="4BAD796F"/>
    <w:rsid w:val="4C0557EA"/>
    <w:rsid w:val="4C0810CB"/>
    <w:rsid w:val="4C441E0D"/>
    <w:rsid w:val="4CAE3738"/>
    <w:rsid w:val="4DBD7DC9"/>
    <w:rsid w:val="4E0B53B8"/>
    <w:rsid w:val="4F024402"/>
    <w:rsid w:val="4F2C783F"/>
    <w:rsid w:val="4F3417A4"/>
    <w:rsid w:val="4F6E7198"/>
    <w:rsid w:val="4F7F7D13"/>
    <w:rsid w:val="502061F6"/>
    <w:rsid w:val="50AB28B9"/>
    <w:rsid w:val="50AF4CBD"/>
    <w:rsid w:val="50ED3696"/>
    <w:rsid w:val="511C1A7B"/>
    <w:rsid w:val="51461FD3"/>
    <w:rsid w:val="51923422"/>
    <w:rsid w:val="51FB4F77"/>
    <w:rsid w:val="520A173F"/>
    <w:rsid w:val="526E7FD3"/>
    <w:rsid w:val="52EE6C15"/>
    <w:rsid w:val="5340517B"/>
    <w:rsid w:val="53414FFB"/>
    <w:rsid w:val="535F44AA"/>
    <w:rsid w:val="539A6C5C"/>
    <w:rsid w:val="53A957A1"/>
    <w:rsid w:val="53D6305E"/>
    <w:rsid w:val="53E92698"/>
    <w:rsid w:val="552347DC"/>
    <w:rsid w:val="566E7C19"/>
    <w:rsid w:val="56740007"/>
    <w:rsid w:val="56952CF6"/>
    <w:rsid w:val="56DD7342"/>
    <w:rsid w:val="57BA53D9"/>
    <w:rsid w:val="57CF6F24"/>
    <w:rsid w:val="57F71ED3"/>
    <w:rsid w:val="58BD43D8"/>
    <w:rsid w:val="58CD7314"/>
    <w:rsid w:val="59047ACD"/>
    <w:rsid w:val="59823785"/>
    <w:rsid w:val="59FF7DCA"/>
    <w:rsid w:val="5A243BC6"/>
    <w:rsid w:val="5AB13384"/>
    <w:rsid w:val="5AB81413"/>
    <w:rsid w:val="5AD83AED"/>
    <w:rsid w:val="5ADB268E"/>
    <w:rsid w:val="5B082961"/>
    <w:rsid w:val="5B2A02A5"/>
    <w:rsid w:val="5B41386F"/>
    <w:rsid w:val="5B5527A7"/>
    <w:rsid w:val="5C5F7915"/>
    <w:rsid w:val="5CA70812"/>
    <w:rsid w:val="5CC74CE2"/>
    <w:rsid w:val="5CD62A2E"/>
    <w:rsid w:val="5CFD3517"/>
    <w:rsid w:val="5D3A7A95"/>
    <w:rsid w:val="5DD20A98"/>
    <w:rsid w:val="5F74014A"/>
    <w:rsid w:val="60205CEF"/>
    <w:rsid w:val="60273EB8"/>
    <w:rsid w:val="60403B7E"/>
    <w:rsid w:val="60454F58"/>
    <w:rsid w:val="60712CD9"/>
    <w:rsid w:val="60813D39"/>
    <w:rsid w:val="609A029B"/>
    <w:rsid w:val="60BD26AE"/>
    <w:rsid w:val="61161BAD"/>
    <w:rsid w:val="622E7F85"/>
    <w:rsid w:val="6242083F"/>
    <w:rsid w:val="62AC0DA2"/>
    <w:rsid w:val="63CC0121"/>
    <w:rsid w:val="64511834"/>
    <w:rsid w:val="645E5FEC"/>
    <w:rsid w:val="64C841CC"/>
    <w:rsid w:val="64D10AE6"/>
    <w:rsid w:val="64D96741"/>
    <w:rsid w:val="64E3096C"/>
    <w:rsid w:val="65426514"/>
    <w:rsid w:val="656873E0"/>
    <w:rsid w:val="656F7820"/>
    <w:rsid w:val="6584163C"/>
    <w:rsid w:val="669104F0"/>
    <w:rsid w:val="670E3B06"/>
    <w:rsid w:val="67293AC0"/>
    <w:rsid w:val="675456FC"/>
    <w:rsid w:val="67994D04"/>
    <w:rsid w:val="682D22AE"/>
    <w:rsid w:val="68E6134D"/>
    <w:rsid w:val="690F388B"/>
    <w:rsid w:val="69D27F7B"/>
    <w:rsid w:val="6A34700B"/>
    <w:rsid w:val="6A855B2E"/>
    <w:rsid w:val="6A881BC4"/>
    <w:rsid w:val="6AE178F4"/>
    <w:rsid w:val="6B3F4974"/>
    <w:rsid w:val="6B5928AF"/>
    <w:rsid w:val="6B6A06F4"/>
    <w:rsid w:val="6B747CCF"/>
    <w:rsid w:val="6BF35FD8"/>
    <w:rsid w:val="6BF419C7"/>
    <w:rsid w:val="6BF64DD5"/>
    <w:rsid w:val="6C181278"/>
    <w:rsid w:val="6C5C1A9F"/>
    <w:rsid w:val="6E525065"/>
    <w:rsid w:val="6E89023F"/>
    <w:rsid w:val="6F7A486F"/>
    <w:rsid w:val="6F846071"/>
    <w:rsid w:val="6FE52B63"/>
    <w:rsid w:val="700737BB"/>
    <w:rsid w:val="700F3CE3"/>
    <w:rsid w:val="703E5399"/>
    <w:rsid w:val="709B3E60"/>
    <w:rsid w:val="718D71C1"/>
    <w:rsid w:val="71AA53EE"/>
    <w:rsid w:val="721B6500"/>
    <w:rsid w:val="721F4455"/>
    <w:rsid w:val="72586259"/>
    <w:rsid w:val="7289362C"/>
    <w:rsid w:val="734C7FA3"/>
    <w:rsid w:val="740350C3"/>
    <w:rsid w:val="741A5896"/>
    <w:rsid w:val="74897380"/>
    <w:rsid w:val="752F7DE4"/>
    <w:rsid w:val="75674A24"/>
    <w:rsid w:val="75962816"/>
    <w:rsid w:val="75C766AA"/>
    <w:rsid w:val="75F916EE"/>
    <w:rsid w:val="760567B0"/>
    <w:rsid w:val="76753026"/>
    <w:rsid w:val="76AB7DFA"/>
    <w:rsid w:val="76DA3203"/>
    <w:rsid w:val="773E1FD2"/>
    <w:rsid w:val="774F7BF2"/>
    <w:rsid w:val="77DC4543"/>
    <w:rsid w:val="780C7A92"/>
    <w:rsid w:val="780E0F29"/>
    <w:rsid w:val="787E6628"/>
    <w:rsid w:val="79383FBD"/>
    <w:rsid w:val="79614495"/>
    <w:rsid w:val="7A697DD4"/>
    <w:rsid w:val="7ABE085B"/>
    <w:rsid w:val="7AC71563"/>
    <w:rsid w:val="7B013398"/>
    <w:rsid w:val="7B337958"/>
    <w:rsid w:val="7B426BD2"/>
    <w:rsid w:val="7C332D7C"/>
    <w:rsid w:val="7C3771DF"/>
    <w:rsid w:val="7C3F7D01"/>
    <w:rsid w:val="7C662AE0"/>
    <w:rsid w:val="7CB262CC"/>
    <w:rsid w:val="7CB46677"/>
    <w:rsid w:val="7D277049"/>
    <w:rsid w:val="7D401671"/>
    <w:rsid w:val="7D976261"/>
    <w:rsid w:val="7E057283"/>
    <w:rsid w:val="7E29314A"/>
    <w:rsid w:val="7EA61C0A"/>
    <w:rsid w:val="7ED3073F"/>
    <w:rsid w:val="7EE3479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hint="eastAsia" w:ascii="宋体" w:hAnsi="宋体" w:eastAsia="宋体" w:cs="Times New Roman"/>
      <w:sz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ind w:left="1068"/>
    </w:pPr>
    <w:rPr>
      <w:sz w:val="32"/>
      <w:szCs w:val="32"/>
    </w:rPr>
  </w:style>
  <w:style w:type="paragraph" w:styleId="3">
    <w:name w:val="Date"/>
    <w:basedOn w:val="1"/>
    <w:next w:val="1"/>
    <w:link w:val="15"/>
    <w:semiHidden/>
    <w:unhideWhenUsed/>
    <w:qFormat/>
    <w:uiPriority w:val="99"/>
    <w:pPr>
      <w:ind w:left="100" w:leftChars="2500"/>
    </w:pPr>
  </w:style>
  <w:style w:type="paragraph" w:styleId="4">
    <w:name w:val="Balloon Text"/>
    <w:basedOn w:val="1"/>
    <w:link w:val="17"/>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autoSpaceDE/>
      <w:autoSpaceDN/>
      <w:adjustRightInd/>
      <w:spacing w:before="100" w:beforeAutospacing="1" w:after="100" w:afterAutospacing="1"/>
    </w:pPr>
    <w:rPr>
      <w:rFonts w:hint="default" w:cs="宋体"/>
      <w:szCs w:val="24"/>
    </w:rPr>
  </w:style>
  <w:style w:type="character" w:styleId="10">
    <w:name w:val="Strong"/>
    <w:basedOn w:val="9"/>
    <w:qFormat/>
    <w:uiPriority w:val="99"/>
    <w:rPr>
      <w:rFonts w:cs="Times New Roman"/>
      <w:b/>
      <w:bCs/>
    </w:rPr>
  </w:style>
  <w:style w:type="character" w:styleId="11">
    <w:name w:val="Hyperlink"/>
    <w:basedOn w:val="9"/>
    <w:unhideWhenUsed/>
    <w:qFormat/>
    <w:uiPriority w:val="99"/>
    <w:rPr>
      <w:color w:val="0000FF" w:themeColor="hyperlink"/>
      <w:u w:val="single"/>
    </w:rPr>
  </w:style>
  <w:style w:type="character" w:customStyle="1" w:styleId="12">
    <w:name w:val="页眉 Char"/>
    <w:basedOn w:val="9"/>
    <w:link w:val="6"/>
    <w:qFormat/>
    <w:uiPriority w:val="99"/>
    <w:rPr>
      <w:sz w:val="18"/>
      <w:szCs w:val="18"/>
    </w:rPr>
  </w:style>
  <w:style w:type="character" w:customStyle="1" w:styleId="13">
    <w:name w:val="页脚 Char"/>
    <w:basedOn w:val="9"/>
    <w:link w:val="5"/>
    <w:qFormat/>
    <w:uiPriority w:val="99"/>
    <w:rPr>
      <w:sz w:val="18"/>
      <w:szCs w:val="18"/>
    </w:rPr>
  </w:style>
  <w:style w:type="paragraph" w:styleId="14">
    <w:name w:val="List Paragraph"/>
    <w:basedOn w:val="1"/>
    <w:qFormat/>
    <w:uiPriority w:val="34"/>
    <w:pPr>
      <w:widowControl/>
      <w:autoSpaceDE/>
      <w:autoSpaceDN/>
      <w:adjustRightInd/>
      <w:ind w:firstLine="420" w:firstLineChars="200"/>
    </w:pPr>
    <w:rPr>
      <w:rFonts w:hint="default" w:cs="宋体"/>
      <w:szCs w:val="24"/>
    </w:rPr>
  </w:style>
  <w:style w:type="character" w:customStyle="1" w:styleId="15">
    <w:name w:val="日期 Char"/>
    <w:basedOn w:val="9"/>
    <w:link w:val="3"/>
    <w:semiHidden/>
    <w:qFormat/>
    <w:uiPriority w:val="99"/>
    <w:rPr>
      <w:rFonts w:ascii="宋体" w:hAnsi="宋体" w:eastAsia="宋体" w:cs="Times New Roman"/>
      <w:kern w:val="0"/>
      <w:sz w:val="24"/>
      <w:szCs w:val="20"/>
    </w:rPr>
  </w:style>
  <w:style w:type="paragraph" w:customStyle="1" w:styleId="16">
    <w:name w:val="列出段落1"/>
    <w:basedOn w:val="1"/>
    <w:qFormat/>
    <w:uiPriority w:val="99"/>
    <w:pPr>
      <w:ind w:firstLine="420" w:firstLineChars="200"/>
    </w:pPr>
    <w:rPr>
      <w:szCs w:val="22"/>
    </w:rPr>
  </w:style>
  <w:style w:type="character" w:customStyle="1" w:styleId="17">
    <w:name w:val="批注框文本 Char"/>
    <w:basedOn w:val="9"/>
    <w:link w:val="4"/>
    <w:semiHidden/>
    <w:qFormat/>
    <w:uiPriority w:val="99"/>
    <w:rPr>
      <w:rFonts w:ascii="宋体" w:hAnsi="宋体"/>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76A32B-08AE-4904-953A-B693A4E19CB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Pages>
  <Words>5211</Words>
  <Characters>5707</Characters>
  <Lines>10</Lines>
  <Paragraphs>12</Paragraphs>
  <TotalTime>72</TotalTime>
  <ScaleCrop>false</ScaleCrop>
  <LinksUpToDate>false</LinksUpToDate>
  <CharactersWithSpaces>5875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2021-01-02T09:15:00Z</dcterms:created>
  <dc:creator>微软用户</dc:creator>
  <cp:lastModifiedBy>Administrator</cp:lastModifiedBy>
  <cp:lastPrinted>2021-01-29T04:34:00Z</cp:lastPrinted>
  <dcterms:modified xsi:type="dcterms:W3CDTF">2021-02-18T01:51:29Z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