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248" w:type="dxa"/>
            <w:vAlign w:val="center"/>
          </w:tcPr>
          <w:p>
            <w:pPr>
              <w:jc w:val="distribute"/>
              <w:rPr>
                <w:rFonts w:ascii="宋体" w:hAnsi="宋体" w:eastAsia="宋体" w:cs="宋体"/>
                <w:color w:val="FF0000"/>
                <w:kern w:val="0"/>
                <w:sz w:val="70"/>
                <w:szCs w:val="70"/>
              </w:rPr>
            </w:pPr>
            <w:r>
              <w:rPr>
                <w:rFonts w:hint="eastAsia" w:ascii="宋体" w:hAnsi="宋体" w:eastAsia="宋体" w:cs="宋体"/>
                <w:color w:val="FF0000"/>
                <w:kern w:val="0"/>
                <w:sz w:val="70"/>
                <w:szCs w:val="70"/>
              </w:rPr>
              <w:t>中国投资协会</w:t>
            </w:r>
          </w:p>
          <w:p>
            <w:pPr>
              <w:jc w:val="distribute"/>
              <w:rPr>
                <w:rFonts w:ascii="楷体" w:hAnsi="楷体" w:eastAsia="楷体"/>
                <w:color w:val="FF0000"/>
                <w:kern w:val="0"/>
                <w:sz w:val="66"/>
                <w:szCs w:val="66"/>
              </w:rPr>
            </w:pPr>
            <w:r>
              <w:rPr>
                <w:rFonts w:hint="eastAsia" w:ascii="宋体" w:hAnsi="宋体" w:eastAsia="宋体" w:cs="宋体"/>
                <w:color w:val="FF0000"/>
                <w:kern w:val="0"/>
                <w:sz w:val="70"/>
                <w:szCs w:val="70"/>
              </w:rPr>
              <w:t>项目投融资专业委员会文件</w:t>
            </w:r>
          </w:p>
          <w:p>
            <w:pPr>
              <w:jc w:val="center"/>
              <w:rPr>
                <w:rFonts w:ascii="仿宋" w:hAnsi="仿宋" w:eastAsia="仿宋"/>
                <w:color w:val="000000" w:themeColor="text1"/>
                <w:kern w:val="0"/>
                <w:sz w:val="66"/>
                <w:szCs w:val="66"/>
              </w:rPr>
            </w:pPr>
            <w:r>
              <w:rPr>
                <w:rFonts w:hint="eastAsia" w:ascii="仿宋" w:hAnsi="仿宋" w:eastAsia="仿宋" w:cs="宋体"/>
                <w:sz w:val="30"/>
                <w:szCs w:val="30"/>
              </w:rPr>
              <w:t>投融培〔2021〕8号</w:t>
            </w:r>
          </w:p>
        </w:tc>
      </w:tr>
    </w:tbl>
    <w:p>
      <w:pPr>
        <w:spacing w:line="460" w:lineRule="exact"/>
        <w:jc w:val="center"/>
        <w:rPr>
          <w:rFonts w:ascii="华文中宋" w:hAnsi="华文中宋" w:eastAsia="华文中宋" w:cs="宋体"/>
          <w:b/>
          <w:sz w:val="32"/>
          <w:szCs w:val="32"/>
        </w:rPr>
      </w:pPr>
    </w:p>
    <w:p>
      <w:pPr>
        <w:spacing w:line="460" w:lineRule="exact"/>
        <w:jc w:val="center"/>
        <w:rPr>
          <w:rFonts w:ascii="宋体" w:hAnsi="宋体" w:eastAsia="宋体" w:cs="宋体"/>
          <w:b/>
          <w:sz w:val="32"/>
          <w:szCs w:val="32"/>
        </w:rPr>
      </w:pPr>
      <w:r>
        <w:rPr>
          <w:rFonts w:hint="eastAsia" w:ascii="宋体" w:hAnsi="宋体" w:eastAsia="宋体" w:cs="宋体"/>
          <w:b/>
          <w:sz w:val="32"/>
          <w:szCs w:val="32"/>
        </w:rPr>
        <w:t>关于举办地方政府城投公司 施工企业 金融机构</w:t>
      </w:r>
    </w:p>
    <w:p>
      <w:pPr>
        <w:spacing w:line="460" w:lineRule="exact"/>
        <w:jc w:val="center"/>
        <w:rPr>
          <w:rFonts w:ascii="华文中宋" w:hAnsi="华文中宋" w:eastAsia="华文中宋" w:cs="宋体"/>
          <w:b/>
          <w:sz w:val="32"/>
          <w:szCs w:val="32"/>
        </w:rPr>
      </w:pPr>
      <w:r>
        <w:rPr>
          <w:rFonts w:hint="eastAsia" w:ascii="宋体" w:hAnsi="宋体" w:eastAsia="宋体" w:cs="宋体"/>
          <w:b/>
          <w:sz w:val="32"/>
          <w:szCs w:val="32"/>
        </w:rPr>
        <w:t>项目融资落地实操培训班的通知</w:t>
      </w:r>
    </w:p>
    <w:p>
      <w:pPr>
        <w:pStyle w:val="17"/>
        <w:spacing w:line="440" w:lineRule="exact"/>
        <w:ind w:firstLine="0" w:firstLineChars="0"/>
        <w:outlineLvl w:val="0"/>
        <w:rPr>
          <w:rFonts w:ascii="仿宋" w:hAnsi="仿宋" w:eastAsia="仿宋" w:cs="仿宋_GB2312"/>
          <w:sz w:val="32"/>
          <w:szCs w:val="32"/>
        </w:rPr>
      </w:pPr>
    </w:p>
    <w:p>
      <w:pPr>
        <w:pStyle w:val="17"/>
        <w:spacing w:line="440" w:lineRule="exact"/>
        <w:ind w:firstLine="0" w:firstLineChars="0"/>
        <w:outlineLvl w:val="0"/>
        <w:rPr>
          <w:rFonts w:ascii="仿宋" w:hAnsi="仿宋" w:eastAsia="仿宋" w:cs="仿宋_GB2312"/>
          <w:sz w:val="32"/>
          <w:szCs w:val="32"/>
        </w:rPr>
      </w:pPr>
      <w:r>
        <w:rPr>
          <w:rFonts w:hint="eastAsia" w:ascii="仿宋" w:hAnsi="仿宋" w:eastAsia="仿宋" w:cs="仿宋_GB2312"/>
          <w:sz w:val="32"/>
          <w:szCs w:val="32"/>
        </w:rPr>
        <w:t>各有关单位：</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sz w:val="32"/>
          <w:szCs w:val="32"/>
        </w:rPr>
        <w:t>为规范地方政府债券发行管理，保护投资者合法权益，贯彻落实《中共中央办公厅 国务院办公厅关于做好地方政府专项债券发行及项目配套融资工作的通知》和《国务院关于加强地方政府性债务管理的意见》（国发〔2014〕43号）的精神，学习领会</w:t>
      </w:r>
      <w:r>
        <w:rPr>
          <w:rFonts w:ascii="仿宋" w:hAnsi="仿宋" w:eastAsia="仿宋" w:cs="仿宋_GB2312"/>
          <w:bCs/>
          <w:sz w:val="32"/>
          <w:szCs w:val="32"/>
        </w:rPr>
        <w:t>财政部</w:t>
      </w:r>
      <w:r>
        <w:rPr>
          <w:rFonts w:hint="eastAsia" w:ascii="仿宋" w:hAnsi="仿宋" w:eastAsia="仿宋" w:cs="仿宋_GB2312"/>
          <w:bCs/>
          <w:sz w:val="32"/>
          <w:szCs w:val="32"/>
        </w:rPr>
        <w:t>《地方政府债券发行管理办法》（财库〔2020〕43号）关于“</w:t>
      </w:r>
      <w:r>
        <w:rPr>
          <w:rFonts w:hint="eastAsia" w:ascii="仿宋" w:hAnsi="仿宋" w:eastAsia="仿宋" w:cs="仿宋_GB2312"/>
          <w:bCs/>
          <w:color w:val="000000"/>
          <w:sz w:val="32"/>
          <w:szCs w:val="32"/>
        </w:rPr>
        <w:t>地方财政部门应当根据项目期限、融资成本、到期债务分布、投资者需求、债券市场状况等因素，合理确定债券期限结构”的要求，中国投资协会项目投融资专业委员会会同北京中建科信管理咨询集团有限公司举办地方政府、城投公司、施工企业、金融机构项目融资落地实操培训班。</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本次培训旨在帮助政府有关部门及城投公司、金融机构和施工企业深入理解国家投资管理政策法规，学习掌握地方政府投资项目谋划与落地、城投公司市场化转型投融资操作实务，切实做好新形势下地方政府债券发行管理工作，高效精准、规范有序化解地方隐性债务，推动“十四五”期间重点项目落地，促进地方经济高质量发展。现将具体事项通知如下：</w:t>
      </w:r>
    </w:p>
    <w:p>
      <w:pPr>
        <w:pStyle w:val="17"/>
        <w:spacing w:line="44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一、组织机构</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主办单位：中国投资协会项目投融资专业委员会</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承办单位：北京中建科信管理咨询集团有限公司</w:t>
      </w:r>
    </w:p>
    <w:p>
      <w:pPr>
        <w:pStyle w:val="17"/>
        <w:spacing w:line="440" w:lineRule="exact"/>
        <w:ind w:firstLine="0" w:firstLineChars="0"/>
        <w:outlineLvl w:val="0"/>
        <w:rPr>
          <w:rFonts w:ascii="仿宋" w:hAnsi="仿宋" w:eastAsia="仿宋" w:cs="黑体"/>
          <w:color w:val="000000"/>
          <w:sz w:val="32"/>
          <w:szCs w:val="32"/>
        </w:rPr>
      </w:pPr>
      <w:r>
        <w:rPr>
          <w:rFonts w:hint="eastAsia" w:ascii="黑体" w:hAnsi="黑体" w:eastAsia="黑体" w:cs="黑体"/>
          <w:color w:val="000000"/>
          <w:sz w:val="32"/>
          <w:szCs w:val="32"/>
        </w:rPr>
        <w:t xml:space="preserve">    二、培训内容</w:t>
      </w:r>
      <w:r>
        <w:rPr>
          <w:rFonts w:hint="eastAsia" w:ascii="仿宋" w:hAnsi="仿宋" w:eastAsia="仿宋" w:cs="黑体"/>
          <w:color w:val="000000"/>
          <w:sz w:val="32"/>
          <w:szCs w:val="32"/>
        </w:rPr>
        <w:t>（详细内容见附件）</w:t>
      </w:r>
    </w:p>
    <w:p>
      <w:pPr>
        <w:spacing w:line="440" w:lineRule="exact"/>
        <w:ind w:firstLine="640" w:firstLineChars="200"/>
        <w:jc w:val="left"/>
        <w:rPr>
          <w:rFonts w:ascii="仿宋" w:hAnsi="仿宋" w:eastAsia="仿宋" w:cs="Times New Roman"/>
          <w:bCs/>
          <w:color w:val="000000"/>
          <w:sz w:val="32"/>
          <w:szCs w:val="32"/>
        </w:rPr>
      </w:pPr>
      <w:r>
        <w:rPr>
          <w:rFonts w:hint="eastAsia" w:ascii="仿宋" w:hAnsi="仿宋" w:eastAsia="仿宋" w:cs="仿宋_GB2312"/>
          <w:bCs/>
          <w:color w:val="000000"/>
          <w:sz w:val="32"/>
          <w:szCs w:val="32"/>
        </w:rPr>
        <w:t>1.</w:t>
      </w:r>
      <w:r>
        <w:rPr>
          <w:rFonts w:hint="eastAsia" w:ascii="仿宋" w:hAnsi="仿宋" w:eastAsia="仿宋" w:cs="Times New Roman"/>
          <w:bCs/>
          <w:color w:val="000000"/>
          <w:sz w:val="32"/>
          <w:szCs w:val="32"/>
        </w:rPr>
        <w:t>政府项目谋划、投融资实务操作与风险控制</w:t>
      </w:r>
    </w:p>
    <w:p>
      <w:pPr>
        <w:spacing w:line="440" w:lineRule="exact"/>
        <w:ind w:firstLine="640" w:firstLineChars="200"/>
        <w:jc w:val="left"/>
        <w:rPr>
          <w:rFonts w:ascii="仿宋" w:hAnsi="仿宋" w:eastAsia="仿宋" w:cs="Times New Roman"/>
          <w:bCs/>
          <w:color w:val="000000"/>
          <w:sz w:val="32"/>
          <w:szCs w:val="32"/>
        </w:rPr>
      </w:pPr>
      <w:r>
        <w:rPr>
          <w:rFonts w:hint="eastAsia" w:ascii="仿宋" w:hAnsi="仿宋" w:eastAsia="仿宋" w:cs="仿宋_GB2312"/>
          <w:bCs/>
          <w:color w:val="000000"/>
          <w:sz w:val="32"/>
          <w:szCs w:val="32"/>
        </w:rPr>
        <w:t>2.</w:t>
      </w:r>
      <w:r>
        <w:rPr>
          <w:rFonts w:hint="eastAsia" w:ascii="仿宋" w:hAnsi="仿宋" w:eastAsia="仿宋" w:cs="Times New Roman"/>
          <w:bCs/>
          <w:color w:val="000000"/>
          <w:sz w:val="32"/>
          <w:szCs w:val="32"/>
        </w:rPr>
        <w:t>片区综合开发项目融资的路径和方法</w:t>
      </w:r>
    </w:p>
    <w:p>
      <w:pPr>
        <w:spacing w:line="440" w:lineRule="exact"/>
        <w:ind w:firstLine="640" w:firstLineChars="200"/>
        <w:jc w:val="left"/>
        <w:rPr>
          <w:rFonts w:ascii="仿宋" w:hAnsi="仿宋" w:eastAsia="仿宋" w:cs="Times New Roman"/>
          <w:bCs/>
          <w:color w:val="000000"/>
          <w:sz w:val="32"/>
          <w:szCs w:val="32"/>
        </w:rPr>
      </w:pPr>
      <w:r>
        <w:rPr>
          <w:rFonts w:hint="eastAsia" w:ascii="仿宋" w:hAnsi="仿宋" w:eastAsia="仿宋" w:cs="仿宋_GB2312"/>
          <w:bCs/>
          <w:color w:val="000000"/>
          <w:sz w:val="32"/>
          <w:szCs w:val="32"/>
        </w:rPr>
        <w:t>3.</w:t>
      </w:r>
      <w:r>
        <w:rPr>
          <w:rFonts w:ascii="仿宋" w:hAnsi="仿宋" w:eastAsia="仿宋" w:cs="Times New Roman"/>
          <w:bCs/>
          <w:color w:val="000000"/>
          <w:sz w:val="32"/>
          <w:szCs w:val="32"/>
        </w:rPr>
        <w:t>“</w:t>
      </w:r>
      <w:r>
        <w:rPr>
          <w:rFonts w:hint="eastAsia" w:ascii="仿宋" w:hAnsi="仿宋" w:eastAsia="仿宋" w:cs="Times New Roman"/>
          <w:bCs/>
          <w:color w:val="000000"/>
          <w:sz w:val="32"/>
          <w:szCs w:val="32"/>
        </w:rPr>
        <w:t>十四五</w:t>
      </w:r>
      <w:r>
        <w:rPr>
          <w:rFonts w:ascii="仿宋" w:hAnsi="仿宋" w:eastAsia="仿宋" w:cs="Times New Roman"/>
          <w:bCs/>
          <w:color w:val="000000"/>
          <w:sz w:val="32"/>
          <w:szCs w:val="32"/>
        </w:rPr>
        <w:t>”</w:t>
      </w:r>
      <w:r>
        <w:rPr>
          <w:rFonts w:hint="eastAsia" w:ascii="仿宋" w:hAnsi="仿宋" w:eastAsia="仿宋" w:cs="Times New Roman"/>
          <w:bCs/>
          <w:color w:val="000000"/>
          <w:sz w:val="32"/>
          <w:szCs w:val="32"/>
        </w:rPr>
        <w:t>期间项目谋划重点与投融资工具解析</w:t>
      </w:r>
    </w:p>
    <w:p>
      <w:pPr>
        <w:pStyle w:val="17"/>
        <w:spacing w:line="44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三、培训对象</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1.各地方政府发改、教育、科技、司法、财政、环保、住建、交通、水利、农业、林业、文旅、卫健、能源等部门相关管理人员。</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2.国有大中型企业、大型民企以及PPP项目SPV相关领域企事业单位管理人员。</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3.银行、证券、基金、信托、资产管理、融资租赁、工程咨询、律师事务所、会计师事务所等相关机构管理人员。</w:t>
      </w:r>
    </w:p>
    <w:p>
      <w:pPr>
        <w:pStyle w:val="17"/>
        <w:spacing w:line="44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四、授课专家</w:t>
      </w:r>
    </w:p>
    <w:p>
      <w:pPr>
        <w:pStyle w:val="17"/>
        <w:spacing w:line="440" w:lineRule="exact"/>
        <w:ind w:firstLine="640"/>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拟邀请国家发展改革委、财政部PPP项目专家及投资管理、债券发行、法律事务、财务会计、工程咨询等相关领域专家，以专题讲座、案例分析、现场答疑、方案咨询、研讨交流等形式进行授课讲解。</w:t>
      </w:r>
    </w:p>
    <w:p>
      <w:pPr>
        <w:pStyle w:val="17"/>
        <w:spacing w:line="44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五、时间地点</w:t>
      </w:r>
    </w:p>
    <w:p>
      <w:pPr>
        <w:spacing w:line="440" w:lineRule="exact"/>
        <w:ind w:firstLine="640" w:firstLineChars="200"/>
        <w:rPr>
          <w:rFonts w:ascii="仿宋" w:hAnsi="仿宋" w:eastAsia="仿宋" w:cs="仿宋"/>
          <w:bCs/>
          <w:color w:val="000000" w:themeColor="text1"/>
          <w:sz w:val="32"/>
          <w:szCs w:val="32"/>
        </w:rPr>
      </w:pPr>
      <w:r>
        <w:rPr>
          <w:rFonts w:ascii="仿宋" w:hAnsi="仿宋" w:eastAsia="仿宋" w:cs="仿宋"/>
          <w:bCs/>
          <w:color w:val="000000" w:themeColor="text1"/>
          <w:sz w:val="32"/>
          <w:szCs w:val="32"/>
        </w:rPr>
        <w:t>2021年3月26日—3月30日  重庆（26日全天报到）</w:t>
      </w:r>
    </w:p>
    <w:p>
      <w:pPr>
        <w:spacing w:line="440" w:lineRule="exact"/>
        <w:ind w:firstLine="640" w:firstLineChars="200"/>
        <w:rPr>
          <w:rFonts w:ascii="仿宋" w:hAnsi="仿宋" w:eastAsia="仿宋" w:cs="仿宋"/>
          <w:bCs/>
          <w:color w:val="000000" w:themeColor="text1"/>
          <w:sz w:val="32"/>
          <w:szCs w:val="32"/>
        </w:rPr>
      </w:pPr>
      <w:r>
        <w:rPr>
          <w:rFonts w:ascii="仿宋" w:hAnsi="仿宋" w:eastAsia="仿宋" w:cs="仿宋"/>
          <w:bCs/>
          <w:color w:val="000000" w:themeColor="text1"/>
          <w:sz w:val="32"/>
          <w:szCs w:val="32"/>
        </w:rPr>
        <w:t>2021年4月16日—4月20日  厦门（16日全天报到）</w:t>
      </w:r>
    </w:p>
    <w:p>
      <w:pPr>
        <w:spacing w:line="440" w:lineRule="exact"/>
        <w:ind w:firstLine="640" w:firstLineChars="200"/>
        <w:rPr>
          <w:rFonts w:ascii="仿宋" w:hAnsi="仿宋" w:eastAsia="仿宋" w:cs="仿宋"/>
          <w:bCs/>
          <w:color w:val="000000" w:themeColor="text1"/>
          <w:sz w:val="32"/>
          <w:szCs w:val="32"/>
        </w:rPr>
      </w:pPr>
      <w:r>
        <w:rPr>
          <w:rFonts w:ascii="仿宋" w:hAnsi="仿宋" w:eastAsia="仿宋" w:cs="仿宋"/>
          <w:bCs/>
          <w:color w:val="000000" w:themeColor="text1"/>
          <w:sz w:val="32"/>
          <w:szCs w:val="32"/>
        </w:rPr>
        <w:t>2021年5月14日—5月18日  郑州（14日全天报到）</w:t>
      </w:r>
    </w:p>
    <w:p>
      <w:pPr>
        <w:spacing w:line="440" w:lineRule="exact"/>
        <w:ind w:firstLine="640" w:firstLineChars="200"/>
        <w:rPr>
          <w:rFonts w:ascii="仿宋" w:hAnsi="仿宋" w:eastAsia="仿宋" w:cs="仿宋"/>
          <w:bCs/>
          <w:color w:val="000000" w:themeColor="text1"/>
          <w:sz w:val="32"/>
          <w:szCs w:val="32"/>
        </w:rPr>
      </w:pPr>
      <w:r>
        <w:rPr>
          <w:rFonts w:ascii="仿宋" w:hAnsi="仿宋" w:eastAsia="仿宋" w:cs="仿宋"/>
          <w:bCs/>
          <w:color w:val="000000" w:themeColor="text1"/>
          <w:sz w:val="32"/>
          <w:szCs w:val="32"/>
        </w:rPr>
        <w:t>2021年5月28日—6月</w:t>
      </w:r>
      <w:r>
        <w:rPr>
          <w:rFonts w:hint="eastAsia" w:ascii="仿宋" w:hAnsi="仿宋" w:eastAsia="仿宋" w:cs="仿宋"/>
          <w:bCs/>
          <w:color w:val="000000" w:themeColor="text1"/>
          <w:sz w:val="32"/>
          <w:szCs w:val="32"/>
          <w:lang w:val="en-US" w:eastAsia="zh-CN"/>
        </w:rPr>
        <w:t>0</w:t>
      </w:r>
      <w:r>
        <w:rPr>
          <w:rFonts w:ascii="仿宋" w:hAnsi="仿宋" w:eastAsia="仿宋" w:cs="仿宋"/>
          <w:bCs/>
          <w:color w:val="000000" w:themeColor="text1"/>
          <w:sz w:val="32"/>
          <w:szCs w:val="32"/>
        </w:rPr>
        <w:t xml:space="preserve">1日 </w:t>
      </w:r>
      <w:r>
        <w:rPr>
          <w:rFonts w:hint="eastAsia" w:ascii="仿宋" w:hAnsi="仿宋" w:eastAsia="仿宋" w:cs="仿宋"/>
          <w:bCs/>
          <w:color w:val="000000" w:themeColor="text1"/>
          <w:sz w:val="32"/>
          <w:szCs w:val="32"/>
          <w:lang w:val="en-US" w:eastAsia="zh-CN"/>
        </w:rPr>
        <w:t xml:space="preserve"> </w:t>
      </w:r>
      <w:r>
        <w:rPr>
          <w:rFonts w:ascii="仿宋" w:hAnsi="仿宋" w:eastAsia="仿宋" w:cs="仿宋"/>
          <w:bCs/>
          <w:color w:val="000000" w:themeColor="text1"/>
          <w:sz w:val="32"/>
          <w:szCs w:val="32"/>
        </w:rPr>
        <w:t>西安（28日全天报到）</w:t>
      </w:r>
    </w:p>
    <w:p>
      <w:pPr>
        <w:pStyle w:val="17"/>
        <w:spacing w:line="44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六、相关事宜</w:t>
      </w:r>
    </w:p>
    <w:p>
      <w:pPr>
        <w:pStyle w:val="17"/>
        <w:spacing w:line="440" w:lineRule="exact"/>
        <w:ind w:firstLine="0" w:firstLineChars="0"/>
        <w:outlineLvl w:val="0"/>
        <w:rPr>
          <w:rFonts w:ascii="楷体" w:hAnsi="楷体" w:eastAsia="楷体" w:cs="仿宋_GB2312"/>
          <w:bCs/>
          <w:color w:val="000000"/>
          <w:sz w:val="32"/>
          <w:szCs w:val="32"/>
        </w:rPr>
      </w:pPr>
      <w:r>
        <w:rPr>
          <w:rFonts w:hint="eastAsia" w:ascii="仿宋" w:hAnsi="仿宋" w:eastAsia="仿宋" w:cs="仿宋_GB2312"/>
          <w:b/>
          <w:bCs/>
          <w:color w:val="000000"/>
          <w:sz w:val="32"/>
          <w:szCs w:val="32"/>
        </w:rPr>
        <w:t xml:space="preserve">   </w:t>
      </w:r>
      <w:r>
        <w:rPr>
          <w:rFonts w:hint="eastAsia" w:ascii="楷体" w:hAnsi="楷体" w:eastAsia="楷体" w:cs="仿宋_GB2312"/>
          <w:bCs/>
          <w:color w:val="000000"/>
          <w:sz w:val="32"/>
          <w:szCs w:val="32"/>
        </w:rPr>
        <w:t xml:space="preserve"> </w:t>
      </w:r>
      <w:r>
        <w:rPr>
          <w:rFonts w:ascii="楷体" w:hAnsi="楷体" w:eastAsia="楷体" w:cs="仿宋_GB2312"/>
          <w:bCs/>
          <w:color w:val="000000"/>
          <w:sz w:val="32"/>
          <w:szCs w:val="32"/>
        </w:rPr>
        <w:t>（一）培训费用</w:t>
      </w:r>
    </w:p>
    <w:p>
      <w:pPr>
        <w:pStyle w:val="17"/>
        <w:spacing w:line="440" w:lineRule="exact"/>
        <w:ind w:firstLine="640"/>
        <w:outlineLvl w:val="0"/>
        <w:rPr>
          <w:rFonts w:ascii="仿宋" w:hAnsi="仿宋" w:eastAsia="仿宋" w:cs="仿宋_GB2312"/>
          <w:bCs/>
          <w:color w:val="000000"/>
          <w:sz w:val="32"/>
          <w:szCs w:val="32"/>
        </w:rPr>
      </w:pPr>
      <w:r>
        <w:rPr>
          <w:rFonts w:ascii="仿宋" w:hAnsi="仿宋" w:eastAsia="仿宋" w:cs="仿宋_GB2312"/>
          <w:bCs/>
          <w:color w:val="000000"/>
          <w:sz w:val="32"/>
          <w:szCs w:val="32"/>
        </w:rPr>
        <w:t>A</w:t>
      </w:r>
      <w:r>
        <w:rPr>
          <w:rFonts w:hint="eastAsia" w:ascii="仿宋" w:hAnsi="仿宋" w:eastAsia="仿宋" w:cs="仿宋_GB2312"/>
          <w:bCs/>
          <w:color w:val="000000"/>
          <w:sz w:val="32"/>
          <w:szCs w:val="32"/>
        </w:rPr>
        <w:t>项</w:t>
      </w:r>
      <w:r>
        <w:rPr>
          <w:rFonts w:ascii="仿宋" w:hAnsi="仿宋" w:eastAsia="仿宋" w:cs="仿宋_GB2312"/>
          <w:bCs/>
          <w:color w:val="000000"/>
          <w:sz w:val="32"/>
          <w:szCs w:val="32"/>
        </w:rPr>
        <w:t>.2980元/人（含培训、资料、课件、场地</w:t>
      </w:r>
      <w:r>
        <w:rPr>
          <w:rFonts w:hint="eastAsia" w:ascii="仿宋" w:hAnsi="仿宋" w:eastAsia="仿宋" w:cs="仿宋_GB2312"/>
          <w:bCs/>
          <w:color w:val="000000"/>
          <w:sz w:val="32"/>
          <w:szCs w:val="32"/>
        </w:rPr>
        <w:t>费用及</w:t>
      </w:r>
      <w:r>
        <w:rPr>
          <w:rFonts w:ascii="仿宋" w:hAnsi="仿宋" w:eastAsia="仿宋" w:cs="仿宋_GB2312"/>
          <w:bCs/>
          <w:color w:val="000000"/>
          <w:sz w:val="32"/>
          <w:szCs w:val="32"/>
        </w:rPr>
        <w:t>会议期间午餐），住宿统一安排，费用自理。</w:t>
      </w:r>
    </w:p>
    <w:p>
      <w:pPr>
        <w:pStyle w:val="17"/>
        <w:spacing w:line="440" w:lineRule="exact"/>
        <w:ind w:firstLine="640"/>
        <w:outlineLvl w:val="0"/>
        <w:rPr>
          <w:rFonts w:ascii="仿宋" w:hAnsi="仿宋" w:eastAsia="仿宋" w:cs="仿宋_GB2312"/>
          <w:bCs/>
          <w:color w:val="000000"/>
          <w:sz w:val="32"/>
          <w:szCs w:val="32"/>
        </w:rPr>
      </w:pPr>
      <w:r>
        <w:rPr>
          <w:rFonts w:ascii="仿宋" w:hAnsi="仿宋" w:eastAsia="仿宋" w:cs="仿宋_GB2312"/>
          <w:bCs/>
          <w:color w:val="000000"/>
          <w:sz w:val="32"/>
          <w:szCs w:val="32"/>
        </w:rPr>
        <w:t>B</w:t>
      </w:r>
      <w:r>
        <w:rPr>
          <w:rFonts w:hint="eastAsia" w:ascii="仿宋" w:hAnsi="仿宋" w:eastAsia="仿宋" w:cs="仿宋_GB2312"/>
          <w:bCs/>
          <w:color w:val="000000"/>
          <w:sz w:val="32"/>
          <w:szCs w:val="32"/>
        </w:rPr>
        <w:t>项</w:t>
      </w:r>
      <w:r>
        <w:rPr>
          <w:rFonts w:ascii="仿宋" w:hAnsi="仿宋" w:eastAsia="仿宋" w:cs="仿宋_GB2312"/>
          <w:bCs/>
          <w:color w:val="000000"/>
          <w:sz w:val="32"/>
          <w:szCs w:val="32"/>
        </w:rPr>
        <w:t>.3980元/人（含证书、培训、资料、课件、场地</w:t>
      </w:r>
      <w:r>
        <w:rPr>
          <w:rFonts w:hint="eastAsia" w:ascii="仿宋" w:hAnsi="仿宋" w:eastAsia="仿宋" w:cs="仿宋_GB2312"/>
          <w:bCs/>
          <w:color w:val="000000"/>
          <w:sz w:val="32"/>
          <w:szCs w:val="32"/>
        </w:rPr>
        <w:t>费用及</w:t>
      </w:r>
      <w:r>
        <w:rPr>
          <w:rFonts w:ascii="仿宋" w:hAnsi="仿宋" w:eastAsia="仿宋" w:cs="仿宋_GB2312"/>
          <w:bCs/>
          <w:color w:val="000000"/>
          <w:sz w:val="32"/>
          <w:szCs w:val="32"/>
        </w:rPr>
        <w:t>会议期间午餐），住宿统一安排，费用自理。</w:t>
      </w:r>
    </w:p>
    <w:p>
      <w:pPr>
        <w:pStyle w:val="17"/>
        <w:spacing w:line="440" w:lineRule="exact"/>
        <w:ind w:firstLine="640"/>
        <w:outlineLvl w:val="0"/>
        <w:rPr>
          <w:rFonts w:ascii="仿宋" w:hAnsi="仿宋" w:eastAsia="仿宋" w:cs="仿宋_GB2312"/>
          <w:bCs/>
          <w:color w:val="000000"/>
          <w:sz w:val="32"/>
          <w:szCs w:val="32"/>
        </w:rPr>
      </w:pPr>
      <w:r>
        <w:rPr>
          <w:rFonts w:ascii="仿宋" w:hAnsi="仿宋" w:eastAsia="仿宋" w:cs="仿宋_GB2312"/>
          <w:bCs/>
          <w:color w:val="000000"/>
          <w:sz w:val="32"/>
          <w:szCs w:val="32"/>
        </w:rPr>
        <w:t>C</w:t>
      </w:r>
      <w:r>
        <w:rPr>
          <w:rFonts w:hint="eastAsia" w:ascii="仿宋" w:hAnsi="仿宋" w:eastAsia="仿宋" w:cs="仿宋_GB2312"/>
          <w:bCs/>
          <w:color w:val="000000"/>
          <w:sz w:val="32"/>
          <w:szCs w:val="32"/>
        </w:rPr>
        <w:t>项</w:t>
      </w:r>
      <w:r>
        <w:rPr>
          <w:rFonts w:ascii="仿宋" w:hAnsi="仿宋" w:eastAsia="仿宋" w:cs="仿宋_GB2312"/>
          <w:bCs/>
          <w:color w:val="000000"/>
          <w:sz w:val="32"/>
          <w:szCs w:val="32"/>
        </w:rPr>
        <w:t>.5980元/人（含证书、培训、资料、课件、场地</w:t>
      </w:r>
      <w:r>
        <w:rPr>
          <w:rFonts w:hint="eastAsia" w:ascii="仿宋" w:hAnsi="仿宋" w:eastAsia="仿宋" w:cs="仿宋_GB2312"/>
          <w:bCs/>
          <w:color w:val="000000"/>
          <w:sz w:val="32"/>
          <w:szCs w:val="32"/>
        </w:rPr>
        <w:t>费用及</w:t>
      </w:r>
      <w:r>
        <w:rPr>
          <w:rFonts w:ascii="仿宋" w:hAnsi="仿宋" w:eastAsia="仿宋" w:cs="仿宋_GB2312"/>
          <w:bCs/>
          <w:color w:val="000000"/>
          <w:sz w:val="32"/>
          <w:szCs w:val="32"/>
        </w:rPr>
        <w:t>会议期间食宿）。</w:t>
      </w:r>
    </w:p>
    <w:p>
      <w:pPr>
        <w:spacing w:line="440" w:lineRule="exact"/>
        <w:ind w:firstLine="640" w:firstLineChars="200"/>
        <w:rPr>
          <w:rFonts w:ascii="仿宋" w:hAnsi="仿宋" w:eastAsia="仿宋" w:cs="仿宋"/>
          <w:bCs/>
          <w:color w:val="000000" w:themeColor="text1"/>
          <w:sz w:val="32"/>
          <w:szCs w:val="32"/>
        </w:rPr>
      </w:pPr>
      <w:r>
        <w:rPr>
          <w:rFonts w:ascii="仿宋" w:hAnsi="仿宋" w:eastAsia="仿宋" w:cs="仿宋"/>
          <w:bCs/>
          <w:color w:val="000000" w:themeColor="text1"/>
          <w:sz w:val="32"/>
          <w:szCs w:val="32"/>
        </w:rPr>
        <w:t>培训结业由</w:t>
      </w:r>
      <w:r>
        <w:rPr>
          <w:rFonts w:hint="eastAsia" w:ascii="仿宋" w:hAnsi="仿宋" w:eastAsia="仿宋" w:cs="仿宋"/>
          <w:bCs/>
          <w:color w:val="000000" w:themeColor="text1"/>
          <w:sz w:val="32"/>
          <w:szCs w:val="32"/>
        </w:rPr>
        <w:t>中国</w:t>
      </w:r>
      <w:r>
        <w:rPr>
          <w:rFonts w:ascii="仿宋" w:hAnsi="仿宋" w:eastAsia="仿宋" w:cs="仿宋"/>
          <w:bCs/>
          <w:color w:val="000000" w:themeColor="text1"/>
          <w:sz w:val="32"/>
          <w:szCs w:val="32"/>
        </w:rPr>
        <w:t>国家人事人才培训网、北京企业管理咨询协会共同颁发“投融资管理师”或“金融风险管理师”证书，需提供报名回执表、二寸白底免冠彩色照片（电子版）、身份证（复印件）、学历证书（复印件）各一份。证书可在“国培网人才数据库”查询。</w:t>
      </w:r>
    </w:p>
    <w:p>
      <w:pPr>
        <w:spacing w:line="440" w:lineRule="exact"/>
        <w:rPr>
          <w:rFonts w:ascii="楷体" w:hAnsi="楷体" w:eastAsia="楷体" w:cs="仿宋"/>
          <w:bCs/>
          <w:sz w:val="32"/>
          <w:szCs w:val="32"/>
        </w:rPr>
      </w:pPr>
      <w:r>
        <w:rPr>
          <w:rFonts w:hint="eastAsia" w:ascii="仿宋" w:hAnsi="仿宋" w:eastAsia="仿宋" w:cs="仿宋"/>
          <w:b/>
          <w:bCs/>
          <w:sz w:val="32"/>
          <w:szCs w:val="32"/>
        </w:rPr>
        <w:t xml:space="preserve">    </w:t>
      </w:r>
      <w:r>
        <w:rPr>
          <w:rFonts w:ascii="楷体" w:hAnsi="楷体" w:eastAsia="楷体" w:cs="仿宋"/>
          <w:bCs/>
          <w:sz w:val="32"/>
          <w:szCs w:val="32"/>
        </w:rPr>
        <w:t>（二）联系方式</w:t>
      </w:r>
    </w:p>
    <w:p>
      <w:pPr>
        <w:pStyle w:val="17"/>
        <w:spacing w:line="440" w:lineRule="exact"/>
        <w:ind w:firstLine="64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报名负责人：聂红军 主任18211071700（微信）   </w:t>
      </w:r>
    </w:p>
    <w:p>
      <w:pPr>
        <w:pStyle w:val="17"/>
        <w:spacing w:line="440" w:lineRule="exact"/>
        <w:ind w:firstLine="640"/>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电  话：010-87697580    邮    箱：zqgphwz@126.com  </w:t>
      </w:r>
    </w:p>
    <w:p>
      <w:pPr>
        <w:pStyle w:val="17"/>
        <w:spacing w:line="440" w:lineRule="exact"/>
        <w:ind w:firstLine="640"/>
        <w:outlineLvl w:val="0"/>
        <w:rPr>
          <w:rFonts w:ascii="仿宋" w:hAnsi="仿宋" w:eastAsia="仿宋" w:cs="仿宋"/>
          <w:bCs/>
          <w:color w:val="000000"/>
          <w:sz w:val="32"/>
          <w:szCs w:val="32"/>
        </w:rPr>
      </w:pPr>
      <w:r>
        <w:rPr>
          <w:rFonts w:hint="eastAsia" w:ascii="仿宋" w:hAnsi="仿宋" w:eastAsia="仿宋" w:cs="仿宋"/>
          <w:bCs/>
          <w:color w:val="000000"/>
          <w:sz w:val="32"/>
          <w:szCs w:val="32"/>
        </w:rPr>
        <w:t>qq咨询：3177524020 网址查询：http://www.zqgpchina.cn/</w:t>
      </w:r>
    </w:p>
    <w:p>
      <w:pPr>
        <w:pStyle w:val="3"/>
        <w:spacing w:line="440" w:lineRule="exact"/>
        <w:ind w:left="0" w:firstLine="628" w:firstLineChars="196"/>
        <w:rPr>
          <w:rFonts w:ascii="仿宋" w:hAnsi="仿宋" w:eastAsia="仿宋" w:cs="仿宋"/>
          <w:b/>
        </w:rPr>
      </w:pPr>
    </w:p>
    <w:p>
      <w:pPr>
        <w:pStyle w:val="3"/>
        <w:spacing w:line="440" w:lineRule="exact"/>
        <w:ind w:left="0" w:firstLine="628" w:firstLineChars="196"/>
        <w:rPr>
          <w:rFonts w:ascii="仿宋" w:hAnsi="仿宋" w:eastAsia="仿宋" w:cs="仿宋"/>
          <w:bCs/>
          <w:color w:val="000000"/>
        </w:rPr>
      </w:pPr>
      <w:r>
        <w:rPr>
          <w:rFonts w:ascii="仿宋" w:hAnsi="仿宋" w:eastAsia="仿宋" w:cs="仿宋"/>
          <w:b/>
        </w:rPr>
        <w:t>附件：</w:t>
      </w:r>
      <w:r>
        <w:rPr>
          <w:rFonts w:ascii="仿宋" w:hAnsi="仿宋" w:eastAsia="仿宋" w:cs="仿宋"/>
        </w:rPr>
        <w:t>1.</w:t>
      </w:r>
      <w:r>
        <w:rPr>
          <w:rFonts w:ascii="仿宋" w:hAnsi="仿宋" w:eastAsia="仿宋" w:cs="仿宋"/>
          <w:bCs/>
          <w:color w:val="000000"/>
        </w:rPr>
        <w:t>培训内容</w:t>
      </w:r>
    </w:p>
    <w:p>
      <w:pPr>
        <w:pStyle w:val="3"/>
        <w:spacing w:line="440" w:lineRule="exact"/>
        <w:ind w:left="0" w:firstLine="480" w:firstLineChars="150"/>
        <w:rPr>
          <w:rFonts w:ascii="仿宋" w:hAnsi="仿宋" w:eastAsia="仿宋" w:cs="仿宋"/>
          <w:bCs/>
          <w:color w:val="000000"/>
        </w:rPr>
      </w:pPr>
      <w:r>
        <w:rPr>
          <w:rFonts w:ascii="仿宋" w:hAnsi="仿宋" w:eastAsia="仿宋" w:cs="仿宋"/>
          <w:bCs/>
          <w:color w:val="000000"/>
        </w:rPr>
        <w:t xml:space="preserve">       2.报名回执表</w:t>
      </w:r>
    </w:p>
    <w:p>
      <w:pPr>
        <w:pStyle w:val="17"/>
        <w:spacing w:line="440" w:lineRule="exact"/>
        <w:ind w:firstLine="5600" w:firstLineChars="1750"/>
        <w:outlineLvl w:val="0"/>
        <w:rPr>
          <w:rFonts w:ascii="仿宋" w:hAnsi="仿宋" w:eastAsia="仿宋" w:cs="仿宋"/>
          <w:bCs/>
          <w:color w:val="000000"/>
          <w:sz w:val="32"/>
          <w:szCs w:val="32"/>
          <w:lang w:bidi="zh-CN"/>
        </w:rPr>
      </w:pPr>
    </w:p>
    <w:p>
      <w:pPr>
        <w:pStyle w:val="17"/>
        <w:spacing w:line="440" w:lineRule="exact"/>
        <w:ind w:firstLine="3456" w:firstLineChars="1080"/>
        <w:outlineLvl w:val="0"/>
        <w:rPr>
          <w:rFonts w:ascii="仿宋" w:hAnsi="仿宋" w:eastAsia="仿宋" w:cs="仿宋"/>
          <w:bCs/>
          <w:color w:val="000000"/>
          <w:sz w:val="32"/>
          <w:szCs w:val="32"/>
          <w:lang w:bidi="zh-CN"/>
        </w:rPr>
      </w:pPr>
    </w:p>
    <w:p>
      <w:pPr>
        <w:pStyle w:val="17"/>
        <w:spacing w:line="440" w:lineRule="exact"/>
        <w:ind w:firstLine="3456" w:firstLineChars="1080"/>
        <w:outlineLvl w:val="0"/>
        <w:rPr>
          <w:rFonts w:ascii="仿宋" w:hAnsi="仿宋" w:eastAsia="仿宋" w:cs="仿宋"/>
          <w:bCs/>
          <w:color w:val="000000"/>
          <w:sz w:val="32"/>
          <w:szCs w:val="32"/>
          <w:lang w:bidi="zh-CN"/>
        </w:rPr>
      </w:pPr>
    </w:p>
    <w:p>
      <w:pPr>
        <w:spacing w:line="400" w:lineRule="exact"/>
        <w:ind w:firstLine="800" w:firstLineChars="250"/>
        <w:rPr>
          <w:rFonts w:ascii="仿宋" w:hAnsi="仿宋" w:eastAsia="仿宋" w:cs="Times New Roman"/>
          <w:color w:val="000000"/>
          <w:sz w:val="32"/>
          <w:szCs w:val="32"/>
        </w:rPr>
      </w:pPr>
      <w:r>
        <w:rPr>
          <w:rFonts w:ascii="仿宋" w:hAnsi="仿宋" w:eastAsia="仿宋" w:cs="Times New Roman"/>
          <w:color w:val="000000"/>
          <w:sz w:val="32"/>
          <w:szCs w:val="32"/>
        </w:rPr>
        <w:drawing>
          <wp:anchor distT="0" distB="0" distL="114935" distR="114935" simplePos="0" relativeHeight="251658240" behindDoc="0" locked="0" layoutInCell="1" allowOverlap="1">
            <wp:simplePos x="0" y="0"/>
            <wp:positionH relativeFrom="column">
              <wp:posOffset>1521460</wp:posOffset>
            </wp:positionH>
            <wp:positionV relativeFrom="paragraph">
              <wp:posOffset>104140</wp:posOffset>
            </wp:positionV>
            <wp:extent cx="4282440" cy="1851660"/>
            <wp:effectExtent l="0" t="0" r="0" b="7620"/>
            <wp:wrapNone/>
            <wp:docPr id="1" name="图片 1" descr="1611909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993(1)"/>
                    <pic:cNvPicPr>
                      <a:picLocks noChangeAspect="1"/>
                    </pic:cNvPicPr>
                  </pic:nvPicPr>
                  <pic:blipFill>
                    <a:blip r:embed="rId5"/>
                    <a:stretch>
                      <a:fillRect/>
                    </a:stretch>
                  </pic:blipFill>
                  <pic:spPr>
                    <a:xfrm>
                      <a:off x="0" y="0"/>
                      <a:ext cx="4282440" cy="1851660"/>
                    </a:xfrm>
                    <a:prstGeom prst="rect">
                      <a:avLst/>
                    </a:prstGeom>
                  </pic:spPr>
                </pic:pic>
              </a:graphicData>
            </a:graphic>
          </wp:anchor>
        </w:drawing>
      </w:r>
    </w:p>
    <w:p>
      <w:pPr>
        <w:spacing w:line="440" w:lineRule="exact"/>
        <w:rPr>
          <w:rFonts w:ascii="仿宋" w:hAnsi="仿宋" w:eastAsia="仿宋" w:cs="黑体"/>
          <w:sz w:val="32"/>
          <w:szCs w:val="32"/>
        </w:rPr>
      </w:pPr>
    </w:p>
    <w:p>
      <w:pPr>
        <w:spacing w:line="440" w:lineRule="exact"/>
        <w:rPr>
          <w:rFonts w:ascii="仿宋" w:hAnsi="仿宋" w:eastAsia="仿宋" w:cs="黑体"/>
          <w:sz w:val="32"/>
          <w:szCs w:val="32"/>
        </w:rPr>
      </w:pPr>
    </w:p>
    <w:p>
      <w:pPr>
        <w:spacing w:line="440" w:lineRule="exact"/>
        <w:rPr>
          <w:rFonts w:ascii="仿宋" w:hAnsi="仿宋" w:eastAsia="仿宋" w:cs="黑体"/>
          <w:sz w:val="28"/>
          <w:szCs w:val="28"/>
        </w:rPr>
      </w:pPr>
    </w:p>
    <w:p>
      <w:pPr>
        <w:spacing w:line="290" w:lineRule="exact"/>
        <w:rPr>
          <w:rFonts w:ascii="仿宋" w:hAnsi="仿宋" w:eastAsia="仿宋" w:cs="黑体"/>
          <w:b/>
          <w:bCs/>
          <w:color w:val="000000"/>
          <w:sz w:val="28"/>
          <w:szCs w:val="28"/>
        </w:rPr>
      </w:pPr>
    </w:p>
    <w:p>
      <w:pPr>
        <w:spacing w:line="290" w:lineRule="exact"/>
        <w:rPr>
          <w:rFonts w:ascii="仿宋" w:hAnsi="仿宋" w:eastAsia="仿宋" w:cs="黑体"/>
          <w:b/>
          <w:bCs/>
          <w:color w:val="000000"/>
          <w:sz w:val="28"/>
          <w:szCs w:val="28"/>
        </w:rPr>
      </w:pPr>
    </w:p>
    <w:p>
      <w:pPr>
        <w:spacing w:line="260" w:lineRule="exact"/>
        <w:rPr>
          <w:rFonts w:ascii="仿宋" w:hAnsi="仿宋" w:eastAsia="仿宋" w:cs="黑体"/>
          <w:b/>
          <w:bCs/>
          <w:color w:val="000000"/>
          <w:sz w:val="28"/>
          <w:szCs w:val="28"/>
        </w:rPr>
      </w:pPr>
    </w:p>
    <w:p>
      <w:pPr>
        <w:spacing w:line="260" w:lineRule="exact"/>
        <w:rPr>
          <w:rFonts w:ascii="仿宋" w:hAnsi="仿宋" w:eastAsia="仿宋" w:cs="黑体"/>
          <w:b/>
          <w:bCs/>
          <w:color w:val="000000"/>
          <w:sz w:val="28"/>
          <w:szCs w:val="28"/>
        </w:rPr>
      </w:pPr>
    </w:p>
    <w:p>
      <w:pPr>
        <w:spacing w:line="360" w:lineRule="exact"/>
        <w:rPr>
          <w:rFonts w:ascii="仿宋" w:hAnsi="仿宋" w:eastAsia="仿宋" w:cs="黑体"/>
          <w:b/>
          <w:bCs/>
          <w:color w:val="000000"/>
          <w:sz w:val="28"/>
          <w:szCs w:val="28"/>
        </w:rPr>
      </w:pPr>
    </w:p>
    <w:p>
      <w:pPr>
        <w:spacing w:line="360" w:lineRule="exact"/>
        <w:rPr>
          <w:rFonts w:ascii="宋体" w:hAnsi="宋体" w:eastAsia="宋体" w:cs="宋体"/>
          <w:b/>
          <w:bCs/>
          <w:color w:val="000000"/>
          <w:sz w:val="28"/>
          <w:szCs w:val="28"/>
        </w:rPr>
      </w:pPr>
    </w:p>
    <w:p>
      <w:pPr>
        <w:spacing w:line="360" w:lineRule="exact"/>
        <w:rPr>
          <w:rFonts w:ascii="宋体" w:hAnsi="宋体" w:eastAsia="宋体" w:cs="宋体"/>
          <w:b/>
          <w:bCs/>
          <w:color w:val="000000"/>
          <w:sz w:val="28"/>
          <w:szCs w:val="28"/>
        </w:rPr>
      </w:pPr>
    </w:p>
    <w:p>
      <w:pPr>
        <w:spacing w:line="360" w:lineRule="exact"/>
        <w:rPr>
          <w:rFonts w:ascii="宋体" w:hAnsi="宋体" w:eastAsia="宋体" w:cs="宋体"/>
          <w:b/>
          <w:bCs/>
          <w:color w:val="000000"/>
          <w:sz w:val="28"/>
          <w:szCs w:val="28"/>
        </w:rPr>
      </w:pPr>
    </w:p>
    <w:p>
      <w:pPr>
        <w:spacing w:line="360" w:lineRule="exact"/>
        <w:rPr>
          <w:rFonts w:ascii="宋体" w:hAnsi="宋体" w:eastAsia="宋体" w:cs="宋体"/>
          <w:b/>
          <w:bCs/>
          <w:color w:val="000000"/>
          <w:sz w:val="28"/>
          <w:szCs w:val="28"/>
        </w:rPr>
      </w:pPr>
    </w:p>
    <w:p>
      <w:pPr>
        <w:spacing w:line="360" w:lineRule="exact"/>
        <w:rPr>
          <w:rFonts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hint="eastAsia" w:ascii="宋体" w:hAnsi="宋体" w:eastAsia="宋体" w:cs="宋体"/>
          <w:b/>
          <w:bCs/>
          <w:color w:val="000000"/>
          <w:sz w:val="28"/>
          <w:szCs w:val="28"/>
        </w:rPr>
      </w:pPr>
    </w:p>
    <w:p>
      <w:pPr>
        <w:spacing w:line="36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附件:1</w:t>
      </w:r>
    </w:p>
    <w:p>
      <w:pPr>
        <w:spacing w:line="340" w:lineRule="exact"/>
        <w:jc w:val="center"/>
        <w:rPr>
          <w:rFonts w:ascii="宋体" w:hAnsi="宋体" w:eastAsia="宋体" w:cs="宋体"/>
          <w:b/>
          <w:bCs/>
          <w:color w:val="000000"/>
          <w:sz w:val="28"/>
          <w:szCs w:val="28"/>
        </w:rPr>
      </w:pPr>
      <w:r>
        <w:rPr>
          <w:rFonts w:hint="eastAsia" w:ascii="宋体" w:hAnsi="宋体" w:eastAsia="宋体" w:cs="宋体"/>
          <w:b/>
          <w:bCs/>
          <w:color w:val="000000"/>
          <w:sz w:val="32"/>
          <w:szCs w:val="32"/>
        </w:rPr>
        <w:t>培 训 内 容</w:t>
      </w:r>
    </w:p>
    <w:p>
      <w:pPr>
        <w:spacing w:line="340" w:lineRule="exact"/>
        <w:ind w:firstLine="560" w:firstLineChars="200"/>
        <w:jc w:val="left"/>
        <w:rPr>
          <w:rFonts w:hint="eastAsia" w:ascii="黑体" w:hAnsi="黑体" w:eastAsia="黑体" w:cs="黑体"/>
          <w:color w:val="000000"/>
          <w:sz w:val="28"/>
          <w:szCs w:val="28"/>
        </w:rPr>
      </w:pPr>
    </w:p>
    <w:p>
      <w:pPr>
        <w:spacing w:line="340" w:lineRule="exact"/>
        <w:ind w:firstLine="560" w:firstLineChars="200"/>
        <w:jc w:val="left"/>
        <w:rPr>
          <w:rFonts w:hint="eastAsia" w:ascii="黑体" w:hAnsi="黑体" w:eastAsia="黑体" w:cs="黑体"/>
          <w:color w:val="000000"/>
          <w:sz w:val="28"/>
          <w:szCs w:val="28"/>
        </w:rPr>
      </w:pPr>
      <w:r>
        <w:rPr>
          <w:rFonts w:hint="eastAsia" w:ascii="黑体" w:hAnsi="黑体" w:eastAsia="黑体" w:cs="黑体"/>
          <w:color w:val="000000"/>
          <w:sz w:val="28"/>
          <w:szCs w:val="28"/>
        </w:rPr>
        <w:t>一、政府项目谋划、投融资实务操作与风险控制</w:t>
      </w:r>
    </w:p>
    <w:p>
      <w:pPr>
        <w:spacing w:line="340" w:lineRule="exact"/>
        <w:ind w:firstLine="560" w:firstLineChars="200"/>
        <w:jc w:val="left"/>
        <w:rPr>
          <w:rFonts w:ascii="黑体" w:hAnsi="黑体" w:eastAsia="黑体" w:cs="黑体"/>
          <w:color w:val="000000"/>
          <w:sz w:val="28"/>
          <w:szCs w:val="28"/>
        </w:rPr>
      </w:pPr>
      <w:r>
        <w:rPr>
          <w:rFonts w:hint="eastAsia" w:ascii="楷体" w:hAnsi="楷体" w:eastAsia="楷体" w:cs="楷体"/>
          <w:bCs/>
          <w:color w:val="000000"/>
          <w:sz w:val="28"/>
          <w:szCs w:val="28"/>
        </w:rPr>
        <w:t>（一）区域经济发展过程中的机遇与挑战</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1.目前的宏观经济发展与政策调整的解析</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2</w:t>
      </w:r>
      <w:r>
        <w:rPr>
          <w:rFonts w:hint="eastAsia" w:ascii="仿宋" w:hAnsi="仿宋" w:eastAsia="仿宋" w:cs="Times New Roman"/>
          <w:bCs/>
          <w:color w:val="000000"/>
          <w:sz w:val="28"/>
          <w:szCs w:val="28"/>
        </w:rPr>
        <w:t>.资源性资产持有的利弊</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.产业升级过程中的机遇</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4</w:t>
      </w:r>
      <w:r>
        <w:rPr>
          <w:rFonts w:hint="eastAsia" w:ascii="仿宋" w:hAnsi="仿宋" w:eastAsia="仿宋" w:cs="Times New Roman"/>
          <w:bCs/>
          <w:color w:val="000000"/>
          <w:sz w:val="28"/>
          <w:szCs w:val="28"/>
        </w:rPr>
        <w:t>.园区企业和施工及房地产开发公司的业务转型和升级</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5</w:t>
      </w:r>
      <w:r>
        <w:rPr>
          <w:rFonts w:hint="eastAsia" w:ascii="仿宋" w:hAnsi="仿宋" w:eastAsia="仿宋" w:cs="Times New Roman"/>
          <w:bCs/>
          <w:color w:val="000000"/>
          <w:sz w:val="28"/>
          <w:szCs w:val="28"/>
        </w:rPr>
        <w:t>.如何利用好资产证券化推动区域经济发展</w:t>
      </w:r>
    </w:p>
    <w:p>
      <w:pPr>
        <w:spacing w:line="340" w:lineRule="exact"/>
        <w:ind w:firstLine="848" w:firstLineChars="303"/>
        <w:jc w:val="left"/>
        <w:rPr>
          <w:rFonts w:ascii="仿宋" w:hAnsi="仿宋" w:eastAsia="仿宋" w:cs="Times New Roman"/>
          <w:bCs/>
          <w:color w:val="000000"/>
          <w:sz w:val="28"/>
          <w:szCs w:val="28"/>
        </w:rPr>
      </w:pPr>
      <w:r>
        <w:rPr>
          <w:rFonts w:ascii="仿宋" w:hAnsi="仿宋" w:eastAsia="仿宋" w:cs="Times New Roman"/>
          <w:bCs/>
          <w:color w:val="000000"/>
          <w:sz w:val="28"/>
          <w:szCs w:val="28"/>
        </w:rPr>
        <w:t>6</w:t>
      </w:r>
      <w:r>
        <w:rPr>
          <w:rFonts w:hint="eastAsia" w:ascii="仿宋" w:hAnsi="仿宋" w:eastAsia="仿宋" w:cs="Times New Roman"/>
          <w:bCs/>
          <w:color w:val="000000"/>
          <w:sz w:val="28"/>
          <w:szCs w:val="28"/>
        </w:rPr>
        <w:t>.地方债务变化的趋势与风险防控</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7</w:t>
      </w:r>
      <w:r>
        <w:rPr>
          <w:rFonts w:hint="eastAsia" w:ascii="仿宋" w:hAnsi="仿宋" w:eastAsia="仿宋" w:cs="Times New Roman"/>
          <w:bCs/>
          <w:color w:val="000000"/>
          <w:sz w:val="28"/>
          <w:szCs w:val="28"/>
        </w:rPr>
        <w:t>.投融资平台在经济发展中的重要性及对项目稳定推进的作用</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8</w:t>
      </w:r>
      <w:r>
        <w:rPr>
          <w:rFonts w:hint="eastAsia" w:ascii="仿宋" w:hAnsi="仿宋" w:eastAsia="仿宋" w:cs="Times New Roman"/>
          <w:bCs/>
          <w:color w:val="000000"/>
          <w:sz w:val="28"/>
          <w:szCs w:val="28"/>
        </w:rPr>
        <w:t>.产业基金在区域经济发展过程中的作用</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（二）政府债务化解的方法与路径</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1.平台公司业务转型和升级与地方政府债务控制的关联性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2.投融资平台对于降低政府债务有什么作用</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3.土地一级开发、土地储备、产业园区发展与地方债</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4.城市新区、县域经济、产业园区和新型城镇化的土地运营模式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5.金融机构如何看待土地一级开发的风险与防控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6.土地开发融资的渠道、方式和技巧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7.专项债申请发行的准备</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8.融资方式和各类融资渠道</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9.拓宽融资渠道和搭建政府融资平台为什么重要</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10.投资方、政府、项目公司及银行等财务测算和税收管理</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（三）基础设施项目操盘实务操作</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1.政府与投资人如何看待项目的土地一级开发和二级项目拿地</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2.在推进项目的过程中，</w:t>
      </w:r>
      <w:r>
        <w:rPr>
          <w:rFonts w:ascii="仿宋" w:hAnsi="仿宋" w:eastAsia="仿宋" w:cs="Times New Roman"/>
          <w:bCs/>
          <w:color w:val="000000"/>
          <w:sz w:val="28"/>
          <w:szCs w:val="28"/>
        </w:rPr>
        <w:t>PPP</w:t>
      </w:r>
      <w:r>
        <w:rPr>
          <w:rFonts w:hint="eastAsia" w:ascii="仿宋" w:hAnsi="仿宋" w:eastAsia="仿宋" w:cs="Times New Roman"/>
          <w:bCs/>
          <w:color w:val="000000"/>
          <w:sz w:val="28"/>
          <w:szCs w:val="28"/>
        </w:rPr>
        <w:t>的方式与传统方式的不同节点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3.项目的投资价值评估分析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4.施工公司项目经理为什么要有财务知识才能更好地拿到项目</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5.项目管理全过程场景实务展现</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6.项目实施方案的编制与制定</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7.特许经营权项目在前期策划过程中各类要素统筹的重要性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8.融资成本与融资时序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9.项目资金的结构与收益的关联性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10.项目前期的现金流平衡测算及分析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11.项目的股权结构和未来的调整设计</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12.项目的产出标准和回报机制设计</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13.项目合同核心条款的解析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14.项目投资以及收益的退出</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15.项目运营过程中调价机制的设计</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16.项目税费的筹划与管理</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17.政府平台公司对于项目稳定推进的作用</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18.项目的资产证券化</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19.项目运营过程中的财务管理和分析</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（四）平台公司转型在区域经济发展过程中的机遇与挑战</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1.资金来源、构成以及节点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2.财务成本以及资本金收益率</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3.城投的现金流量平衡</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4.融资不到位的补救</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5.城投公司的融资渠道以及成本分析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6.债项资金到期的搭接</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7.抵押物（包括但不限于股权、在建工程、未来收益权等）</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8.政府项目补贴等的处理</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9.商业银行借贷资金与产业基金的不同作用</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10.资产证券化与</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在基金退出过程中的风险</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11.基金的撬动杠杆作用及其风险控制</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12.夹层融资、信托融资、融资租赁等渠道的优劣势</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13.并购过程中的风险防控以及未来预期的实现保障设置</w:t>
      </w:r>
    </w:p>
    <w:p>
      <w:pPr>
        <w:spacing w:line="340" w:lineRule="exact"/>
        <w:ind w:firstLine="638" w:firstLineChars="228"/>
        <w:jc w:val="left"/>
        <w:rPr>
          <w:rFonts w:ascii="楷体" w:hAnsi="楷体" w:eastAsia="楷体" w:cs="楷体"/>
          <w:color w:val="000000"/>
          <w:sz w:val="28"/>
          <w:szCs w:val="28"/>
        </w:rPr>
      </w:pPr>
      <w:r>
        <w:rPr>
          <w:rFonts w:hint="eastAsia" w:ascii="楷体" w:hAnsi="楷体" w:eastAsia="楷体" w:cs="楷体"/>
          <w:color w:val="000000"/>
          <w:sz w:val="28"/>
          <w:szCs w:val="28"/>
        </w:rPr>
        <w:t>（五）投融资策划与方案分析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1.投资方利用资产负债表、现金流量表、利润表进行前期策划</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2.合作各方如何利用项目前期投融资策划降低项目运营成本</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.具备一定的投融资和财务知识对于拿到项目的重要性</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4</w:t>
      </w:r>
      <w:r>
        <w:rPr>
          <w:rFonts w:hint="eastAsia" w:ascii="仿宋" w:hAnsi="仿宋" w:eastAsia="仿宋" w:cs="Times New Roman"/>
          <w:bCs/>
          <w:color w:val="000000"/>
          <w:sz w:val="28"/>
          <w:szCs w:val="28"/>
        </w:rPr>
        <w:t>.项目参与各方的投资价值评估分析</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5</w:t>
      </w:r>
      <w:r>
        <w:rPr>
          <w:rFonts w:hint="eastAsia" w:ascii="仿宋" w:hAnsi="仿宋" w:eastAsia="仿宋" w:cs="Times New Roman"/>
          <w:bCs/>
          <w:color w:val="000000"/>
          <w:sz w:val="28"/>
          <w:szCs w:val="28"/>
        </w:rPr>
        <w:t>.投融资合同核心条款设计</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6</w:t>
      </w:r>
      <w:r>
        <w:rPr>
          <w:rFonts w:hint="eastAsia" w:ascii="仿宋" w:hAnsi="仿宋" w:eastAsia="仿宋" w:cs="Times New Roman"/>
          <w:bCs/>
          <w:color w:val="000000"/>
          <w:sz w:val="28"/>
          <w:szCs w:val="28"/>
        </w:rPr>
        <w:t>.项目投资期限和规模是怎么设定的</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7</w:t>
      </w:r>
      <w:r>
        <w:rPr>
          <w:rFonts w:hint="eastAsia" w:ascii="仿宋" w:hAnsi="仿宋" w:eastAsia="仿宋" w:cs="Times New Roman"/>
          <w:bCs/>
          <w:color w:val="000000"/>
          <w:sz w:val="28"/>
          <w:szCs w:val="28"/>
        </w:rPr>
        <w:t>.项目的股权结构和未来调整设计</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8</w:t>
      </w:r>
      <w:r>
        <w:rPr>
          <w:rFonts w:hint="eastAsia" w:ascii="仿宋" w:hAnsi="仿宋" w:eastAsia="仿宋" w:cs="Times New Roman"/>
          <w:bCs/>
          <w:color w:val="000000"/>
          <w:sz w:val="28"/>
          <w:szCs w:val="28"/>
        </w:rPr>
        <w:t>.项目的股权融资和使用</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9</w:t>
      </w:r>
      <w:r>
        <w:rPr>
          <w:rFonts w:hint="eastAsia" w:ascii="仿宋" w:hAnsi="仿宋" w:eastAsia="仿宋" w:cs="Times New Roman"/>
          <w:bCs/>
          <w:color w:val="000000"/>
          <w:sz w:val="28"/>
          <w:szCs w:val="28"/>
        </w:rPr>
        <w:t>.融资成本管控及控制措施</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0</w:t>
      </w:r>
      <w:r>
        <w:rPr>
          <w:rFonts w:hint="eastAsia" w:ascii="仿宋" w:hAnsi="仿宋" w:eastAsia="仿宋" w:cs="Times New Roman"/>
          <w:bCs/>
          <w:color w:val="000000"/>
          <w:sz w:val="28"/>
          <w:szCs w:val="28"/>
        </w:rPr>
        <w:t>.融资需要解决的核心问题</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11.项目公司的资产证券化</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2</w:t>
      </w:r>
      <w:r>
        <w:rPr>
          <w:rFonts w:hint="eastAsia" w:ascii="仿宋" w:hAnsi="仿宋" w:eastAsia="仿宋" w:cs="Times New Roman"/>
          <w:bCs/>
          <w:color w:val="000000"/>
          <w:sz w:val="28"/>
          <w:szCs w:val="28"/>
        </w:rPr>
        <w:t>.资金的结构与收益的关联性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.参与各方的现金流平衡测算及分析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4</w:t>
      </w:r>
      <w:r>
        <w:rPr>
          <w:rFonts w:hint="eastAsia" w:ascii="仿宋" w:hAnsi="仿宋" w:eastAsia="仿宋" w:cs="Times New Roman"/>
          <w:bCs/>
          <w:color w:val="000000"/>
          <w:sz w:val="28"/>
          <w:szCs w:val="28"/>
        </w:rPr>
        <w:t>.项目的产出标准回报机制设计</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5</w:t>
      </w:r>
      <w:r>
        <w:rPr>
          <w:rFonts w:hint="eastAsia" w:ascii="仿宋" w:hAnsi="仿宋" w:eastAsia="仿宋" w:cs="Times New Roman"/>
          <w:bCs/>
          <w:color w:val="000000"/>
          <w:sz w:val="28"/>
          <w:szCs w:val="28"/>
        </w:rPr>
        <w:t>.不同参与主体及项目公司税费的筹划与管理</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（六）新基建政策分析和市场评估</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1.在新基建过程中资源性资产持有的利弊</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2.智慧城市、循环经济、</w:t>
      </w:r>
      <w:r>
        <w:rPr>
          <w:rFonts w:ascii="仿宋" w:hAnsi="仿宋" w:eastAsia="仿宋" w:cs="Times New Roman"/>
          <w:bCs/>
          <w:color w:val="000000"/>
          <w:sz w:val="28"/>
          <w:szCs w:val="28"/>
        </w:rPr>
        <w:t>5G</w:t>
      </w:r>
      <w:r>
        <w:rPr>
          <w:rFonts w:hint="eastAsia" w:ascii="仿宋" w:hAnsi="仿宋" w:eastAsia="仿宋" w:cs="Times New Roman"/>
          <w:bCs/>
          <w:color w:val="000000"/>
          <w:sz w:val="28"/>
          <w:szCs w:val="28"/>
        </w:rPr>
        <w:t>等体系建设给我们带来的机遇</w:t>
      </w:r>
    </w:p>
    <w:p>
      <w:pPr>
        <w:spacing w:line="340" w:lineRule="exact"/>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 xml:space="preserve">  二、片区综合开发项目融资的路径和方法</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（一）企业融资方式概述</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1</w:t>
      </w:r>
      <w:r>
        <w:rPr>
          <w:rFonts w:hint="eastAsia" w:ascii="仿宋" w:hAnsi="仿宋" w:eastAsia="仿宋" w:cs="Times New Roman"/>
          <w:bCs/>
          <w:color w:val="000000"/>
          <w:sz w:val="28"/>
          <w:szCs w:val="28"/>
        </w:rPr>
        <w:t>.企业融资方式概览</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2</w:t>
      </w:r>
      <w:r>
        <w:rPr>
          <w:rFonts w:hint="eastAsia" w:ascii="仿宋" w:hAnsi="仿宋" w:eastAsia="仿宋" w:cs="Times New Roman"/>
          <w:bCs/>
          <w:color w:val="000000"/>
          <w:sz w:val="28"/>
          <w:szCs w:val="28"/>
        </w:rPr>
        <w:t>.传统融资方式比较</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.不同融资方式风险成本比较</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4</w:t>
      </w:r>
      <w:r>
        <w:rPr>
          <w:rFonts w:hint="eastAsia" w:ascii="仿宋" w:hAnsi="仿宋" w:eastAsia="仿宋" w:cs="Times New Roman"/>
          <w:bCs/>
          <w:color w:val="000000"/>
          <w:sz w:val="28"/>
          <w:szCs w:val="28"/>
        </w:rPr>
        <w:t>.银行信贷流程</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（二）金融机构如何看待片区综合开发类项目</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1.政府背景项目的特点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2.片区开发主体特点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3.片区综合开发类项目的复杂性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4.探索成熟的投资回报模式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5.构建融资担保模式</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（三）商业银行片区开发项目融资工具</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1.旧城改造融资及案例</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2.城镇化贷款</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3.棚户区改造贷款</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4.旧城改造基金</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（四）片区开发项目融资案例分析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1.投融资方案</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2.项目行政许可审查</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3.还款来源审查</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4.项目关键风险点及防范措施</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5.贷款发放承诺和前提条件</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6.投融资测算</w:t>
      </w:r>
    </w:p>
    <w:p>
      <w:pPr>
        <w:spacing w:line="340" w:lineRule="exact"/>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 xml:space="preserve">  三、“十四五”期间项目谋划重点与投融资工具解析</w:t>
      </w:r>
    </w:p>
    <w:p>
      <w:pPr>
        <w:spacing w:line="340" w:lineRule="exact"/>
        <w:ind w:firstLine="560" w:firstLineChars="200"/>
        <w:jc w:val="left"/>
        <w:rPr>
          <w:rFonts w:ascii="仿宋" w:hAnsi="仿宋" w:eastAsia="仿宋" w:cs="Times New Roman"/>
          <w:color w:val="000000"/>
          <w:sz w:val="28"/>
          <w:szCs w:val="28"/>
        </w:rPr>
      </w:pPr>
      <w:r>
        <w:rPr>
          <w:rFonts w:hint="eastAsia" w:ascii="楷体" w:hAnsi="楷体" w:eastAsia="楷体" w:cs="楷体"/>
          <w:color w:val="000000"/>
          <w:sz w:val="28"/>
          <w:szCs w:val="28"/>
        </w:rPr>
        <w:t>（一）“十四五”期间政府与城投的工作目标</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十四五</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期间的工作重点</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2</w:t>
      </w:r>
      <w:r>
        <w:rPr>
          <w:rFonts w:hint="eastAsia" w:ascii="仿宋" w:hAnsi="仿宋" w:eastAsia="仿宋" w:cs="Times New Roman"/>
          <w:bCs/>
          <w:color w:val="000000"/>
          <w:sz w:val="28"/>
          <w:szCs w:val="28"/>
        </w:rPr>
        <w:t>.未来五年基建、公共服务的建设目标</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.新形势下的政策解读</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4</w:t>
      </w:r>
      <w:r>
        <w:rPr>
          <w:rFonts w:hint="eastAsia" w:ascii="仿宋" w:hAnsi="仿宋" w:eastAsia="仿宋" w:cs="Times New Roman"/>
          <w:bCs/>
          <w:color w:val="000000"/>
          <w:sz w:val="28"/>
          <w:szCs w:val="28"/>
        </w:rPr>
        <w:t>.城投公司面临的改革</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5</w:t>
      </w:r>
      <w:r>
        <w:rPr>
          <w:rFonts w:hint="eastAsia" w:ascii="仿宋" w:hAnsi="仿宋" w:eastAsia="仿宋" w:cs="Times New Roman"/>
          <w:bCs/>
          <w:color w:val="000000"/>
          <w:sz w:val="28"/>
          <w:szCs w:val="28"/>
        </w:rPr>
        <w:t>.地方政府亟需解决的问题</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6</w:t>
      </w:r>
      <w:r>
        <w:rPr>
          <w:rFonts w:hint="eastAsia" w:ascii="仿宋" w:hAnsi="仿宋" w:eastAsia="仿宋" w:cs="Times New Roman"/>
          <w:bCs/>
          <w:color w:val="000000"/>
          <w:sz w:val="28"/>
          <w:szCs w:val="28"/>
        </w:rPr>
        <w:t>.如何培育地方发展新动能</w:t>
      </w:r>
    </w:p>
    <w:p>
      <w:pPr>
        <w:spacing w:line="340" w:lineRule="exact"/>
        <w:ind w:firstLine="840" w:firstLineChars="300"/>
        <w:jc w:val="left"/>
        <w:rPr>
          <w:rFonts w:ascii="仿宋" w:hAnsi="仿宋" w:eastAsia="仿宋" w:cs="Times New Roman"/>
          <w:bCs/>
          <w:color w:val="000000"/>
          <w:sz w:val="28"/>
          <w:szCs w:val="28"/>
        </w:rPr>
      </w:pPr>
      <w:r>
        <w:rPr>
          <w:rFonts w:ascii="仿宋" w:hAnsi="仿宋" w:eastAsia="仿宋" w:cs="Times New Roman"/>
          <w:bCs/>
          <w:color w:val="000000"/>
          <w:sz w:val="28"/>
          <w:szCs w:val="28"/>
        </w:rPr>
        <w:t>7</w:t>
      </w:r>
      <w:r>
        <w:rPr>
          <w:rFonts w:hint="eastAsia" w:ascii="仿宋" w:hAnsi="仿宋" w:eastAsia="仿宋" w:cs="Times New Roman"/>
          <w:bCs/>
          <w:color w:val="000000"/>
          <w:sz w:val="28"/>
          <w:szCs w:val="28"/>
        </w:rPr>
        <w:t>.展望</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十四五</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期间的地方可用财力</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（二）未来五年的项目谋划重点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两新一重</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的内涵与逻辑</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两新一重</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谋划</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3.基础设施与公共服务补短板强弱项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4.产城融合与片区开发</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5.大消费时代的公共消费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6.产业基础设施建设</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7.基建投资与招商引资</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（三）地方政府与城投的投融资工具全解析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1.地方政府一般债券</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2.地方政府专项债券</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3.政策性银行贷款</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4.城投债券</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w:t>
      </w:r>
      <w:r>
        <w:rPr>
          <w:rFonts w:ascii="仿宋" w:hAnsi="仿宋" w:eastAsia="仿宋" w:cs="Times New Roman"/>
          <w:bCs/>
          <w:color w:val="000000"/>
          <w:sz w:val="28"/>
          <w:szCs w:val="28"/>
        </w:rPr>
        <w:t>PPP</w:t>
      </w:r>
      <w:r>
        <w:rPr>
          <w:rFonts w:hint="eastAsia" w:ascii="仿宋" w:hAnsi="仿宋" w:eastAsia="仿宋" w:cs="Times New Roman"/>
          <w:bCs/>
          <w:color w:val="000000"/>
          <w:sz w:val="28"/>
          <w:szCs w:val="28"/>
        </w:rPr>
        <w:t>模式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6.非标准化融资</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7.政府投资基金</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8.股权融资模式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9.</w:t>
      </w:r>
      <w:r>
        <w:rPr>
          <w:rFonts w:ascii="仿宋" w:hAnsi="仿宋" w:eastAsia="仿宋" w:cs="Times New Roman"/>
          <w:bCs/>
          <w:color w:val="000000"/>
          <w:sz w:val="28"/>
          <w:szCs w:val="28"/>
        </w:rPr>
        <w:t>ABO</w:t>
      </w:r>
      <w:r>
        <w:rPr>
          <w:rFonts w:hint="eastAsia" w:ascii="仿宋" w:hAnsi="仿宋" w:eastAsia="仿宋" w:cs="Times New Roman"/>
          <w:bCs/>
          <w:color w:val="000000"/>
          <w:sz w:val="28"/>
          <w:szCs w:val="28"/>
        </w:rPr>
        <w:t>模式</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10.特许经营模式</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（四）储备项目的筛选、梳理与推进</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1.当前政府储备项目的主要问题</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2.如何筛选与梳理储备项目</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3.如何解决储备项目的融资问题</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4.建立动态的储备项目管理机制</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5.储备项目的评价机制</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（五）近期工作热点解读</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1.存量债务怎么办</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2.化解地方债务的思路</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3.盘活存量资产</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w:t>
      </w:r>
      <w:r>
        <w:rPr>
          <w:rFonts w:ascii="仿宋" w:hAnsi="仿宋" w:eastAsia="仿宋" w:cs="Times New Roman"/>
          <w:bCs/>
          <w:color w:val="000000"/>
          <w:sz w:val="28"/>
          <w:szCs w:val="28"/>
        </w:rPr>
        <w:t>2021</w:t>
      </w:r>
      <w:r>
        <w:rPr>
          <w:rFonts w:hint="eastAsia" w:ascii="仿宋" w:hAnsi="仿宋" w:eastAsia="仿宋" w:cs="Times New Roman"/>
          <w:bCs/>
          <w:color w:val="000000"/>
          <w:sz w:val="28"/>
          <w:szCs w:val="28"/>
        </w:rPr>
        <w:t>年的专项债券申报工作</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5.新形势下专项债券的申报要点</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6.基建</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的试点意义</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w:t>
      </w:r>
      <w:r>
        <w:rPr>
          <w:rFonts w:ascii="仿宋" w:hAnsi="仿宋" w:eastAsia="仿宋" w:cs="Times New Roman"/>
          <w:bCs/>
          <w:color w:val="000000"/>
          <w:sz w:val="28"/>
          <w:szCs w:val="28"/>
        </w:rPr>
        <w:t>EPC+F</w:t>
      </w:r>
      <w:r>
        <w:rPr>
          <w:rFonts w:hint="eastAsia" w:ascii="仿宋" w:hAnsi="仿宋" w:eastAsia="仿宋" w:cs="Times New Roman"/>
          <w:bCs/>
          <w:color w:val="000000"/>
          <w:sz w:val="28"/>
          <w:szCs w:val="28"/>
        </w:rPr>
        <w:t>模式还能做吗</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8.如何看待城投转型的大趋势</w:t>
      </w:r>
    </w:p>
    <w:p>
      <w:pPr>
        <w:spacing w:line="340" w:lineRule="exact"/>
        <w:ind w:firstLine="560" w:firstLineChars="200"/>
        <w:jc w:val="left"/>
        <w:rPr>
          <w:rFonts w:ascii="楷体" w:hAnsi="楷体" w:eastAsia="楷体" w:cs="楷体"/>
          <w:color w:val="000000"/>
          <w:sz w:val="28"/>
          <w:szCs w:val="28"/>
        </w:rPr>
      </w:pPr>
      <w:r>
        <w:rPr>
          <w:rFonts w:hint="eastAsia" w:ascii="楷体" w:hAnsi="楷体" w:eastAsia="楷体" w:cs="楷体"/>
          <w:color w:val="000000"/>
          <w:sz w:val="28"/>
          <w:szCs w:val="28"/>
        </w:rPr>
        <w:t>（六）项目谋划及融资案例分析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1.如何用好、用活专项债券额度</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2.如何利用</w:t>
      </w:r>
      <w:r>
        <w:rPr>
          <w:rFonts w:ascii="仿宋" w:hAnsi="仿宋" w:eastAsia="仿宋" w:cs="Times New Roman"/>
          <w:bCs/>
          <w:color w:val="000000"/>
          <w:sz w:val="28"/>
          <w:szCs w:val="28"/>
        </w:rPr>
        <w:t>PPP</w:t>
      </w:r>
      <w:r>
        <w:rPr>
          <w:rFonts w:hint="eastAsia" w:ascii="仿宋" w:hAnsi="仿宋" w:eastAsia="仿宋" w:cs="Times New Roman"/>
          <w:bCs/>
          <w:color w:val="000000"/>
          <w:sz w:val="28"/>
          <w:szCs w:val="28"/>
        </w:rPr>
        <w:t>模式盘活财政资金</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3.城市建设领域案例解析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4.老旧小区改造项目解析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5.乡村振兴项目解析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6.片区开发项目解析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7.环保类项目操作解析</w:t>
      </w:r>
    </w:p>
    <w:p>
      <w:pPr>
        <w:spacing w:line="340" w:lineRule="exact"/>
        <w:ind w:firstLine="560" w:firstLineChars="200"/>
        <w:jc w:val="left"/>
        <w:rPr>
          <w:rFonts w:ascii="楷体" w:hAnsi="楷体" w:eastAsia="楷体" w:cs="楷体"/>
          <w:bCs/>
          <w:color w:val="000000"/>
          <w:sz w:val="28"/>
          <w:szCs w:val="28"/>
        </w:rPr>
      </w:pPr>
      <w:r>
        <w:rPr>
          <w:rFonts w:hint="eastAsia" w:ascii="楷体" w:hAnsi="楷体" w:eastAsia="楷体" w:cs="楷体"/>
          <w:bCs/>
          <w:color w:val="000000"/>
          <w:sz w:val="28"/>
          <w:szCs w:val="28"/>
        </w:rPr>
        <w:t>（七）基础设施REITs及操作解析</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1.</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概念及基本特征</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2.基础设施</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试点政策解读</w:t>
      </w:r>
    </w:p>
    <w:p>
      <w:pPr>
        <w:spacing w:line="34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3.基础设施</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的审批流程</w:t>
      </w:r>
    </w:p>
    <w:p>
      <w:pPr>
        <w:spacing w:line="36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4.基础设施</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发行流程</w:t>
      </w:r>
    </w:p>
    <w:p>
      <w:pPr>
        <w:spacing w:line="36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5.最新</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基金备案步骤</w:t>
      </w:r>
    </w:p>
    <w:p>
      <w:pPr>
        <w:spacing w:line="360" w:lineRule="exact"/>
        <w:ind w:firstLine="840" w:firstLineChars="300"/>
        <w:jc w:val="left"/>
        <w:rPr>
          <w:rFonts w:ascii="仿宋" w:hAnsi="仿宋" w:eastAsia="仿宋" w:cs="Times New Roman"/>
          <w:bCs/>
          <w:color w:val="000000"/>
          <w:sz w:val="28"/>
          <w:szCs w:val="28"/>
        </w:rPr>
      </w:pPr>
      <w:r>
        <w:rPr>
          <w:rFonts w:hint="eastAsia" w:ascii="仿宋" w:hAnsi="仿宋" w:eastAsia="仿宋" w:cs="Times New Roman"/>
          <w:bCs/>
          <w:color w:val="000000"/>
          <w:sz w:val="28"/>
          <w:szCs w:val="28"/>
        </w:rPr>
        <w:t>6.</w:t>
      </w:r>
      <w:r>
        <w:rPr>
          <w:rFonts w:ascii="仿宋" w:hAnsi="仿宋" w:eastAsia="仿宋" w:cs="Times New Roman"/>
          <w:bCs/>
          <w:color w:val="000000"/>
          <w:sz w:val="28"/>
          <w:szCs w:val="28"/>
        </w:rPr>
        <w:t>REITs</w:t>
      </w:r>
      <w:r>
        <w:rPr>
          <w:rFonts w:hint="eastAsia" w:ascii="仿宋" w:hAnsi="仿宋" w:eastAsia="仿宋" w:cs="Times New Roman"/>
          <w:bCs/>
          <w:color w:val="000000"/>
          <w:sz w:val="28"/>
          <w:szCs w:val="28"/>
        </w:rPr>
        <w:t>带来的业务机会</w:t>
      </w:r>
    </w:p>
    <w:p>
      <w:pPr>
        <w:widowControl/>
        <w:spacing w:line="500" w:lineRule="exact"/>
        <w:jc w:val="center"/>
        <w:rPr>
          <w:rFonts w:ascii="仿宋" w:hAnsi="仿宋" w:eastAsia="仿宋" w:cs="楷体"/>
          <w:b/>
          <w:bCs/>
          <w:sz w:val="28"/>
          <w:szCs w:val="28"/>
        </w:rPr>
      </w:pPr>
    </w:p>
    <w:p>
      <w:pPr>
        <w:widowControl/>
        <w:spacing w:line="500" w:lineRule="exact"/>
        <w:rPr>
          <w:rStyle w:val="11"/>
          <w:rFonts w:ascii="仿宋" w:hAnsi="仿宋" w:eastAsia="仿宋" w:cs="黑体"/>
          <w:bCs w:val="0"/>
          <w:color w:val="000000"/>
          <w:sz w:val="28"/>
          <w:szCs w:val="28"/>
        </w:rPr>
      </w:pPr>
    </w:p>
    <w:p>
      <w:pPr>
        <w:widowControl/>
        <w:spacing w:line="500" w:lineRule="exact"/>
        <w:rPr>
          <w:rStyle w:val="11"/>
          <w:rFonts w:ascii="仿宋" w:hAnsi="仿宋" w:eastAsia="仿宋" w:cs="黑体"/>
          <w:bCs w:val="0"/>
          <w:color w:val="000000"/>
          <w:sz w:val="28"/>
          <w:szCs w:val="28"/>
        </w:rPr>
      </w:pPr>
      <w:r>
        <w:rPr>
          <w:rStyle w:val="11"/>
          <w:rFonts w:ascii="仿宋" w:hAnsi="仿宋" w:eastAsia="仿宋" w:cs="黑体"/>
          <w:bCs w:val="0"/>
          <w:color w:val="000000"/>
          <w:sz w:val="28"/>
          <w:szCs w:val="28"/>
        </w:rPr>
        <w:t>附件</w:t>
      </w:r>
      <w:r>
        <w:rPr>
          <w:rStyle w:val="11"/>
          <w:rFonts w:hint="eastAsia" w:ascii="仿宋" w:hAnsi="仿宋" w:eastAsia="仿宋" w:cs="黑体"/>
          <w:bCs w:val="0"/>
          <w:color w:val="000000"/>
          <w:sz w:val="28"/>
          <w:szCs w:val="28"/>
        </w:rPr>
        <w:t>：2</w:t>
      </w:r>
    </w:p>
    <w:p>
      <w:pPr>
        <w:widowControl/>
        <w:spacing w:line="500" w:lineRule="exact"/>
        <w:jc w:val="center"/>
        <w:rPr>
          <w:rStyle w:val="11"/>
          <w:rFonts w:hint="eastAsia" w:ascii="宋体" w:hAnsi="宋体" w:eastAsia="宋体" w:cs="宋体"/>
          <w:bCs w:val="0"/>
          <w:color w:val="000000"/>
          <w:sz w:val="28"/>
          <w:szCs w:val="28"/>
          <w:lang w:val="zh-CN"/>
        </w:rPr>
      </w:pPr>
      <w:r>
        <w:rPr>
          <w:rStyle w:val="11"/>
          <w:rFonts w:hint="eastAsia" w:ascii="宋体" w:hAnsi="宋体" w:eastAsia="宋体" w:cs="宋体"/>
          <w:bCs w:val="0"/>
          <w:color w:val="000000"/>
          <w:sz w:val="28"/>
          <w:szCs w:val="28"/>
          <w:lang w:val="zh-CN"/>
        </w:rPr>
        <w:t>地方政府 城投公司 施工企业 金融机构</w:t>
      </w:r>
    </w:p>
    <w:p>
      <w:pPr>
        <w:widowControl/>
        <w:spacing w:line="500" w:lineRule="exact"/>
        <w:jc w:val="center"/>
        <w:rPr>
          <w:rStyle w:val="11"/>
          <w:rFonts w:ascii="宋体" w:hAnsi="宋体" w:eastAsia="宋体" w:cs="宋体"/>
          <w:bCs w:val="0"/>
          <w:color w:val="000000"/>
          <w:sz w:val="24"/>
          <w:szCs w:val="24"/>
          <w:lang w:val="zh-CN"/>
        </w:rPr>
      </w:pPr>
      <w:r>
        <w:rPr>
          <w:rStyle w:val="11"/>
          <w:rFonts w:hint="eastAsia" w:ascii="宋体" w:hAnsi="宋体" w:eastAsia="宋体" w:cs="宋体"/>
          <w:bCs w:val="0"/>
          <w:color w:val="000000"/>
          <w:sz w:val="28"/>
          <w:szCs w:val="28"/>
          <w:lang w:val="zh-CN"/>
        </w:rPr>
        <w:t>项目融资落地</w:t>
      </w:r>
      <w:r>
        <w:rPr>
          <w:rFonts w:hint="eastAsia" w:ascii="宋体" w:hAnsi="宋体" w:eastAsia="宋体" w:cs="宋体"/>
          <w:b/>
          <w:sz w:val="28"/>
          <w:szCs w:val="28"/>
        </w:rPr>
        <w:t>实操培训班回执表</w:t>
      </w:r>
    </w:p>
    <w:tbl>
      <w:tblPr>
        <w:tblStyle w:val="9"/>
        <w:tblpPr w:leftFromText="180" w:rightFromText="180" w:vertAnchor="page" w:horzAnchor="page" w:tblpX="1242" w:tblpY="304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931"/>
        <w:gridCol w:w="65"/>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widowControl/>
              <w:spacing w:line="500" w:lineRule="exact"/>
              <w:jc w:val="center"/>
              <w:rPr>
                <w:rFonts w:ascii="仿宋" w:hAnsi="仿宋" w:eastAsia="仿宋" w:cs="宋体"/>
                <w:sz w:val="24"/>
                <w:szCs w:val="24"/>
              </w:rPr>
            </w:pPr>
            <w:r>
              <w:rPr>
                <w:rFonts w:hint="eastAsia" w:ascii="仿宋" w:hAnsi="仿宋" w:eastAsia="仿宋" w:cs="宋体"/>
                <w:sz w:val="24"/>
                <w:szCs w:val="24"/>
              </w:rPr>
              <w:t>单位名称</w:t>
            </w:r>
          </w:p>
        </w:tc>
        <w:tc>
          <w:tcPr>
            <w:tcW w:w="5203" w:type="dxa"/>
            <w:gridSpan w:val="5"/>
            <w:vAlign w:val="center"/>
          </w:tcPr>
          <w:p>
            <w:pPr>
              <w:spacing w:line="500" w:lineRule="exact"/>
              <w:ind w:right="-147" w:rightChars="-70"/>
              <w:jc w:val="center"/>
              <w:rPr>
                <w:rFonts w:ascii="仿宋" w:hAnsi="仿宋" w:eastAsia="仿宋" w:cs="宋体"/>
                <w:sz w:val="24"/>
                <w:szCs w:val="24"/>
              </w:rPr>
            </w:pPr>
          </w:p>
        </w:tc>
        <w:tc>
          <w:tcPr>
            <w:tcW w:w="606" w:type="dxa"/>
            <w:gridSpan w:val="2"/>
            <w:vAlign w:val="center"/>
          </w:tcPr>
          <w:p>
            <w:pPr>
              <w:spacing w:line="500" w:lineRule="exact"/>
              <w:ind w:right="-147" w:rightChars="-70"/>
              <w:rPr>
                <w:rFonts w:ascii="仿宋" w:hAnsi="仿宋" w:eastAsia="仿宋" w:cs="宋体"/>
                <w:sz w:val="24"/>
                <w:szCs w:val="24"/>
              </w:rPr>
            </w:pPr>
            <w:r>
              <w:rPr>
                <w:rFonts w:hint="eastAsia" w:ascii="仿宋" w:hAnsi="仿宋" w:eastAsia="仿宋" w:cs="宋体"/>
                <w:sz w:val="24"/>
                <w:szCs w:val="24"/>
              </w:rPr>
              <w:t>邮编</w:t>
            </w:r>
          </w:p>
        </w:tc>
        <w:tc>
          <w:tcPr>
            <w:tcW w:w="2275" w:type="dxa"/>
            <w:gridSpan w:val="2"/>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单位地址</w:t>
            </w:r>
          </w:p>
        </w:tc>
        <w:tc>
          <w:tcPr>
            <w:tcW w:w="8084" w:type="dxa"/>
            <w:gridSpan w:val="9"/>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联系人</w:t>
            </w:r>
          </w:p>
        </w:tc>
        <w:tc>
          <w:tcPr>
            <w:tcW w:w="2131" w:type="dxa"/>
            <w:gridSpan w:val="2"/>
            <w:vAlign w:val="center"/>
          </w:tcPr>
          <w:p>
            <w:pPr>
              <w:spacing w:line="500" w:lineRule="exact"/>
              <w:ind w:right="-147" w:rightChars="-70" w:firstLine="960"/>
              <w:rPr>
                <w:rFonts w:ascii="仿宋" w:hAnsi="仿宋" w:eastAsia="仿宋" w:cs="宋体"/>
                <w:sz w:val="24"/>
                <w:szCs w:val="24"/>
              </w:rPr>
            </w:pPr>
          </w:p>
        </w:tc>
        <w:tc>
          <w:tcPr>
            <w:tcW w:w="3072"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部门职务</w:t>
            </w:r>
          </w:p>
        </w:tc>
        <w:tc>
          <w:tcPr>
            <w:tcW w:w="2881"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办公电话</w:t>
            </w:r>
          </w:p>
        </w:tc>
        <w:tc>
          <w:tcPr>
            <w:tcW w:w="2131" w:type="dxa"/>
            <w:gridSpan w:val="2"/>
            <w:vAlign w:val="center"/>
          </w:tcPr>
          <w:p>
            <w:pPr>
              <w:spacing w:line="500" w:lineRule="exact"/>
              <w:ind w:right="-147" w:rightChars="-70"/>
              <w:rPr>
                <w:rFonts w:ascii="仿宋" w:hAnsi="仿宋" w:eastAsia="仿宋" w:cs="宋体"/>
                <w:sz w:val="24"/>
                <w:szCs w:val="24"/>
              </w:rPr>
            </w:pPr>
          </w:p>
        </w:tc>
        <w:tc>
          <w:tcPr>
            <w:tcW w:w="3072"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手    机</w:t>
            </w:r>
          </w:p>
        </w:tc>
        <w:tc>
          <w:tcPr>
            <w:tcW w:w="2881"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传   真</w:t>
            </w:r>
          </w:p>
        </w:tc>
        <w:tc>
          <w:tcPr>
            <w:tcW w:w="2131" w:type="dxa"/>
            <w:gridSpan w:val="2"/>
            <w:vAlign w:val="center"/>
          </w:tcPr>
          <w:p>
            <w:pPr>
              <w:spacing w:line="500" w:lineRule="exact"/>
              <w:ind w:right="-147" w:rightChars="-70"/>
              <w:rPr>
                <w:rFonts w:ascii="仿宋" w:hAnsi="仿宋" w:eastAsia="仿宋" w:cs="宋体"/>
                <w:sz w:val="24"/>
                <w:szCs w:val="24"/>
              </w:rPr>
            </w:pPr>
          </w:p>
        </w:tc>
        <w:tc>
          <w:tcPr>
            <w:tcW w:w="3072"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电子信箱</w:t>
            </w:r>
          </w:p>
        </w:tc>
        <w:tc>
          <w:tcPr>
            <w:tcW w:w="2881"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参加培训人员</w:t>
            </w:r>
          </w:p>
        </w:tc>
        <w:tc>
          <w:tcPr>
            <w:tcW w:w="849"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性别</w:t>
            </w:r>
          </w:p>
        </w:tc>
        <w:tc>
          <w:tcPr>
            <w:tcW w:w="1282"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职务</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电话</w:t>
            </w:r>
          </w:p>
        </w:tc>
        <w:tc>
          <w:tcPr>
            <w:tcW w:w="1985" w:type="dxa"/>
            <w:gridSpan w:val="5"/>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手机</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是否住宿</w:t>
            </w:r>
          </w:p>
        </w:tc>
        <w:tc>
          <w:tcPr>
            <w:tcW w:w="2131" w:type="dxa"/>
            <w:gridSpan w:val="2"/>
            <w:vAlign w:val="center"/>
          </w:tcPr>
          <w:p>
            <w:pPr>
              <w:widowControl/>
              <w:spacing w:line="360" w:lineRule="exact"/>
              <w:ind w:right="-147" w:rightChars="-70" w:firstLine="240" w:firstLineChars="100"/>
              <w:rPr>
                <w:rFonts w:ascii="仿宋" w:hAnsi="仿宋" w:eastAsia="仿宋" w:cs="宋体"/>
                <w:sz w:val="24"/>
                <w:szCs w:val="24"/>
              </w:rPr>
            </w:pPr>
            <w:r>
              <w:rPr>
                <w:rFonts w:hint="eastAsia" w:ascii="仿宋" w:hAnsi="仿宋" w:eastAsia="仿宋" w:cs="宋体"/>
                <w:sz w:val="24"/>
                <w:szCs w:val="24"/>
              </w:rPr>
              <w:t>□是     □否</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住宿标准</w:t>
            </w:r>
          </w:p>
        </w:tc>
        <w:tc>
          <w:tcPr>
            <w:tcW w:w="3969" w:type="dxa"/>
            <w:gridSpan w:val="6"/>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参会地点</w:t>
            </w:r>
          </w:p>
        </w:tc>
        <w:tc>
          <w:tcPr>
            <w:tcW w:w="2131" w:type="dxa"/>
            <w:gridSpan w:val="2"/>
            <w:vAlign w:val="center"/>
          </w:tcPr>
          <w:p>
            <w:pPr>
              <w:spacing w:line="500" w:lineRule="exact"/>
              <w:ind w:right="-147" w:rightChars="-70"/>
              <w:jc w:val="center"/>
              <w:rPr>
                <w:rFonts w:ascii="仿宋" w:hAnsi="仿宋" w:eastAsia="仿宋" w:cs="宋体"/>
                <w:sz w:val="24"/>
                <w:szCs w:val="24"/>
              </w:rPr>
            </w:pP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证书申报</w:t>
            </w:r>
          </w:p>
        </w:tc>
        <w:tc>
          <w:tcPr>
            <w:tcW w:w="3969" w:type="dxa"/>
            <w:gridSpan w:val="6"/>
          </w:tcPr>
          <w:p>
            <w:pPr>
              <w:spacing w:line="320" w:lineRule="exact"/>
              <w:ind w:firstLine="480" w:firstLineChars="200"/>
              <w:rPr>
                <w:rFonts w:ascii="仿宋" w:hAnsi="仿宋" w:eastAsia="仿宋" w:cs="宋体"/>
                <w:color w:val="000000"/>
                <w:sz w:val="24"/>
                <w:szCs w:val="24"/>
                <w:lang w:val="zh-CN"/>
              </w:rPr>
            </w:pPr>
            <w:r>
              <w:rPr>
                <w:rFonts w:hint="eastAsia" w:ascii="仿宋" w:hAnsi="仿宋" w:eastAsia="仿宋" w:cs="宋体"/>
                <w:color w:val="000000"/>
                <w:sz w:val="24"/>
                <w:szCs w:val="24"/>
                <w:lang w:val="zh-CN"/>
              </w:rPr>
              <w:t xml:space="preserve">《投融资管理师》  </w:t>
            </w:r>
            <w:r>
              <w:rPr>
                <w:rFonts w:hint="eastAsia" w:ascii="仿宋" w:hAnsi="仿宋" w:eastAsia="仿宋" w:cs="宋体"/>
                <w:sz w:val="24"/>
                <w:szCs w:val="24"/>
              </w:rPr>
              <w:t>□</w:t>
            </w:r>
          </w:p>
          <w:p>
            <w:pPr>
              <w:spacing w:line="320" w:lineRule="exact"/>
              <w:ind w:firstLine="480" w:firstLineChars="200"/>
              <w:rPr>
                <w:rFonts w:ascii="仿宋" w:hAnsi="仿宋" w:eastAsia="仿宋" w:cs="宋体"/>
                <w:sz w:val="24"/>
                <w:szCs w:val="24"/>
              </w:rPr>
            </w:pPr>
            <w:r>
              <w:rPr>
                <w:rFonts w:hint="eastAsia" w:ascii="仿宋" w:hAnsi="仿宋" w:eastAsia="仿宋" w:cs="宋体"/>
                <w:color w:val="000000"/>
                <w:sz w:val="24"/>
                <w:szCs w:val="24"/>
                <w:lang w:val="zh-CN"/>
              </w:rPr>
              <w:t>《金融风险管理师》</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标准选项</w:t>
            </w:r>
          </w:p>
        </w:tc>
        <w:tc>
          <w:tcPr>
            <w:tcW w:w="8084" w:type="dxa"/>
            <w:gridSpan w:val="9"/>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付款方式</w:t>
            </w:r>
          </w:p>
        </w:tc>
        <w:tc>
          <w:tcPr>
            <w:tcW w:w="4272" w:type="dxa"/>
            <w:gridSpan w:val="4"/>
          </w:tcPr>
          <w:p>
            <w:pPr>
              <w:widowControl/>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 xml:space="preserve">□银行     □网银 </w:t>
            </w:r>
          </w:p>
        </w:tc>
        <w:tc>
          <w:tcPr>
            <w:tcW w:w="996" w:type="dxa"/>
            <w:gridSpan w:val="2"/>
          </w:tcPr>
          <w:p>
            <w:pPr>
              <w:widowControl/>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金额</w:t>
            </w:r>
          </w:p>
        </w:tc>
        <w:tc>
          <w:tcPr>
            <w:tcW w:w="2816" w:type="dxa"/>
            <w:gridSpan w:val="3"/>
          </w:tcPr>
          <w:p>
            <w:pPr>
              <w:widowControl/>
              <w:spacing w:line="500" w:lineRule="exact"/>
              <w:ind w:right="-147" w:rightChars="-7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需要与专家</w:t>
            </w:r>
          </w:p>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沟通的问题</w:t>
            </w:r>
          </w:p>
        </w:tc>
        <w:tc>
          <w:tcPr>
            <w:tcW w:w="8084" w:type="dxa"/>
            <w:gridSpan w:val="9"/>
          </w:tcPr>
          <w:p>
            <w:pPr>
              <w:widowControl/>
              <w:spacing w:line="500" w:lineRule="exact"/>
              <w:ind w:right="-147" w:rightChars="-7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lang w:val="zh-CN"/>
              </w:rPr>
              <w:t>收款账户</w:t>
            </w:r>
          </w:p>
        </w:tc>
        <w:tc>
          <w:tcPr>
            <w:tcW w:w="8084" w:type="dxa"/>
            <w:gridSpan w:val="9"/>
            <w:vAlign w:val="center"/>
          </w:tcPr>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单位名称： 北京中建科信管理咨询集团有限公司 </w:t>
            </w:r>
          </w:p>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开 户 行： 中国工商银行股份有限公司北京半壁店支行 </w:t>
            </w:r>
          </w:p>
          <w:p>
            <w:pPr>
              <w:spacing w:line="320" w:lineRule="exact"/>
              <w:rPr>
                <w:rFonts w:ascii="仿宋" w:hAnsi="仿宋" w:eastAsia="仿宋" w:cs="宋体"/>
                <w:sz w:val="24"/>
                <w:szCs w:val="24"/>
                <w:highlight w:val="yellow"/>
              </w:rPr>
            </w:pPr>
            <w:r>
              <w:rPr>
                <w:rFonts w:hint="eastAsia" w:ascii="仿宋" w:hAnsi="仿宋" w:eastAsia="仿宋" w:cs="仿宋"/>
                <w:sz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备注</w:t>
            </w:r>
          </w:p>
        </w:tc>
        <w:tc>
          <w:tcPr>
            <w:tcW w:w="5203" w:type="dxa"/>
            <w:gridSpan w:val="5"/>
            <w:vAlign w:val="center"/>
          </w:tcPr>
          <w:p>
            <w:pPr>
              <w:spacing w:line="500" w:lineRule="exact"/>
              <w:ind w:right="-147" w:rightChars="-70"/>
              <w:jc w:val="left"/>
              <w:rPr>
                <w:rFonts w:ascii="仿宋" w:hAnsi="仿宋" w:eastAsia="仿宋" w:cs="宋体"/>
                <w:sz w:val="24"/>
                <w:szCs w:val="24"/>
              </w:rPr>
            </w:pPr>
            <w:r>
              <w:rPr>
                <w:rFonts w:hint="eastAsia" w:ascii="仿宋" w:hAnsi="仿宋" w:eastAsia="仿宋" w:cs="宋体"/>
                <w:sz w:val="24"/>
                <w:szCs w:val="24"/>
                <w:lang w:val="zh-CN"/>
              </w:rPr>
              <w:t>请将《报名回执表》回传至会务组，并在报名3日内办理培训费，会务组确认到款后即发《</w:t>
            </w:r>
            <w:r>
              <w:rPr>
                <w:rFonts w:hint="eastAsia" w:ascii="仿宋" w:hAnsi="仿宋" w:eastAsia="仿宋" w:cs="宋体"/>
                <w:sz w:val="24"/>
                <w:szCs w:val="24"/>
              </w:rPr>
              <w:t>培训</w:t>
            </w:r>
            <w:r>
              <w:rPr>
                <w:rFonts w:hint="eastAsia" w:ascii="仿宋" w:hAnsi="仿宋" w:eastAsia="仿宋" w:cs="宋体"/>
                <w:sz w:val="24"/>
                <w:szCs w:val="24"/>
                <w:lang w:val="zh-CN"/>
              </w:rPr>
              <w:t>凭证》，详细说明培训安排具体事项。</w:t>
            </w:r>
          </w:p>
        </w:tc>
        <w:tc>
          <w:tcPr>
            <w:tcW w:w="2881" w:type="dxa"/>
            <w:gridSpan w:val="4"/>
            <w:vAlign w:val="center"/>
          </w:tcPr>
          <w:p>
            <w:pPr>
              <w:spacing w:line="500" w:lineRule="exact"/>
              <w:ind w:right="-147" w:rightChars="-70" w:firstLine="720" w:firstLineChars="300"/>
              <w:rPr>
                <w:rFonts w:ascii="仿宋" w:hAnsi="仿宋" w:eastAsia="仿宋" w:cs="宋体"/>
                <w:sz w:val="24"/>
                <w:szCs w:val="24"/>
              </w:rPr>
            </w:pPr>
            <w:r>
              <w:rPr>
                <w:rFonts w:hint="eastAsia" w:ascii="仿宋" w:hAnsi="仿宋" w:eastAsia="仿宋" w:cs="宋体"/>
                <w:sz w:val="24"/>
                <w:szCs w:val="24"/>
              </w:rPr>
              <w:t>单位印章</w:t>
            </w:r>
          </w:p>
          <w:p>
            <w:pPr>
              <w:spacing w:line="500" w:lineRule="exact"/>
              <w:ind w:right="-147" w:rightChars="-70" w:firstLine="240" w:firstLineChars="100"/>
              <w:rPr>
                <w:rFonts w:ascii="仿宋" w:hAnsi="仿宋" w:eastAsia="仿宋" w:cs="宋体"/>
                <w:sz w:val="24"/>
                <w:szCs w:val="24"/>
              </w:rPr>
            </w:pPr>
            <w:r>
              <w:rPr>
                <w:rFonts w:hint="eastAsia" w:ascii="仿宋" w:hAnsi="仿宋" w:eastAsia="仿宋" w:cs="宋体"/>
                <w:sz w:val="24"/>
                <w:szCs w:val="24"/>
              </w:rPr>
              <w:t>2021 年    月    日</w:t>
            </w:r>
          </w:p>
        </w:tc>
      </w:tr>
    </w:tbl>
    <w:p>
      <w:pPr>
        <w:pStyle w:val="17"/>
        <w:spacing w:line="310" w:lineRule="exact"/>
        <w:ind w:firstLine="560"/>
        <w:outlineLvl w:val="0"/>
        <w:rPr>
          <w:rStyle w:val="11"/>
          <w:rFonts w:hint="eastAsia" w:ascii="仿宋" w:hAnsi="仿宋" w:eastAsia="仿宋" w:cs="仿宋_GB2312"/>
          <w:b w:val="0"/>
          <w:color w:val="000000"/>
          <w:sz w:val="28"/>
          <w:szCs w:val="28"/>
          <w:lang w:val="en-US" w:eastAsia="zh-CN"/>
        </w:rPr>
      </w:pPr>
      <w:r>
        <w:rPr>
          <w:rStyle w:val="11"/>
          <w:rFonts w:hint="eastAsia" w:ascii="仿宋" w:hAnsi="仿宋" w:eastAsia="仿宋" w:cs="仿宋_GB2312"/>
          <w:b w:val="0"/>
          <w:color w:val="000000"/>
          <w:sz w:val="28"/>
          <w:szCs w:val="28"/>
          <w:lang w:val="en-US" w:eastAsia="zh-CN"/>
        </w:rPr>
        <w:t xml:space="preserve">报名负责人：聂红军 主任18211071700（微信）   </w:t>
      </w:r>
    </w:p>
    <w:p>
      <w:pPr>
        <w:pStyle w:val="17"/>
        <w:spacing w:line="310" w:lineRule="exact"/>
        <w:ind w:firstLine="560"/>
        <w:outlineLvl w:val="0"/>
        <w:rPr>
          <w:rStyle w:val="11"/>
          <w:rFonts w:hint="eastAsia" w:ascii="仿宋" w:hAnsi="仿宋" w:eastAsia="仿宋" w:cs="仿宋_GB2312"/>
          <w:b w:val="0"/>
          <w:color w:val="000000"/>
          <w:sz w:val="28"/>
          <w:szCs w:val="28"/>
          <w:lang w:val="en-US" w:eastAsia="zh-CN"/>
        </w:rPr>
      </w:pPr>
      <w:r>
        <w:rPr>
          <w:rStyle w:val="11"/>
          <w:rFonts w:hint="eastAsia" w:ascii="仿宋" w:hAnsi="仿宋" w:eastAsia="仿宋" w:cs="仿宋_GB2312"/>
          <w:b w:val="0"/>
          <w:color w:val="000000"/>
          <w:sz w:val="28"/>
          <w:szCs w:val="28"/>
          <w:lang w:val="en-US" w:eastAsia="zh-CN"/>
        </w:rPr>
        <w:t xml:space="preserve">电  话：010-87697580      邮    箱：zqgphwz@126.com  </w:t>
      </w:r>
    </w:p>
    <w:p>
      <w:pPr>
        <w:pStyle w:val="17"/>
        <w:spacing w:line="310" w:lineRule="exact"/>
        <w:ind w:firstLine="560"/>
        <w:outlineLvl w:val="0"/>
        <w:rPr>
          <w:rStyle w:val="11"/>
          <w:rFonts w:hint="eastAsia" w:ascii="仿宋" w:hAnsi="仿宋" w:eastAsia="仿宋" w:cs="仿宋_GB2312"/>
          <w:b w:val="0"/>
          <w:color w:val="000000"/>
          <w:sz w:val="28"/>
          <w:szCs w:val="28"/>
          <w:lang w:val="en-US" w:eastAsia="zh-CN"/>
        </w:rPr>
      </w:pPr>
      <w:r>
        <w:rPr>
          <w:rStyle w:val="11"/>
          <w:rFonts w:hint="eastAsia" w:ascii="仿宋" w:hAnsi="仿宋" w:eastAsia="仿宋" w:cs="仿宋_GB2312"/>
          <w:b w:val="0"/>
          <w:color w:val="000000"/>
          <w:sz w:val="28"/>
          <w:szCs w:val="28"/>
          <w:lang w:val="en-US" w:eastAsia="zh-CN"/>
        </w:rPr>
        <w:t xml:space="preserve">qq咨询：3177524020    </w:t>
      </w:r>
      <w:bookmarkStart w:id="0" w:name="_GoBack"/>
      <w:bookmarkEnd w:id="0"/>
      <w:r>
        <w:rPr>
          <w:rStyle w:val="11"/>
          <w:rFonts w:hint="eastAsia" w:ascii="仿宋" w:hAnsi="仿宋" w:eastAsia="仿宋" w:cs="仿宋_GB2312"/>
          <w:b w:val="0"/>
          <w:color w:val="000000"/>
          <w:sz w:val="28"/>
          <w:szCs w:val="28"/>
          <w:lang w:val="en-US" w:eastAsia="zh-CN"/>
        </w:rPr>
        <w:t xml:space="preserve">    网址查询：http://www.zqgpchina.cn/</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90"/>
    <w:rsid w:val="00006E6E"/>
    <w:rsid w:val="00015019"/>
    <w:rsid w:val="00033891"/>
    <w:rsid w:val="00091A14"/>
    <w:rsid w:val="000A0CD4"/>
    <w:rsid w:val="000B0503"/>
    <w:rsid w:val="000D4ED1"/>
    <w:rsid w:val="000E713A"/>
    <w:rsid w:val="000F2A66"/>
    <w:rsid w:val="000F6500"/>
    <w:rsid w:val="00102E9B"/>
    <w:rsid w:val="00107A23"/>
    <w:rsid w:val="00125B92"/>
    <w:rsid w:val="001304DE"/>
    <w:rsid w:val="00140C32"/>
    <w:rsid w:val="001420A4"/>
    <w:rsid w:val="0014574F"/>
    <w:rsid w:val="00147D37"/>
    <w:rsid w:val="00164DD7"/>
    <w:rsid w:val="001656F2"/>
    <w:rsid w:val="001732D9"/>
    <w:rsid w:val="00196B83"/>
    <w:rsid w:val="001A3E93"/>
    <w:rsid w:val="001B432E"/>
    <w:rsid w:val="001B7037"/>
    <w:rsid w:val="001B7DEE"/>
    <w:rsid w:val="001C1548"/>
    <w:rsid w:val="001C75AD"/>
    <w:rsid w:val="001D16AE"/>
    <w:rsid w:val="001E0035"/>
    <w:rsid w:val="001E3278"/>
    <w:rsid w:val="001F0E6A"/>
    <w:rsid w:val="00207C21"/>
    <w:rsid w:val="00233407"/>
    <w:rsid w:val="0023370B"/>
    <w:rsid w:val="00253AA0"/>
    <w:rsid w:val="002545FB"/>
    <w:rsid w:val="00265135"/>
    <w:rsid w:val="00270F78"/>
    <w:rsid w:val="00272876"/>
    <w:rsid w:val="0027592B"/>
    <w:rsid w:val="002874D3"/>
    <w:rsid w:val="00290E29"/>
    <w:rsid w:val="002E0C25"/>
    <w:rsid w:val="002E111B"/>
    <w:rsid w:val="002E680D"/>
    <w:rsid w:val="002E7677"/>
    <w:rsid w:val="002F0475"/>
    <w:rsid w:val="0030733C"/>
    <w:rsid w:val="003378BD"/>
    <w:rsid w:val="00346613"/>
    <w:rsid w:val="00347DBD"/>
    <w:rsid w:val="003520E1"/>
    <w:rsid w:val="00353061"/>
    <w:rsid w:val="00361B92"/>
    <w:rsid w:val="003700AF"/>
    <w:rsid w:val="00394666"/>
    <w:rsid w:val="003A176E"/>
    <w:rsid w:val="003A7638"/>
    <w:rsid w:val="003B6395"/>
    <w:rsid w:val="003D05E8"/>
    <w:rsid w:val="003E556C"/>
    <w:rsid w:val="003F5DEC"/>
    <w:rsid w:val="0040066C"/>
    <w:rsid w:val="00401072"/>
    <w:rsid w:val="004146E3"/>
    <w:rsid w:val="00427300"/>
    <w:rsid w:val="00432C7F"/>
    <w:rsid w:val="00436089"/>
    <w:rsid w:val="0044522B"/>
    <w:rsid w:val="00462698"/>
    <w:rsid w:val="00484BF6"/>
    <w:rsid w:val="004865C7"/>
    <w:rsid w:val="0049374D"/>
    <w:rsid w:val="0049770E"/>
    <w:rsid w:val="004A14C8"/>
    <w:rsid w:val="004A394F"/>
    <w:rsid w:val="004A3B6E"/>
    <w:rsid w:val="004B3DA6"/>
    <w:rsid w:val="004E2AFD"/>
    <w:rsid w:val="004E6AB9"/>
    <w:rsid w:val="004F3F43"/>
    <w:rsid w:val="004F5090"/>
    <w:rsid w:val="0050449A"/>
    <w:rsid w:val="00524032"/>
    <w:rsid w:val="00524346"/>
    <w:rsid w:val="00532708"/>
    <w:rsid w:val="00562BA7"/>
    <w:rsid w:val="00575045"/>
    <w:rsid w:val="00590BD3"/>
    <w:rsid w:val="00592984"/>
    <w:rsid w:val="005A78B0"/>
    <w:rsid w:val="005B36CC"/>
    <w:rsid w:val="005C50E5"/>
    <w:rsid w:val="005D18D0"/>
    <w:rsid w:val="005D6226"/>
    <w:rsid w:val="005E3E95"/>
    <w:rsid w:val="00614A64"/>
    <w:rsid w:val="00646868"/>
    <w:rsid w:val="0065412E"/>
    <w:rsid w:val="0066659F"/>
    <w:rsid w:val="006A0D96"/>
    <w:rsid w:val="006A49D1"/>
    <w:rsid w:val="006A60B3"/>
    <w:rsid w:val="006C4346"/>
    <w:rsid w:val="006D0085"/>
    <w:rsid w:val="006E0C99"/>
    <w:rsid w:val="006E3411"/>
    <w:rsid w:val="006F0EE2"/>
    <w:rsid w:val="0070550B"/>
    <w:rsid w:val="00712D46"/>
    <w:rsid w:val="007278BB"/>
    <w:rsid w:val="00732324"/>
    <w:rsid w:val="00737505"/>
    <w:rsid w:val="007534CF"/>
    <w:rsid w:val="00762F1C"/>
    <w:rsid w:val="00765754"/>
    <w:rsid w:val="00767A7B"/>
    <w:rsid w:val="00771286"/>
    <w:rsid w:val="007714C0"/>
    <w:rsid w:val="007734D7"/>
    <w:rsid w:val="00782A13"/>
    <w:rsid w:val="00797D26"/>
    <w:rsid w:val="007A7346"/>
    <w:rsid w:val="007E6F0C"/>
    <w:rsid w:val="007F280B"/>
    <w:rsid w:val="00856748"/>
    <w:rsid w:val="00862E14"/>
    <w:rsid w:val="00862E80"/>
    <w:rsid w:val="00871A2C"/>
    <w:rsid w:val="00875695"/>
    <w:rsid w:val="00877E50"/>
    <w:rsid w:val="00893280"/>
    <w:rsid w:val="00896094"/>
    <w:rsid w:val="008A4217"/>
    <w:rsid w:val="008F1968"/>
    <w:rsid w:val="008F2241"/>
    <w:rsid w:val="00905670"/>
    <w:rsid w:val="00927E18"/>
    <w:rsid w:val="00932B9F"/>
    <w:rsid w:val="00934E68"/>
    <w:rsid w:val="00935A82"/>
    <w:rsid w:val="009435B3"/>
    <w:rsid w:val="009449F6"/>
    <w:rsid w:val="00947C46"/>
    <w:rsid w:val="009579E6"/>
    <w:rsid w:val="00961726"/>
    <w:rsid w:val="00963E10"/>
    <w:rsid w:val="00986B2D"/>
    <w:rsid w:val="0098785C"/>
    <w:rsid w:val="009949C8"/>
    <w:rsid w:val="009B561F"/>
    <w:rsid w:val="009D6FB3"/>
    <w:rsid w:val="009E4271"/>
    <w:rsid w:val="009F43E7"/>
    <w:rsid w:val="009F600E"/>
    <w:rsid w:val="00A01B2F"/>
    <w:rsid w:val="00A1575D"/>
    <w:rsid w:val="00A45C18"/>
    <w:rsid w:val="00A46C87"/>
    <w:rsid w:val="00A523A3"/>
    <w:rsid w:val="00A66A38"/>
    <w:rsid w:val="00A76C27"/>
    <w:rsid w:val="00A94FAC"/>
    <w:rsid w:val="00AC2E6C"/>
    <w:rsid w:val="00AF6F4A"/>
    <w:rsid w:val="00B10CDA"/>
    <w:rsid w:val="00B24946"/>
    <w:rsid w:val="00B24ADB"/>
    <w:rsid w:val="00B24D3B"/>
    <w:rsid w:val="00B36E5A"/>
    <w:rsid w:val="00B51D1F"/>
    <w:rsid w:val="00B548AE"/>
    <w:rsid w:val="00B61AE1"/>
    <w:rsid w:val="00B811C4"/>
    <w:rsid w:val="00B81B95"/>
    <w:rsid w:val="00B91E7D"/>
    <w:rsid w:val="00BA4C2D"/>
    <w:rsid w:val="00BC05A1"/>
    <w:rsid w:val="00BC37FA"/>
    <w:rsid w:val="00BD153A"/>
    <w:rsid w:val="00BD5551"/>
    <w:rsid w:val="00C10C36"/>
    <w:rsid w:val="00C25E76"/>
    <w:rsid w:val="00C3317F"/>
    <w:rsid w:val="00C35E3B"/>
    <w:rsid w:val="00C66A4E"/>
    <w:rsid w:val="00C709DF"/>
    <w:rsid w:val="00C80FDD"/>
    <w:rsid w:val="00C82B7A"/>
    <w:rsid w:val="00C845C5"/>
    <w:rsid w:val="00C9734C"/>
    <w:rsid w:val="00CA0EE4"/>
    <w:rsid w:val="00CD549A"/>
    <w:rsid w:val="00D102C5"/>
    <w:rsid w:val="00D15FC4"/>
    <w:rsid w:val="00D16221"/>
    <w:rsid w:val="00D17F31"/>
    <w:rsid w:val="00D65DD9"/>
    <w:rsid w:val="00D7216A"/>
    <w:rsid w:val="00D8297B"/>
    <w:rsid w:val="00D95962"/>
    <w:rsid w:val="00D97121"/>
    <w:rsid w:val="00DA4371"/>
    <w:rsid w:val="00DF2DE7"/>
    <w:rsid w:val="00E021E0"/>
    <w:rsid w:val="00E0595F"/>
    <w:rsid w:val="00E14444"/>
    <w:rsid w:val="00E216E2"/>
    <w:rsid w:val="00E2247E"/>
    <w:rsid w:val="00E225AF"/>
    <w:rsid w:val="00E25C7A"/>
    <w:rsid w:val="00E56B9D"/>
    <w:rsid w:val="00E62894"/>
    <w:rsid w:val="00E6474A"/>
    <w:rsid w:val="00E65BEF"/>
    <w:rsid w:val="00E80F7E"/>
    <w:rsid w:val="00E879DE"/>
    <w:rsid w:val="00E92E2F"/>
    <w:rsid w:val="00E96A07"/>
    <w:rsid w:val="00EA02E4"/>
    <w:rsid w:val="00EB47B0"/>
    <w:rsid w:val="00EB5495"/>
    <w:rsid w:val="00EC4754"/>
    <w:rsid w:val="00EC4C0A"/>
    <w:rsid w:val="00EC682A"/>
    <w:rsid w:val="00EC6D06"/>
    <w:rsid w:val="00ED2B02"/>
    <w:rsid w:val="00ED40B6"/>
    <w:rsid w:val="00EE12CF"/>
    <w:rsid w:val="00EE327E"/>
    <w:rsid w:val="00EE7501"/>
    <w:rsid w:val="00EF5DA7"/>
    <w:rsid w:val="00EF6FCC"/>
    <w:rsid w:val="00F02590"/>
    <w:rsid w:val="00F22C6E"/>
    <w:rsid w:val="00F63857"/>
    <w:rsid w:val="00F949E9"/>
    <w:rsid w:val="00F94DCA"/>
    <w:rsid w:val="00F95188"/>
    <w:rsid w:val="00FB0951"/>
    <w:rsid w:val="00FC411C"/>
    <w:rsid w:val="00FD0528"/>
    <w:rsid w:val="00FE7D6E"/>
    <w:rsid w:val="01096E73"/>
    <w:rsid w:val="016872D4"/>
    <w:rsid w:val="01733977"/>
    <w:rsid w:val="01FC2751"/>
    <w:rsid w:val="026B1B86"/>
    <w:rsid w:val="0299408C"/>
    <w:rsid w:val="02E63C24"/>
    <w:rsid w:val="02E80E5B"/>
    <w:rsid w:val="02ED0832"/>
    <w:rsid w:val="03252C4B"/>
    <w:rsid w:val="033C56CE"/>
    <w:rsid w:val="03B91CDA"/>
    <w:rsid w:val="03C06CEE"/>
    <w:rsid w:val="040040EF"/>
    <w:rsid w:val="040F1D90"/>
    <w:rsid w:val="045E781D"/>
    <w:rsid w:val="045F7902"/>
    <w:rsid w:val="04664CD4"/>
    <w:rsid w:val="04686DB0"/>
    <w:rsid w:val="04880050"/>
    <w:rsid w:val="04BD08B0"/>
    <w:rsid w:val="04FD390A"/>
    <w:rsid w:val="056E103A"/>
    <w:rsid w:val="05862FF6"/>
    <w:rsid w:val="058C74E5"/>
    <w:rsid w:val="062324A0"/>
    <w:rsid w:val="06BF535E"/>
    <w:rsid w:val="06D07E3B"/>
    <w:rsid w:val="06E170A0"/>
    <w:rsid w:val="071F75E6"/>
    <w:rsid w:val="073F321D"/>
    <w:rsid w:val="07565951"/>
    <w:rsid w:val="077B1144"/>
    <w:rsid w:val="07AC0274"/>
    <w:rsid w:val="082067BC"/>
    <w:rsid w:val="084B733E"/>
    <w:rsid w:val="08603B2B"/>
    <w:rsid w:val="08996B3E"/>
    <w:rsid w:val="08A30A13"/>
    <w:rsid w:val="08AF7A1E"/>
    <w:rsid w:val="08E706D6"/>
    <w:rsid w:val="091B2649"/>
    <w:rsid w:val="097C648C"/>
    <w:rsid w:val="09996115"/>
    <w:rsid w:val="09AE2F25"/>
    <w:rsid w:val="0A352629"/>
    <w:rsid w:val="0A60731B"/>
    <w:rsid w:val="0A934EBD"/>
    <w:rsid w:val="0AAB7EC3"/>
    <w:rsid w:val="0B1B03D9"/>
    <w:rsid w:val="0B684C81"/>
    <w:rsid w:val="0B76488A"/>
    <w:rsid w:val="0BDA131D"/>
    <w:rsid w:val="0BDF04B6"/>
    <w:rsid w:val="0CCD336F"/>
    <w:rsid w:val="0CCF562D"/>
    <w:rsid w:val="0CEF3F7F"/>
    <w:rsid w:val="0D13494D"/>
    <w:rsid w:val="0D307CBB"/>
    <w:rsid w:val="0D6B38A8"/>
    <w:rsid w:val="0DEE3248"/>
    <w:rsid w:val="0E1A1555"/>
    <w:rsid w:val="0E244600"/>
    <w:rsid w:val="0E867961"/>
    <w:rsid w:val="0EC129E7"/>
    <w:rsid w:val="0F2545F1"/>
    <w:rsid w:val="0F3B239C"/>
    <w:rsid w:val="0F730527"/>
    <w:rsid w:val="101407AE"/>
    <w:rsid w:val="1033058D"/>
    <w:rsid w:val="10342676"/>
    <w:rsid w:val="10972BB2"/>
    <w:rsid w:val="10A522C3"/>
    <w:rsid w:val="10AA2B31"/>
    <w:rsid w:val="11532F8E"/>
    <w:rsid w:val="116C0199"/>
    <w:rsid w:val="11792F5C"/>
    <w:rsid w:val="119764D8"/>
    <w:rsid w:val="11BE57F4"/>
    <w:rsid w:val="11D110F0"/>
    <w:rsid w:val="11E75964"/>
    <w:rsid w:val="11F74C1A"/>
    <w:rsid w:val="12076B6E"/>
    <w:rsid w:val="12104619"/>
    <w:rsid w:val="122C0661"/>
    <w:rsid w:val="123226C4"/>
    <w:rsid w:val="12757381"/>
    <w:rsid w:val="1286617C"/>
    <w:rsid w:val="135525A9"/>
    <w:rsid w:val="140705B7"/>
    <w:rsid w:val="14AC73D6"/>
    <w:rsid w:val="14F70D4C"/>
    <w:rsid w:val="15102EA3"/>
    <w:rsid w:val="15467774"/>
    <w:rsid w:val="160D1AF4"/>
    <w:rsid w:val="160D4A3A"/>
    <w:rsid w:val="161945C3"/>
    <w:rsid w:val="163520E8"/>
    <w:rsid w:val="16455DA8"/>
    <w:rsid w:val="16476C15"/>
    <w:rsid w:val="16AE32E0"/>
    <w:rsid w:val="16D12722"/>
    <w:rsid w:val="16FB5A1F"/>
    <w:rsid w:val="173E6DDB"/>
    <w:rsid w:val="174937F8"/>
    <w:rsid w:val="17527FBB"/>
    <w:rsid w:val="179371CE"/>
    <w:rsid w:val="179D62A4"/>
    <w:rsid w:val="17AB2FD0"/>
    <w:rsid w:val="17B230CD"/>
    <w:rsid w:val="18011435"/>
    <w:rsid w:val="188D4DAA"/>
    <w:rsid w:val="189A3C1A"/>
    <w:rsid w:val="18A63EBB"/>
    <w:rsid w:val="18AA4F86"/>
    <w:rsid w:val="18E76639"/>
    <w:rsid w:val="19183667"/>
    <w:rsid w:val="191D3F42"/>
    <w:rsid w:val="195E1B11"/>
    <w:rsid w:val="1994650F"/>
    <w:rsid w:val="19AB703B"/>
    <w:rsid w:val="1A022BA2"/>
    <w:rsid w:val="1A24466B"/>
    <w:rsid w:val="1A3D00DF"/>
    <w:rsid w:val="1A4A6056"/>
    <w:rsid w:val="1A6A44DC"/>
    <w:rsid w:val="1A823503"/>
    <w:rsid w:val="1AC242D5"/>
    <w:rsid w:val="1B026DFF"/>
    <w:rsid w:val="1B342F6D"/>
    <w:rsid w:val="1B4A0726"/>
    <w:rsid w:val="1B543759"/>
    <w:rsid w:val="1BD63AD5"/>
    <w:rsid w:val="1C0F6CD9"/>
    <w:rsid w:val="1C2155D6"/>
    <w:rsid w:val="1C453C6E"/>
    <w:rsid w:val="1C4F6F10"/>
    <w:rsid w:val="1C787FA8"/>
    <w:rsid w:val="1D0633EC"/>
    <w:rsid w:val="1D1E39BC"/>
    <w:rsid w:val="1D277F1C"/>
    <w:rsid w:val="1D386A7A"/>
    <w:rsid w:val="1D4948A5"/>
    <w:rsid w:val="1D7873F9"/>
    <w:rsid w:val="1DA17923"/>
    <w:rsid w:val="1E165709"/>
    <w:rsid w:val="1E252AC8"/>
    <w:rsid w:val="1E4C37D5"/>
    <w:rsid w:val="1E5B5D7C"/>
    <w:rsid w:val="1F4D2F78"/>
    <w:rsid w:val="1F505DD2"/>
    <w:rsid w:val="1F72009E"/>
    <w:rsid w:val="1F8835DB"/>
    <w:rsid w:val="1FE151B4"/>
    <w:rsid w:val="202C4527"/>
    <w:rsid w:val="206F27D8"/>
    <w:rsid w:val="208A15F2"/>
    <w:rsid w:val="208C1543"/>
    <w:rsid w:val="20D61E2E"/>
    <w:rsid w:val="20F93EB3"/>
    <w:rsid w:val="212B2361"/>
    <w:rsid w:val="2144592D"/>
    <w:rsid w:val="217C78BA"/>
    <w:rsid w:val="21A5723F"/>
    <w:rsid w:val="21A74D88"/>
    <w:rsid w:val="21C95D62"/>
    <w:rsid w:val="21DC5BD2"/>
    <w:rsid w:val="220B5CE7"/>
    <w:rsid w:val="221C56F3"/>
    <w:rsid w:val="227E13F5"/>
    <w:rsid w:val="22A927F3"/>
    <w:rsid w:val="22D171F7"/>
    <w:rsid w:val="22DE4249"/>
    <w:rsid w:val="23275CF7"/>
    <w:rsid w:val="232937AD"/>
    <w:rsid w:val="23D87733"/>
    <w:rsid w:val="23EA10E9"/>
    <w:rsid w:val="248D0D8E"/>
    <w:rsid w:val="249D1F14"/>
    <w:rsid w:val="24AD08BA"/>
    <w:rsid w:val="25222D3D"/>
    <w:rsid w:val="25A23DF1"/>
    <w:rsid w:val="25AF0624"/>
    <w:rsid w:val="25B43FE9"/>
    <w:rsid w:val="25EA2D0C"/>
    <w:rsid w:val="2623482B"/>
    <w:rsid w:val="26256DC1"/>
    <w:rsid w:val="263729E6"/>
    <w:rsid w:val="26516975"/>
    <w:rsid w:val="26713B54"/>
    <w:rsid w:val="267A7894"/>
    <w:rsid w:val="26FD6084"/>
    <w:rsid w:val="27242FB3"/>
    <w:rsid w:val="27775FA5"/>
    <w:rsid w:val="27827F3F"/>
    <w:rsid w:val="27F01025"/>
    <w:rsid w:val="27F177CD"/>
    <w:rsid w:val="282A6BFD"/>
    <w:rsid w:val="286F6BA7"/>
    <w:rsid w:val="287F466F"/>
    <w:rsid w:val="287F7F28"/>
    <w:rsid w:val="28E25AED"/>
    <w:rsid w:val="290A384F"/>
    <w:rsid w:val="294472BA"/>
    <w:rsid w:val="295E1782"/>
    <w:rsid w:val="29C6486A"/>
    <w:rsid w:val="29FD274E"/>
    <w:rsid w:val="2A072474"/>
    <w:rsid w:val="2A2264FA"/>
    <w:rsid w:val="2A3449A2"/>
    <w:rsid w:val="2A7F14BA"/>
    <w:rsid w:val="2A8778DB"/>
    <w:rsid w:val="2AA57593"/>
    <w:rsid w:val="2AF62BDF"/>
    <w:rsid w:val="2AFB621A"/>
    <w:rsid w:val="2B286A29"/>
    <w:rsid w:val="2B55002F"/>
    <w:rsid w:val="2BC76739"/>
    <w:rsid w:val="2BF96B8B"/>
    <w:rsid w:val="2C483892"/>
    <w:rsid w:val="2C564D73"/>
    <w:rsid w:val="2C5D7341"/>
    <w:rsid w:val="2C7336D0"/>
    <w:rsid w:val="2C740D5C"/>
    <w:rsid w:val="2C7F4218"/>
    <w:rsid w:val="2C891FE9"/>
    <w:rsid w:val="2CA56D0D"/>
    <w:rsid w:val="2CB26480"/>
    <w:rsid w:val="2CDC0783"/>
    <w:rsid w:val="2CFE2C85"/>
    <w:rsid w:val="2D1B71D0"/>
    <w:rsid w:val="2D381718"/>
    <w:rsid w:val="2D5159CF"/>
    <w:rsid w:val="2D7A4331"/>
    <w:rsid w:val="2DB4303D"/>
    <w:rsid w:val="2DC13A27"/>
    <w:rsid w:val="2DDB07AB"/>
    <w:rsid w:val="2E2D6B0F"/>
    <w:rsid w:val="2E417FF4"/>
    <w:rsid w:val="2E8D5CCE"/>
    <w:rsid w:val="2EA67C56"/>
    <w:rsid w:val="2ED233D2"/>
    <w:rsid w:val="2EFA7C5A"/>
    <w:rsid w:val="2F032994"/>
    <w:rsid w:val="2F0C0DAA"/>
    <w:rsid w:val="2F564FEA"/>
    <w:rsid w:val="2FBF3EDB"/>
    <w:rsid w:val="2FD72ADE"/>
    <w:rsid w:val="30001CA0"/>
    <w:rsid w:val="300E0097"/>
    <w:rsid w:val="30511C9A"/>
    <w:rsid w:val="30BB664C"/>
    <w:rsid w:val="30E47494"/>
    <w:rsid w:val="311A3306"/>
    <w:rsid w:val="315601DC"/>
    <w:rsid w:val="315E7F26"/>
    <w:rsid w:val="316141E6"/>
    <w:rsid w:val="31646D7D"/>
    <w:rsid w:val="317A532A"/>
    <w:rsid w:val="31A077C9"/>
    <w:rsid w:val="31AA4C71"/>
    <w:rsid w:val="322C22B0"/>
    <w:rsid w:val="32472096"/>
    <w:rsid w:val="32DE2304"/>
    <w:rsid w:val="32F92D97"/>
    <w:rsid w:val="332306B4"/>
    <w:rsid w:val="334A02C1"/>
    <w:rsid w:val="33780BD7"/>
    <w:rsid w:val="33BF1E3D"/>
    <w:rsid w:val="33D17892"/>
    <w:rsid w:val="33E3586F"/>
    <w:rsid w:val="343277C4"/>
    <w:rsid w:val="344430BD"/>
    <w:rsid w:val="34545F3A"/>
    <w:rsid w:val="3459155A"/>
    <w:rsid w:val="346579F4"/>
    <w:rsid w:val="34695C2B"/>
    <w:rsid w:val="34A95ABE"/>
    <w:rsid w:val="34B15E25"/>
    <w:rsid w:val="34C016D3"/>
    <w:rsid w:val="34C416B9"/>
    <w:rsid w:val="34EC7611"/>
    <w:rsid w:val="35072977"/>
    <w:rsid w:val="35337E0C"/>
    <w:rsid w:val="35714818"/>
    <w:rsid w:val="35911B18"/>
    <w:rsid w:val="35962335"/>
    <w:rsid w:val="35AE3AF9"/>
    <w:rsid w:val="35B8467D"/>
    <w:rsid w:val="35C46168"/>
    <w:rsid w:val="35D93CDB"/>
    <w:rsid w:val="361A2D08"/>
    <w:rsid w:val="362A215E"/>
    <w:rsid w:val="363242AD"/>
    <w:rsid w:val="364F5FD8"/>
    <w:rsid w:val="366D4254"/>
    <w:rsid w:val="36C07AFE"/>
    <w:rsid w:val="36C87C9D"/>
    <w:rsid w:val="36FF22B8"/>
    <w:rsid w:val="37355F87"/>
    <w:rsid w:val="377000FF"/>
    <w:rsid w:val="379A6975"/>
    <w:rsid w:val="37EF193B"/>
    <w:rsid w:val="38387910"/>
    <w:rsid w:val="38800B43"/>
    <w:rsid w:val="38A635AE"/>
    <w:rsid w:val="38DA752A"/>
    <w:rsid w:val="38E82D88"/>
    <w:rsid w:val="391904B9"/>
    <w:rsid w:val="399108DA"/>
    <w:rsid w:val="39A64F74"/>
    <w:rsid w:val="39AE50EB"/>
    <w:rsid w:val="39E55B24"/>
    <w:rsid w:val="39F75EBA"/>
    <w:rsid w:val="3A6418F7"/>
    <w:rsid w:val="3AE314A7"/>
    <w:rsid w:val="3B584C1E"/>
    <w:rsid w:val="3B7A1DFC"/>
    <w:rsid w:val="3B9058CA"/>
    <w:rsid w:val="3BBE522F"/>
    <w:rsid w:val="3BF12975"/>
    <w:rsid w:val="3C02673B"/>
    <w:rsid w:val="3C097CBC"/>
    <w:rsid w:val="3C4E14A7"/>
    <w:rsid w:val="3C616659"/>
    <w:rsid w:val="3C963FB8"/>
    <w:rsid w:val="3CE46F6B"/>
    <w:rsid w:val="3CF726D7"/>
    <w:rsid w:val="3D0B2ECF"/>
    <w:rsid w:val="3D0E5C77"/>
    <w:rsid w:val="3D844571"/>
    <w:rsid w:val="3DA10BF8"/>
    <w:rsid w:val="3DB112E3"/>
    <w:rsid w:val="3E102E82"/>
    <w:rsid w:val="3E3F6EC0"/>
    <w:rsid w:val="3E5634E0"/>
    <w:rsid w:val="3E977672"/>
    <w:rsid w:val="3EAC5899"/>
    <w:rsid w:val="3ECB244C"/>
    <w:rsid w:val="3EFB2860"/>
    <w:rsid w:val="3F283A6E"/>
    <w:rsid w:val="3FAD0C87"/>
    <w:rsid w:val="3FCC2491"/>
    <w:rsid w:val="3FD57EEE"/>
    <w:rsid w:val="405D57A2"/>
    <w:rsid w:val="4063029D"/>
    <w:rsid w:val="40780CC2"/>
    <w:rsid w:val="40884D16"/>
    <w:rsid w:val="40887F25"/>
    <w:rsid w:val="408E0F6B"/>
    <w:rsid w:val="40A437DB"/>
    <w:rsid w:val="40AD6F62"/>
    <w:rsid w:val="41742331"/>
    <w:rsid w:val="4185236D"/>
    <w:rsid w:val="41981A07"/>
    <w:rsid w:val="41D26579"/>
    <w:rsid w:val="41E12669"/>
    <w:rsid w:val="42165DE4"/>
    <w:rsid w:val="424337F2"/>
    <w:rsid w:val="425C65F2"/>
    <w:rsid w:val="42D2244B"/>
    <w:rsid w:val="42E458C2"/>
    <w:rsid w:val="42E70DD3"/>
    <w:rsid w:val="43043ABB"/>
    <w:rsid w:val="439C3417"/>
    <w:rsid w:val="43A6089B"/>
    <w:rsid w:val="43EF2BBE"/>
    <w:rsid w:val="44362EFB"/>
    <w:rsid w:val="44547303"/>
    <w:rsid w:val="445B5A1D"/>
    <w:rsid w:val="44A364C9"/>
    <w:rsid w:val="44F66ABF"/>
    <w:rsid w:val="453946EA"/>
    <w:rsid w:val="458742F4"/>
    <w:rsid w:val="45AD743F"/>
    <w:rsid w:val="46086818"/>
    <w:rsid w:val="462B710A"/>
    <w:rsid w:val="46302EBB"/>
    <w:rsid w:val="46900BCA"/>
    <w:rsid w:val="46E54F06"/>
    <w:rsid w:val="47095C13"/>
    <w:rsid w:val="472977ED"/>
    <w:rsid w:val="47312560"/>
    <w:rsid w:val="474926B2"/>
    <w:rsid w:val="478E6AB5"/>
    <w:rsid w:val="479769CB"/>
    <w:rsid w:val="47A61CD8"/>
    <w:rsid w:val="47BA1BBF"/>
    <w:rsid w:val="48347F0E"/>
    <w:rsid w:val="49213A4A"/>
    <w:rsid w:val="493A03F9"/>
    <w:rsid w:val="493D277D"/>
    <w:rsid w:val="49412FB7"/>
    <w:rsid w:val="49445AF3"/>
    <w:rsid w:val="49605781"/>
    <w:rsid w:val="49666D30"/>
    <w:rsid w:val="496E75D4"/>
    <w:rsid w:val="4A167722"/>
    <w:rsid w:val="4A952D7E"/>
    <w:rsid w:val="4AA2424A"/>
    <w:rsid w:val="4B847953"/>
    <w:rsid w:val="4B9203FD"/>
    <w:rsid w:val="4BA35709"/>
    <w:rsid w:val="4BC5582C"/>
    <w:rsid w:val="4C286379"/>
    <w:rsid w:val="4CAA1DB9"/>
    <w:rsid w:val="4CFF6956"/>
    <w:rsid w:val="4D346DB0"/>
    <w:rsid w:val="4D3B6823"/>
    <w:rsid w:val="4D475BC2"/>
    <w:rsid w:val="4D772495"/>
    <w:rsid w:val="4DA17499"/>
    <w:rsid w:val="4DBE2CD4"/>
    <w:rsid w:val="4DCB026D"/>
    <w:rsid w:val="4DDC6525"/>
    <w:rsid w:val="4DDD115E"/>
    <w:rsid w:val="4E20711C"/>
    <w:rsid w:val="4E5825C5"/>
    <w:rsid w:val="4EA40AAC"/>
    <w:rsid w:val="4EF10D9F"/>
    <w:rsid w:val="4EF8152C"/>
    <w:rsid w:val="4F2D0D82"/>
    <w:rsid w:val="4F386939"/>
    <w:rsid w:val="4F994444"/>
    <w:rsid w:val="505236A5"/>
    <w:rsid w:val="507221F1"/>
    <w:rsid w:val="50C210B4"/>
    <w:rsid w:val="50EC23B2"/>
    <w:rsid w:val="51877B58"/>
    <w:rsid w:val="524D0959"/>
    <w:rsid w:val="526B3BD8"/>
    <w:rsid w:val="528C0437"/>
    <w:rsid w:val="52CB1A09"/>
    <w:rsid w:val="52D7405D"/>
    <w:rsid w:val="52D91D92"/>
    <w:rsid w:val="52EE250C"/>
    <w:rsid w:val="53013A4B"/>
    <w:rsid w:val="53116BA1"/>
    <w:rsid w:val="534A3C95"/>
    <w:rsid w:val="53587C15"/>
    <w:rsid w:val="535A5C00"/>
    <w:rsid w:val="53A028F7"/>
    <w:rsid w:val="53A15461"/>
    <w:rsid w:val="53D758C2"/>
    <w:rsid w:val="53D87D15"/>
    <w:rsid w:val="53F6451D"/>
    <w:rsid w:val="542B4FAE"/>
    <w:rsid w:val="54551C53"/>
    <w:rsid w:val="5464163F"/>
    <w:rsid w:val="54744E21"/>
    <w:rsid w:val="548215A5"/>
    <w:rsid w:val="54A85829"/>
    <w:rsid w:val="54F83701"/>
    <w:rsid w:val="54FF6801"/>
    <w:rsid w:val="55342219"/>
    <w:rsid w:val="554D078F"/>
    <w:rsid w:val="56325324"/>
    <w:rsid w:val="567152FE"/>
    <w:rsid w:val="5688000C"/>
    <w:rsid w:val="56910805"/>
    <w:rsid w:val="569318DB"/>
    <w:rsid w:val="56D14A44"/>
    <w:rsid w:val="56D36A13"/>
    <w:rsid w:val="5715657C"/>
    <w:rsid w:val="57171D81"/>
    <w:rsid w:val="577F5EA1"/>
    <w:rsid w:val="57AD0F69"/>
    <w:rsid w:val="580C1868"/>
    <w:rsid w:val="580E41BB"/>
    <w:rsid w:val="582A5CF2"/>
    <w:rsid w:val="58433EDF"/>
    <w:rsid w:val="58465F2C"/>
    <w:rsid w:val="584B47FB"/>
    <w:rsid w:val="58721E0B"/>
    <w:rsid w:val="588224FD"/>
    <w:rsid w:val="58D35AAB"/>
    <w:rsid w:val="58E31495"/>
    <w:rsid w:val="591469D0"/>
    <w:rsid w:val="591E7196"/>
    <w:rsid w:val="59555EE8"/>
    <w:rsid w:val="595777A8"/>
    <w:rsid w:val="596115AC"/>
    <w:rsid w:val="597A5475"/>
    <w:rsid w:val="598711CA"/>
    <w:rsid w:val="59B23598"/>
    <w:rsid w:val="59CE7435"/>
    <w:rsid w:val="5A085671"/>
    <w:rsid w:val="5A105E9D"/>
    <w:rsid w:val="5B2729ED"/>
    <w:rsid w:val="5B560BEF"/>
    <w:rsid w:val="5BEA0C9C"/>
    <w:rsid w:val="5C02479D"/>
    <w:rsid w:val="5C2E2A00"/>
    <w:rsid w:val="5C3B6163"/>
    <w:rsid w:val="5C3D39D3"/>
    <w:rsid w:val="5C972585"/>
    <w:rsid w:val="5C9D776E"/>
    <w:rsid w:val="5CE67624"/>
    <w:rsid w:val="5CF91525"/>
    <w:rsid w:val="5D941214"/>
    <w:rsid w:val="5DB62E22"/>
    <w:rsid w:val="5DC7395C"/>
    <w:rsid w:val="5DE55AAD"/>
    <w:rsid w:val="5DF92A7B"/>
    <w:rsid w:val="5E770867"/>
    <w:rsid w:val="5E7A7931"/>
    <w:rsid w:val="5E8132FA"/>
    <w:rsid w:val="5E957C30"/>
    <w:rsid w:val="5EA3702B"/>
    <w:rsid w:val="5EF7296A"/>
    <w:rsid w:val="5EF820B1"/>
    <w:rsid w:val="5F6C2583"/>
    <w:rsid w:val="5F7A0DCF"/>
    <w:rsid w:val="5F8266B0"/>
    <w:rsid w:val="5F8800AD"/>
    <w:rsid w:val="5FC24B65"/>
    <w:rsid w:val="60196ACC"/>
    <w:rsid w:val="602F3AC7"/>
    <w:rsid w:val="603D4250"/>
    <w:rsid w:val="60462E14"/>
    <w:rsid w:val="605F532C"/>
    <w:rsid w:val="606C1B63"/>
    <w:rsid w:val="610734E9"/>
    <w:rsid w:val="6121464D"/>
    <w:rsid w:val="61B07621"/>
    <w:rsid w:val="61C6591D"/>
    <w:rsid w:val="620766A7"/>
    <w:rsid w:val="62112174"/>
    <w:rsid w:val="621E36AD"/>
    <w:rsid w:val="622A28CA"/>
    <w:rsid w:val="622C7FA1"/>
    <w:rsid w:val="623724F7"/>
    <w:rsid w:val="62535A99"/>
    <w:rsid w:val="626358E9"/>
    <w:rsid w:val="629D0B25"/>
    <w:rsid w:val="62AC3191"/>
    <w:rsid w:val="62AD6A84"/>
    <w:rsid w:val="62B4676B"/>
    <w:rsid w:val="62E72D7C"/>
    <w:rsid w:val="62EA2020"/>
    <w:rsid w:val="62F66D88"/>
    <w:rsid w:val="63462059"/>
    <w:rsid w:val="63C059D2"/>
    <w:rsid w:val="63D653F3"/>
    <w:rsid w:val="640B26E3"/>
    <w:rsid w:val="641B6599"/>
    <w:rsid w:val="641E4ED5"/>
    <w:rsid w:val="641F25D2"/>
    <w:rsid w:val="64505CB8"/>
    <w:rsid w:val="645D179A"/>
    <w:rsid w:val="6486542C"/>
    <w:rsid w:val="64A34F81"/>
    <w:rsid w:val="64B14EDC"/>
    <w:rsid w:val="64CF6967"/>
    <w:rsid w:val="64E506BE"/>
    <w:rsid w:val="64F57C6E"/>
    <w:rsid w:val="650D3668"/>
    <w:rsid w:val="651C3534"/>
    <w:rsid w:val="653C7ADA"/>
    <w:rsid w:val="65415AAE"/>
    <w:rsid w:val="658018F7"/>
    <w:rsid w:val="659169F2"/>
    <w:rsid w:val="65E1314F"/>
    <w:rsid w:val="66627414"/>
    <w:rsid w:val="666526F9"/>
    <w:rsid w:val="669A732D"/>
    <w:rsid w:val="66E02EB1"/>
    <w:rsid w:val="67A27A68"/>
    <w:rsid w:val="67CF34A0"/>
    <w:rsid w:val="680D2170"/>
    <w:rsid w:val="680F42DB"/>
    <w:rsid w:val="681159CB"/>
    <w:rsid w:val="68704024"/>
    <w:rsid w:val="6875543C"/>
    <w:rsid w:val="68B94D4F"/>
    <w:rsid w:val="68C137BA"/>
    <w:rsid w:val="68CD6381"/>
    <w:rsid w:val="68CF737E"/>
    <w:rsid w:val="69242BA6"/>
    <w:rsid w:val="694C07E5"/>
    <w:rsid w:val="695E28E2"/>
    <w:rsid w:val="6968091F"/>
    <w:rsid w:val="6A75758F"/>
    <w:rsid w:val="6A833BAC"/>
    <w:rsid w:val="6AD72D3B"/>
    <w:rsid w:val="6B0810E0"/>
    <w:rsid w:val="6B0C448E"/>
    <w:rsid w:val="6B1027E3"/>
    <w:rsid w:val="6B1762D9"/>
    <w:rsid w:val="6B295E13"/>
    <w:rsid w:val="6B501853"/>
    <w:rsid w:val="6B740DBA"/>
    <w:rsid w:val="6BE75D99"/>
    <w:rsid w:val="6C314077"/>
    <w:rsid w:val="6C696C5B"/>
    <w:rsid w:val="6CDF7424"/>
    <w:rsid w:val="6CEC5897"/>
    <w:rsid w:val="6D1841DC"/>
    <w:rsid w:val="6D477461"/>
    <w:rsid w:val="6D48372F"/>
    <w:rsid w:val="6D7D7325"/>
    <w:rsid w:val="6D814E1E"/>
    <w:rsid w:val="6DCF505D"/>
    <w:rsid w:val="6E6A368B"/>
    <w:rsid w:val="6EBD6146"/>
    <w:rsid w:val="6EEC4937"/>
    <w:rsid w:val="6F062293"/>
    <w:rsid w:val="6F547BDB"/>
    <w:rsid w:val="6F5B698D"/>
    <w:rsid w:val="6F7C5106"/>
    <w:rsid w:val="6F8A29A9"/>
    <w:rsid w:val="6F9317B9"/>
    <w:rsid w:val="6FC62043"/>
    <w:rsid w:val="704E3899"/>
    <w:rsid w:val="708E79F5"/>
    <w:rsid w:val="70FC3396"/>
    <w:rsid w:val="717D49AF"/>
    <w:rsid w:val="71C40D8D"/>
    <w:rsid w:val="723278B7"/>
    <w:rsid w:val="723F01F2"/>
    <w:rsid w:val="72504666"/>
    <w:rsid w:val="729552C8"/>
    <w:rsid w:val="72D769C4"/>
    <w:rsid w:val="73110529"/>
    <w:rsid w:val="73492896"/>
    <w:rsid w:val="737B7C0E"/>
    <w:rsid w:val="73BE0ABA"/>
    <w:rsid w:val="73E1294F"/>
    <w:rsid w:val="73E958E9"/>
    <w:rsid w:val="73F62E23"/>
    <w:rsid w:val="74285316"/>
    <w:rsid w:val="7434432A"/>
    <w:rsid w:val="74EF26D4"/>
    <w:rsid w:val="74F0322B"/>
    <w:rsid w:val="75434D5C"/>
    <w:rsid w:val="75A95FB4"/>
    <w:rsid w:val="75AE501A"/>
    <w:rsid w:val="75C627A2"/>
    <w:rsid w:val="75DC0689"/>
    <w:rsid w:val="75E0081B"/>
    <w:rsid w:val="75E37CF2"/>
    <w:rsid w:val="7659580F"/>
    <w:rsid w:val="766706A4"/>
    <w:rsid w:val="76802A49"/>
    <w:rsid w:val="76841D98"/>
    <w:rsid w:val="76936F53"/>
    <w:rsid w:val="769A340F"/>
    <w:rsid w:val="76CF1F80"/>
    <w:rsid w:val="76D642AD"/>
    <w:rsid w:val="76F23F83"/>
    <w:rsid w:val="77017B06"/>
    <w:rsid w:val="770E2391"/>
    <w:rsid w:val="773B1391"/>
    <w:rsid w:val="779405B9"/>
    <w:rsid w:val="77FE22AB"/>
    <w:rsid w:val="7803690D"/>
    <w:rsid w:val="787C7092"/>
    <w:rsid w:val="787E4C83"/>
    <w:rsid w:val="78984FBE"/>
    <w:rsid w:val="78AD3FCF"/>
    <w:rsid w:val="78D936E4"/>
    <w:rsid w:val="7913366B"/>
    <w:rsid w:val="7922513F"/>
    <w:rsid w:val="793C7223"/>
    <w:rsid w:val="798B3F0C"/>
    <w:rsid w:val="79AD15D4"/>
    <w:rsid w:val="79CD4BC1"/>
    <w:rsid w:val="79EF0B61"/>
    <w:rsid w:val="7A385403"/>
    <w:rsid w:val="7A4B2978"/>
    <w:rsid w:val="7A5A3AC3"/>
    <w:rsid w:val="7A9B4A8E"/>
    <w:rsid w:val="7AE550DC"/>
    <w:rsid w:val="7B1570DF"/>
    <w:rsid w:val="7B195331"/>
    <w:rsid w:val="7B216417"/>
    <w:rsid w:val="7B382280"/>
    <w:rsid w:val="7C0B23FD"/>
    <w:rsid w:val="7CA04924"/>
    <w:rsid w:val="7D3F3206"/>
    <w:rsid w:val="7D9E30E4"/>
    <w:rsid w:val="7DA466C2"/>
    <w:rsid w:val="7DCC6F53"/>
    <w:rsid w:val="7DE672E2"/>
    <w:rsid w:val="7E4E5843"/>
    <w:rsid w:val="7E6E1D8E"/>
    <w:rsid w:val="7EA233D5"/>
    <w:rsid w:val="7EA73EBF"/>
    <w:rsid w:val="7EAB7C34"/>
    <w:rsid w:val="7EBA7166"/>
    <w:rsid w:val="7F335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rFonts w:cs="Times New Roman"/>
      <w:b/>
      <w:bCs/>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Char"/>
    <w:basedOn w:val="10"/>
    <w:link w:val="4"/>
    <w:semiHidden/>
    <w:qFormat/>
    <w:uiPriority w:val="99"/>
    <w:rPr>
      <w:rFonts w:asciiTheme="minorHAnsi" w:hAnsiTheme="minorHAnsi" w:eastAsiaTheme="minorEastAsia" w:cstheme="minorBidi"/>
      <w:kern w:val="2"/>
      <w:sz w:val="21"/>
      <w:szCs w:val="22"/>
    </w:rPr>
  </w:style>
  <w:style w:type="paragraph" w:customStyle="1" w:styleId="17">
    <w:name w:val="列出段落1"/>
    <w:basedOn w:val="1"/>
    <w:qFormat/>
    <w:uiPriority w:val="34"/>
    <w:pPr>
      <w:ind w:firstLine="420" w:firstLineChars="200"/>
    </w:pPr>
    <w:rPr>
      <w:rFonts w:cs="Times New Roman"/>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19">
    <w:name w:val="apple-converted-space"/>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E9191-051F-4396-A387-426D6F71C9F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711</Words>
  <Characters>4056</Characters>
  <Lines>33</Lines>
  <Paragraphs>9</Paragraphs>
  <TotalTime>1</TotalTime>
  <ScaleCrop>false</ScaleCrop>
  <LinksUpToDate>false</LinksUpToDate>
  <CharactersWithSpaces>4758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2019-04-04T07:28:00Z</dcterms:created>
  <dc:creator>PP P</dc:creator>
  <cp:lastModifiedBy>Administrator</cp:lastModifiedBy>
  <cp:lastPrinted>2021-01-28T08:09:00Z</cp:lastPrinted>
  <dcterms:modified xsi:type="dcterms:W3CDTF">2021-02-18T01:53:37Z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