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0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0120" w:type="dxa"/>
            <w:noWrap/>
            <w:vAlign w:val="center"/>
          </w:tcPr>
          <w:p>
            <w:pPr>
              <w:autoSpaceDE/>
              <w:autoSpaceDN/>
              <w:adjustRightInd/>
              <w:jc w:val="distribute"/>
              <w:rPr>
                <w:rFonts w:hint="default" w:ascii="Times New Roman" w:hAnsi="Times New Roman" w:cs="宋体"/>
                <w:color w:val="FF0000"/>
                <w:kern w:val="2"/>
                <w:sz w:val="70"/>
                <w:szCs w:val="70"/>
              </w:rPr>
            </w:pPr>
            <w:r>
              <w:rPr>
                <w:rFonts w:ascii="Times New Roman" w:hAnsi="Times New Roman" w:cs="宋体"/>
                <w:color w:val="FF0000"/>
                <w:kern w:val="2"/>
                <w:sz w:val="70"/>
                <w:szCs w:val="70"/>
              </w:rPr>
              <w:t>中 国 投 资 协 会</w:t>
            </w:r>
          </w:p>
          <w:p>
            <w:pPr>
              <w:autoSpaceDE/>
              <w:autoSpaceDN/>
              <w:adjustRightInd/>
              <w:jc w:val="distribute"/>
              <w:rPr>
                <w:rFonts w:hint="default" w:ascii="Times New Roman" w:hAnsi="Times New Roman" w:cs="宋体"/>
                <w:color w:val="FF0000"/>
                <w:kern w:val="2"/>
                <w:sz w:val="70"/>
                <w:szCs w:val="70"/>
              </w:rPr>
            </w:pPr>
            <w:r>
              <w:rPr>
                <w:rFonts w:ascii="Times New Roman" w:hAnsi="Times New Roman" w:cs="宋体"/>
                <w:color w:val="FF0000"/>
                <w:kern w:val="2"/>
                <w:sz w:val="70"/>
                <w:szCs w:val="70"/>
              </w:rPr>
              <w:t>项目投融资专业委员会文件</w:t>
            </w:r>
          </w:p>
          <w:p>
            <w:pPr>
              <w:ind w:left="420" w:hanging="420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2"/>
                <w:sz w:val="32"/>
                <w:szCs w:val="32"/>
              </w:rPr>
              <w:t>投融培〔2021〕10号</w:t>
            </w:r>
          </w:p>
        </w:tc>
      </w:tr>
    </w:tbl>
    <w:p>
      <w:pPr>
        <w:pStyle w:val="8"/>
        <w:spacing w:before="0" w:after="0" w:line="400" w:lineRule="exact"/>
        <w:rPr>
          <w:rFonts w:hint="default" w:asciiTheme="majorEastAsia" w:hAnsiTheme="majorEastAsia" w:eastAsiaTheme="majorEastAsia" w:cstheme="majorEastAsia"/>
          <w:sz w:val="36"/>
          <w:szCs w:val="36"/>
        </w:rPr>
      </w:pPr>
    </w:p>
    <w:p>
      <w:pPr>
        <w:pStyle w:val="8"/>
        <w:spacing w:before="0" w:after="0" w:line="400" w:lineRule="exact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asciiTheme="majorEastAsia" w:hAnsiTheme="majorEastAsia" w:eastAsiaTheme="majorEastAsia" w:cstheme="majorEastAsia"/>
          <w:sz w:val="36"/>
          <w:szCs w:val="36"/>
        </w:rPr>
        <w:t>关于举办全面注册制时代背景下</w:t>
      </w:r>
    </w:p>
    <w:p>
      <w:pPr>
        <w:pStyle w:val="8"/>
        <w:spacing w:before="0" w:after="0" w:line="400" w:lineRule="exact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asciiTheme="majorEastAsia" w:hAnsiTheme="majorEastAsia" w:eastAsiaTheme="majorEastAsia" w:cstheme="majorEastAsia"/>
          <w:sz w:val="36"/>
          <w:szCs w:val="36"/>
        </w:rPr>
        <w:t>资本（股权）运作模式与操作</w:t>
      </w:r>
    </w:p>
    <w:p>
      <w:pPr>
        <w:pStyle w:val="8"/>
        <w:spacing w:before="0" w:after="0" w:line="400" w:lineRule="exact"/>
        <w:rPr>
          <w:rFonts w:hint="default" w:ascii="仿宋" w:hAnsi="仿宋" w:eastAsia="仿宋" w:cs="仿宋"/>
          <w:bCs w:val="0"/>
          <w:kern w:val="2"/>
          <w:sz w:val="36"/>
          <w:szCs w:val="36"/>
        </w:rPr>
      </w:pPr>
      <w:r>
        <w:rPr>
          <w:rFonts w:asciiTheme="majorEastAsia" w:hAnsiTheme="majorEastAsia" w:eastAsiaTheme="majorEastAsia" w:cstheme="majorEastAsia"/>
          <w:sz w:val="36"/>
          <w:szCs w:val="36"/>
        </w:rPr>
        <w:t>实务培训班的通知</w:t>
      </w:r>
    </w:p>
    <w:p>
      <w:pPr>
        <w:autoSpaceDE/>
        <w:autoSpaceDN/>
        <w:adjustRightInd/>
        <w:spacing w:line="410" w:lineRule="exact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</w:rPr>
      </w:pPr>
    </w:p>
    <w:p>
      <w:pPr>
        <w:autoSpaceDE/>
        <w:autoSpaceDN/>
        <w:adjustRightInd/>
        <w:spacing w:line="410" w:lineRule="exact"/>
        <w:jc w:val="both"/>
        <w:rPr>
          <w:rFonts w:hint="default" w:ascii="仿宋" w:hAnsi="仿宋" w:eastAsia="仿宋" w:cs="仿宋"/>
          <w:bCs/>
          <w:kern w:val="2"/>
          <w:sz w:val="32"/>
          <w:szCs w:val="32"/>
        </w:rPr>
      </w:pPr>
      <w:r>
        <w:rPr>
          <w:rFonts w:ascii="仿宋" w:hAnsi="仿宋" w:eastAsia="仿宋" w:cs="仿宋"/>
          <w:bCs/>
          <w:kern w:val="2"/>
          <w:sz w:val="32"/>
          <w:szCs w:val="32"/>
        </w:rPr>
        <w:t>各有关单位:</w:t>
      </w:r>
    </w:p>
    <w:p>
      <w:pPr>
        <w:autoSpaceDE/>
        <w:autoSpaceDN/>
        <w:adjustRightInd/>
        <w:spacing w:line="410" w:lineRule="exact"/>
        <w:jc w:val="both"/>
        <w:rPr>
          <w:rFonts w:hint="default" w:ascii="仿宋" w:hAnsi="仿宋" w:eastAsia="仿宋" w:cs="仿宋"/>
          <w:kern w:val="2"/>
          <w:sz w:val="32"/>
          <w:szCs w:val="32"/>
          <w:lang w:val="zh-CN"/>
        </w:rPr>
      </w:pPr>
      <w:r>
        <w:rPr>
          <w:rFonts w:hint="default" w:ascii="仿宋" w:hAnsi="仿宋" w:eastAsia="仿宋" w:cs="仿宋"/>
          <w:kern w:val="2"/>
          <w:sz w:val="32"/>
          <w:szCs w:val="32"/>
        </w:rPr>
        <w:t> </w:t>
      </w:r>
      <w:r>
        <w:rPr>
          <w:rFonts w:ascii="仿宋" w:hAnsi="仿宋" w:eastAsia="仿宋" w:cs="仿宋"/>
          <w:kern w:val="2"/>
          <w:sz w:val="32"/>
          <w:szCs w:val="32"/>
        </w:rPr>
        <w:t> 随着全球经济金融形势发展变化，中国国有企业改革推进，资本市场证券发行注册制全面实行，国家出台了一系列新的政策举措，资本市场投融资模式不断创新，</w:t>
      </w:r>
      <w:r>
        <w:rPr>
          <w:rFonts w:hint="default" w:ascii="仿宋" w:hAnsi="仿宋" w:eastAsia="仿宋" w:cs="仿宋"/>
          <w:kern w:val="2"/>
          <w:sz w:val="32"/>
          <w:szCs w:val="32"/>
        </w:rPr>
        <w:t>为培</w:t>
      </w:r>
      <w:r>
        <w:rPr>
          <w:rFonts w:ascii="仿宋" w:hAnsi="仿宋" w:eastAsia="仿宋" w:cs="仿宋"/>
          <w:kern w:val="2"/>
          <w:sz w:val="32"/>
          <w:szCs w:val="32"/>
        </w:rPr>
        <w:t>育我</w:t>
      </w:r>
      <w:r>
        <w:rPr>
          <w:rFonts w:hint="default" w:ascii="仿宋" w:hAnsi="仿宋" w:eastAsia="仿宋" w:cs="仿宋"/>
          <w:kern w:val="2"/>
          <w:sz w:val="32"/>
          <w:szCs w:val="32"/>
        </w:rPr>
        <w:t>国投融资领域具有现代资本运营理念和创新能力的优秀实战型人才</w:t>
      </w:r>
      <w:r>
        <w:rPr>
          <w:rFonts w:ascii="仿宋" w:hAnsi="仿宋" w:eastAsia="仿宋" w:cs="仿宋"/>
          <w:kern w:val="2"/>
          <w:sz w:val="32"/>
          <w:szCs w:val="32"/>
        </w:rPr>
        <w:t>，进行业务拓展和升级，中国投资协会项目投融资专业委员会会同</w:t>
      </w:r>
      <w:r>
        <w:rPr>
          <w:rFonts w:ascii="仿宋" w:hAnsi="仿宋" w:eastAsia="仿宋" w:cs="仿宋"/>
          <w:kern w:val="2"/>
          <w:sz w:val="32"/>
          <w:szCs w:val="32"/>
          <w:lang w:val="zh-CN"/>
        </w:rPr>
        <w:t>北京中建科信管理咨询集团有限公司联合举办</w:t>
      </w:r>
      <w:r>
        <w:rPr>
          <w:rFonts w:hint="eastAsia" w:ascii="仿宋" w:hAnsi="仿宋" w:eastAsia="仿宋" w:cs="仿宋"/>
          <w:kern w:val="2"/>
          <w:sz w:val="32"/>
          <w:szCs w:val="32"/>
        </w:rPr>
        <w:t>全面注册制时代背景下资本（股权）运作模式与操作实务培训班</w:t>
      </w:r>
      <w:r>
        <w:rPr>
          <w:rFonts w:ascii="仿宋" w:hAnsi="仿宋" w:eastAsia="仿宋" w:cs="仿宋"/>
          <w:kern w:val="2"/>
          <w:sz w:val="32"/>
          <w:szCs w:val="32"/>
          <w:lang w:val="zh-CN"/>
        </w:rPr>
        <w:t>。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kern w:val="2"/>
          <w:sz w:val="32"/>
          <w:szCs w:val="32"/>
        </w:rPr>
        <w:t>本期培训班着眼于全面了解资本运作与投资和融资方法策略及创新，深入探讨价值投资管理形式；有效推进产业结构升级转型；快速实现金融资本优化配置；详细解析商业模式创新案例；构建学员交流合作快速通道和平台；系统掌握资本（股权）运作最新策略和实操技巧。</w:t>
      </w:r>
    </w:p>
    <w:p>
      <w:pPr>
        <w:autoSpaceDE/>
        <w:autoSpaceDN/>
        <w:adjustRightInd/>
        <w:spacing w:line="410" w:lineRule="exact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 xml:space="preserve">    一、组织机构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主办单位：中国投资协会项目投融资专业委员会</w:t>
      </w:r>
    </w:p>
    <w:p>
      <w:pPr>
        <w:autoSpaceDE/>
        <w:autoSpaceDN/>
        <w:spacing w:line="410" w:lineRule="exact"/>
        <w:ind w:firstLine="640" w:firstLineChars="200"/>
        <w:rPr>
          <w:rFonts w:hint="default" w:ascii="华文仿宋" w:hAnsi="华文仿宋" w:eastAsia="华文仿宋"/>
          <w:sz w:val="32"/>
          <w:szCs w:val="32"/>
          <w:lang w:val="zh-CN"/>
        </w:rPr>
      </w:pPr>
      <w:r>
        <w:rPr>
          <w:rFonts w:ascii="仿宋" w:hAnsi="仿宋" w:eastAsia="仿宋" w:cs="仿宋"/>
          <w:kern w:val="2"/>
          <w:sz w:val="32"/>
          <w:szCs w:val="32"/>
        </w:rPr>
        <w:t>承办单位：</w:t>
      </w:r>
      <w:r>
        <w:rPr>
          <w:rFonts w:ascii="仿宋" w:hAnsi="仿宋" w:eastAsia="仿宋" w:cs="仿宋"/>
          <w:kern w:val="2"/>
          <w:sz w:val="32"/>
          <w:szCs w:val="32"/>
          <w:lang w:val="zh-CN"/>
        </w:rPr>
        <w:t>北京中建科信管理咨询集团有限公司</w:t>
      </w:r>
    </w:p>
    <w:p>
      <w:pPr>
        <w:spacing w:line="440" w:lineRule="exact"/>
        <w:rPr>
          <w:rFonts w:hint="default" w:ascii="楷体" w:hAnsi="楷体" w:eastAsia="楷体" w:cs="楷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 xml:space="preserve">    二、培训内容</w:t>
      </w:r>
      <w:r>
        <w:rPr>
          <w:rFonts w:ascii="楷体" w:hAnsi="楷体" w:eastAsia="楷体" w:cs="楷体"/>
          <w:kern w:val="2"/>
          <w:sz w:val="32"/>
          <w:szCs w:val="32"/>
        </w:rPr>
        <w:t>（详细内容见附件）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1.增资扩股、股债结合与老股转让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2.收购、兼并、合并和资产置换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3.上市与并购结合、主动和被动退市、回归上市、第二上市、多地上市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4.并购支付手段的财税筹划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5.整体上市、联合上市、分离上市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6.造壳、买壳和借壳上市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7.剥离、分立、分拆及其他方式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8.企业并购十大关键问题及解决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9.企业并购操作流程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10.梅泰诺跨境收购BBHI案例分析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11.监管机构并购审核要点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12.并购基金的设立与运作</w:t>
      </w:r>
    </w:p>
    <w:p>
      <w:pPr>
        <w:autoSpaceDE/>
        <w:autoSpaceDN/>
        <w:snapToGrid w:val="0"/>
        <w:spacing w:line="440" w:lineRule="exact"/>
        <w:ind w:left="640" w:hanging="640" w:hangingChars="200"/>
        <w:jc w:val="both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 xml:space="preserve">    四、培训对象</w:t>
      </w:r>
    </w:p>
    <w:p>
      <w:pPr>
        <w:autoSpaceDE/>
        <w:autoSpaceDN/>
        <w:snapToGrid w:val="0"/>
        <w:spacing w:line="440" w:lineRule="exact"/>
        <w:ind w:left="17" w:leftChars="7" w:firstLine="617" w:firstLineChars="193"/>
        <w:jc w:val="both"/>
        <w:rPr>
          <w:rFonts w:hint="default" w:ascii="微软雅黑" w:hAnsi="微软雅黑" w:eastAsia="微软雅黑" w:cs="微软雅黑"/>
          <w:color w:val="666666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</w:rPr>
        <w:t>1.企业董事长、总裁、副总裁、董事会秘书等高层管理者，以及财务总监、投资总监、投融资项目负责人。</w:t>
      </w:r>
      <w:r>
        <w:rPr>
          <w:rFonts w:ascii="仿宋" w:hAnsi="仿宋" w:eastAsia="仿宋"/>
          <w:color w:val="000000"/>
          <w:sz w:val="32"/>
          <w:szCs w:val="32"/>
        </w:rPr>
        <w:br w:type="textWrapping"/>
      </w:r>
      <w:r>
        <w:rPr>
          <w:rFonts w:ascii="仿宋" w:hAnsi="仿宋" w:eastAsia="仿宋"/>
          <w:color w:val="000000"/>
          <w:sz w:val="32"/>
          <w:szCs w:val="32"/>
        </w:rPr>
        <w:t xml:space="preserve">    2.金融机构(银行、基金、资产管理、私募股权、保险、信托、担保、小额贷款、典当、融资租赁、财富管理)管理人员。</w:t>
      </w:r>
      <w:r>
        <w:rPr>
          <w:rFonts w:ascii="仿宋" w:hAnsi="仿宋" w:eastAsia="仿宋"/>
          <w:color w:val="000000"/>
          <w:sz w:val="32"/>
          <w:szCs w:val="32"/>
        </w:rPr>
        <w:br w:type="textWrapping"/>
      </w:r>
      <w:r>
        <w:rPr>
          <w:rFonts w:ascii="仿宋" w:hAnsi="仿宋" w:eastAsia="仿宋"/>
          <w:color w:val="000000"/>
          <w:sz w:val="32"/>
          <w:szCs w:val="32"/>
        </w:rPr>
        <w:t xml:space="preserve">    3.律师事务所、会计师事务所、财务顾问公司、资产评估和评级机构等中介服务机构管理人员。</w:t>
      </w:r>
      <w:r>
        <w:rPr>
          <w:rFonts w:ascii="仿宋" w:hAnsi="仿宋" w:eastAsia="仿宋"/>
          <w:color w:val="000000"/>
          <w:sz w:val="32"/>
          <w:szCs w:val="32"/>
        </w:rPr>
        <w:br w:type="textWrapping"/>
      </w:r>
      <w:r>
        <w:rPr>
          <w:rFonts w:ascii="仿宋" w:hAnsi="仿宋" w:eastAsia="仿宋"/>
          <w:color w:val="000000"/>
          <w:sz w:val="32"/>
          <w:szCs w:val="32"/>
        </w:rPr>
        <w:t xml:space="preserve">    4.各地政府与其他有志于从事金融投融资业务的相关人士。</w:t>
      </w:r>
    </w:p>
    <w:p>
      <w:pPr>
        <w:autoSpaceDE/>
        <w:autoSpaceDN/>
        <w:adjustRightInd/>
        <w:spacing w:line="440" w:lineRule="exact"/>
        <w:jc w:val="both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 xml:space="preserve">    五、授课专家</w:t>
      </w:r>
    </w:p>
    <w:p>
      <w:pPr>
        <w:spacing w:line="440" w:lineRule="exact"/>
        <w:ind w:firstLine="640" w:firstLineChars="200"/>
        <w:rPr>
          <w:rFonts w:hint="default" w:ascii="楷体" w:hAnsi="楷体" w:eastAsia="楷体" w:cs="楷体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培训班将邀请相关领域领导、专家、学者授课，解析</w:t>
      </w:r>
      <w:r>
        <w:fldChar w:fldCharType="begin"/>
      </w:r>
      <w:r>
        <w:instrText xml:space="preserve"> HYPERLINK "http://www.sjtu-emba.com/zhaosheng/jrtzkc/2814.html" \t "http://groups.tianya.cn/_blank" </w:instrText>
      </w:r>
      <w:r>
        <w:fldChar w:fldCharType="separate"/>
      </w:r>
      <w:r>
        <w:rPr>
          <w:rFonts w:ascii="仿宋" w:hAnsi="仿宋" w:eastAsia="仿宋"/>
          <w:kern w:val="2"/>
          <w:sz w:val="32"/>
          <w:szCs w:val="32"/>
        </w:rPr>
        <w:t>企业融资</w:t>
      </w:r>
      <w:r>
        <w:rPr>
          <w:rFonts w:ascii="仿宋" w:hAnsi="仿宋" w:eastAsia="仿宋"/>
          <w:kern w:val="2"/>
          <w:sz w:val="32"/>
          <w:szCs w:val="32"/>
        </w:rPr>
        <w:fldChar w:fldCharType="end"/>
      </w:r>
      <w:r>
        <w:rPr>
          <w:rFonts w:ascii="仿宋" w:hAnsi="仿宋" w:eastAsia="仿宋"/>
          <w:kern w:val="2"/>
          <w:sz w:val="32"/>
          <w:szCs w:val="32"/>
        </w:rPr>
        <w:t>、投资、并购、上市及企业家财富管理等领域实战内容，帮助企业家解决资本（股权）运作中的关键问题，搭建金融资本（股权）运作模式和操作技巧学习交流的平台。</w:t>
      </w:r>
    </w:p>
    <w:p>
      <w:pPr>
        <w:autoSpaceDE/>
        <w:autoSpaceDN/>
        <w:adjustRightInd/>
        <w:spacing w:line="440" w:lineRule="exact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楷体" w:hAnsi="楷体" w:eastAsia="楷体"/>
          <w:bCs/>
          <w:color w:val="000000"/>
          <w:sz w:val="32"/>
          <w:szCs w:val="32"/>
        </w:rPr>
        <w:t>彭建国：</w:t>
      </w:r>
      <w:r>
        <w:rPr>
          <w:rFonts w:ascii="仿宋" w:hAnsi="仿宋" w:eastAsia="仿宋"/>
          <w:color w:val="000000"/>
          <w:sz w:val="32"/>
          <w:szCs w:val="32"/>
        </w:rPr>
        <w:t>国务院国资委研究中心原副主任，著名经济学家、博士后导师</w:t>
      </w:r>
    </w:p>
    <w:p>
      <w:pPr>
        <w:autoSpaceDE/>
        <w:autoSpaceDN/>
        <w:adjustRightInd/>
        <w:spacing w:line="440" w:lineRule="exact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楷体" w:hAnsi="楷体" w:eastAsia="楷体"/>
          <w:bCs/>
          <w:color w:val="000000"/>
          <w:sz w:val="32"/>
          <w:szCs w:val="32"/>
        </w:rPr>
        <w:t>刘李胜：</w:t>
      </w:r>
      <w:r>
        <w:rPr>
          <w:rFonts w:ascii="仿宋" w:hAnsi="仿宋" w:eastAsia="仿宋"/>
          <w:color w:val="000000"/>
          <w:sz w:val="32"/>
          <w:szCs w:val="32"/>
        </w:rPr>
        <w:t>金融与管理学教授及导师、经济学博士后、顶级境内、外上市和投融资专家、国际资本市场专家</w:t>
      </w:r>
    </w:p>
    <w:p>
      <w:pPr>
        <w:autoSpaceDE/>
        <w:autoSpaceDN/>
        <w:adjustRightInd/>
        <w:spacing w:line="440" w:lineRule="exact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楷体" w:hAnsi="楷体" w:eastAsia="楷体"/>
          <w:bCs/>
          <w:color w:val="000000"/>
          <w:sz w:val="32"/>
          <w:szCs w:val="32"/>
        </w:rPr>
        <w:t>张朝元：</w:t>
      </w:r>
      <w:r>
        <w:rPr>
          <w:rFonts w:ascii="仿宋" w:hAnsi="仿宋" w:eastAsia="仿宋"/>
          <w:color w:val="000000"/>
          <w:sz w:val="32"/>
          <w:szCs w:val="32"/>
        </w:rPr>
        <w:t>中国经济体制改革研究会副秘书长，北京大学、清华大学总裁研修班客座教授</w:t>
      </w:r>
    </w:p>
    <w:p>
      <w:pPr>
        <w:autoSpaceDE/>
        <w:autoSpaceDN/>
        <w:adjustRightInd/>
        <w:spacing w:line="440" w:lineRule="exact"/>
        <w:jc w:val="both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楷体" w:hAnsi="楷体" w:eastAsia="楷体"/>
          <w:bCs/>
          <w:color w:val="000000"/>
          <w:sz w:val="32"/>
          <w:szCs w:val="32"/>
        </w:rPr>
        <w:t xml:space="preserve">   席加省：</w:t>
      </w:r>
      <w:r>
        <w:rPr>
          <w:rFonts w:ascii="仿宋" w:hAnsi="仿宋" w:eastAsia="仿宋"/>
          <w:color w:val="000000"/>
          <w:sz w:val="32"/>
          <w:szCs w:val="32"/>
        </w:rPr>
        <w:t>和君创业咨询师、培训师，曾任某大型集团战略部经理</w:t>
      </w:r>
    </w:p>
    <w:p>
      <w:pPr>
        <w:autoSpaceDE/>
        <w:autoSpaceDN/>
        <w:adjustRightInd/>
        <w:spacing w:line="44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楷体" w:hAnsi="楷体" w:eastAsia="楷体"/>
          <w:bCs/>
          <w:color w:val="000000"/>
          <w:sz w:val="32"/>
          <w:szCs w:val="32"/>
        </w:rPr>
        <w:t>冯鹏程：</w:t>
      </w:r>
      <w:r>
        <w:rPr>
          <w:rFonts w:ascii="仿宋" w:hAnsi="仿宋" w:eastAsia="仿宋"/>
          <w:color w:val="000000"/>
          <w:sz w:val="32"/>
          <w:szCs w:val="32"/>
        </w:rPr>
        <w:t xml:space="preserve">对外经济贸易大学中国资本运营研究中心主任、教授   </w:t>
      </w:r>
    </w:p>
    <w:p>
      <w:pPr>
        <w:autoSpaceDE/>
        <w:autoSpaceDN/>
        <w:adjustRightInd/>
        <w:spacing w:line="440" w:lineRule="exact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</w:t>
      </w:r>
    </w:p>
    <w:p>
      <w:pPr>
        <w:spacing w:line="440" w:lineRule="exact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 xml:space="preserve">    六、时间地点</w:t>
      </w:r>
    </w:p>
    <w:p>
      <w:pPr>
        <w:spacing w:line="440" w:lineRule="exact"/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kern w:val="2"/>
          <w:sz w:val="32"/>
          <w:szCs w:val="32"/>
        </w:rPr>
        <w:t>2021年3月26日—3月30日  北京市（26日全天报到）</w:t>
      </w:r>
    </w:p>
    <w:p>
      <w:pPr>
        <w:spacing w:line="440" w:lineRule="exact"/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kern w:val="2"/>
          <w:sz w:val="32"/>
          <w:szCs w:val="32"/>
        </w:rPr>
        <w:t>2021年4月16日—4月20日  西安市（16日全天报到）</w:t>
      </w:r>
    </w:p>
    <w:p>
      <w:pPr>
        <w:spacing w:line="440" w:lineRule="exact"/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kern w:val="2"/>
          <w:sz w:val="32"/>
          <w:szCs w:val="32"/>
        </w:rPr>
        <w:t>2021年5月14日—5月18日  郑州市（14日全天报到）</w:t>
      </w:r>
    </w:p>
    <w:p>
      <w:pPr>
        <w:spacing w:line="440" w:lineRule="exact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 xml:space="preserve">    七、相关事宜</w:t>
      </w:r>
    </w:p>
    <w:p>
      <w:pPr>
        <w:spacing w:line="44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楷体" w:hAnsi="楷体" w:eastAsia="楷体" w:cs="楷体"/>
          <w:bCs/>
          <w:color w:val="000000"/>
          <w:kern w:val="2"/>
          <w:sz w:val="32"/>
          <w:szCs w:val="32"/>
        </w:rPr>
        <w:t>（一）培训费用</w:t>
      </w:r>
    </w:p>
    <w:p>
      <w:pPr>
        <w:spacing w:line="44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6800元/人（含培训费、资料费、场地费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和</w:t>
      </w:r>
      <w:r>
        <w:rPr>
          <w:rFonts w:ascii="仿宋" w:hAnsi="仿宋" w:eastAsia="仿宋"/>
          <w:color w:val="000000"/>
          <w:sz w:val="32"/>
          <w:szCs w:val="32"/>
        </w:rPr>
        <w:t>会议期间午餐），住宿统一安排，费用自理。</w:t>
      </w:r>
    </w:p>
    <w:p>
      <w:pPr>
        <w:spacing w:line="44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楷体" w:hAnsi="楷体" w:eastAsia="楷体" w:cs="楷体"/>
          <w:bCs/>
          <w:color w:val="000000"/>
          <w:kern w:val="2"/>
          <w:sz w:val="32"/>
          <w:szCs w:val="32"/>
        </w:rPr>
        <w:t>（二）联系方式</w:t>
      </w:r>
    </w:p>
    <w:p>
      <w:pPr>
        <w:autoSpaceDE/>
        <w:autoSpaceDN/>
        <w:adjustRightInd/>
        <w:spacing w:line="36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报名负责人：聂红军 主任18211071700（微信）   </w:t>
      </w:r>
    </w:p>
    <w:p>
      <w:pPr>
        <w:autoSpaceDE/>
        <w:autoSpaceDN/>
        <w:adjustRightInd/>
        <w:spacing w:line="36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电  话：010-87697580      邮    箱：zqgphwz@126.com  </w:t>
      </w:r>
    </w:p>
    <w:p>
      <w:pPr>
        <w:autoSpaceDE/>
        <w:autoSpaceDN/>
        <w:adjustRightInd/>
        <w:spacing w:line="360" w:lineRule="exact"/>
        <w:rPr>
          <w:rFonts w:hint="default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qq咨询：3177524020    网址查询：http://www.zqgpchina.cn/</w:t>
      </w:r>
    </w:p>
    <w:p>
      <w:pPr>
        <w:autoSpaceDE/>
        <w:autoSpaceDN/>
        <w:adjustRightInd/>
        <w:spacing w:line="36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 w:cs="黑体"/>
          <w:bCs/>
          <w:color w:val="000000"/>
          <w:sz w:val="32"/>
          <w:szCs w:val="32"/>
        </w:rPr>
        <w:t>附件：</w:t>
      </w:r>
      <w:r>
        <w:rPr>
          <w:rFonts w:ascii="仿宋" w:hAnsi="仿宋" w:eastAsia="仿宋"/>
          <w:color w:val="000000"/>
          <w:sz w:val="32"/>
          <w:szCs w:val="32"/>
        </w:rPr>
        <w:t>1.培训内容</w:t>
      </w:r>
    </w:p>
    <w:p>
      <w:pPr>
        <w:autoSpaceDE/>
        <w:autoSpaceDN/>
        <w:adjustRightInd/>
        <w:spacing w:line="39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2.报名回执表</w:t>
      </w: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32"/>
          <w:szCs w:val="32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150495</wp:posOffset>
            </wp:positionV>
            <wp:extent cx="4038600" cy="1838325"/>
            <wp:effectExtent l="0" t="0" r="0" b="9525"/>
            <wp:wrapNone/>
            <wp:docPr id="1" name="图片 1" descr="16127500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275004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</w:p>
    <w:p>
      <w:pPr>
        <w:autoSpaceDE/>
        <w:autoSpaceDN/>
        <w:adjustRightInd/>
        <w:spacing w:line="390" w:lineRule="exact"/>
        <w:ind w:firstLine="4800" w:firstLineChars="150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               </w:t>
      </w:r>
    </w:p>
    <w:p>
      <w:pPr>
        <w:spacing w:line="420" w:lineRule="exact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  <w:bookmarkStart w:id="0" w:name="_GoBack"/>
      <w:bookmarkEnd w:id="0"/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  <w:r>
        <w:rPr>
          <w:rFonts w:ascii="仿宋" w:hAnsi="仿宋" w:eastAsia="仿宋" w:cs="仿宋"/>
          <w:b/>
          <w:bCs/>
          <w:kern w:val="2"/>
          <w:sz w:val="28"/>
          <w:szCs w:val="28"/>
          <w:lang w:bidi="zh-CN"/>
        </w:rPr>
        <w:t>附件:1</w:t>
      </w:r>
    </w:p>
    <w:p>
      <w:pPr>
        <w:autoSpaceDE/>
        <w:autoSpaceDN/>
        <w:adjustRightInd/>
        <w:spacing w:line="328" w:lineRule="exact"/>
        <w:jc w:val="center"/>
        <w:rPr>
          <w:rFonts w:hint="default" w:cs="宋体"/>
          <w:b/>
          <w:bCs/>
          <w:kern w:val="2"/>
          <w:sz w:val="32"/>
          <w:szCs w:val="32"/>
          <w:lang w:bidi="zh-CN"/>
        </w:rPr>
      </w:pPr>
      <w:r>
        <w:rPr>
          <w:rFonts w:cs="宋体"/>
          <w:b/>
          <w:bCs/>
          <w:kern w:val="2"/>
          <w:sz w:val="32"/>
          <w:szCs w:val="32"/>
          <w:lang w:bidi="zh-CN"/>
        </w:rPr>
        <w:t>培 训 内 容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一、增资扩股、股债结合和老股转让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（一）增资扩股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1.首次公开发行（IPO）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2.直接上市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3.配股融资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4.定向增发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（二）股债结合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1.可转换公司债券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2.可交换公司债券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3.债转股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4.投贷联动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5.可展期债券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6.永续债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color w:val="000000"/>
          <w:sz w:val="28"/>
          <w:szCs w:val="28"/>
        </w:rPr>
        <w:t xml:space="preserve">   （三）老股转让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二、收购、兼并、合并和资产置换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（一）企业收购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1.全资收购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2.控股式收购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3.参股式收购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（二）兼并（吸收式合并）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（三）合并（新设合并）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1.合并的财务法律含义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2.同一控制人和不同控制人下的合并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 xml:space="preserve">    3.新设合并的两种实现方式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（四）资产（股权）置换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1.资产置换的含义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2.股权置换的含义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3.股权置换的三种方式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三、上市与并购结合、主动被动退市、回归上市、第二上市、多地上市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 xml:space="preserve">    1.红筹上市架构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2.SPAC（特殊目的收购公司）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3.中概股回归上市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4.第二上市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5.多地上市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四、并购支付手段的财税筹划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（一）利润高的企业并购利润低的企业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1.产业上有帮助，税务上可筹划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2.实施的五个条件考量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（二）现金收购资产还是收购股权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1.两种方法的不同税收效应比较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2.什么时候以现金收购资产好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（三）用现金并购还是定向增发股份并购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1.两种方法的不同税收效应比较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2.股权支付的好处和法规依据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案例：国美电器上市财税策略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（四）定向增发购买股权还是购买资产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1.购买资产的税收效应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2.购买股权的税收效应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（五）定向增发合并还是换股吸收合并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1.差异和比较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案例：中国玻纤并购巨石集团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仿宋" w:hAnsi="仿宋" w:eastAsia="仿宋" w:cs="仿宋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（六）非股权支付额&gt;股权支付额20%好，还是&lt;20%好？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五、整体上市、联合上市、分离上市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1.整体重组模式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2.联合重组模式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3.分拆重组模式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六、造壳、买壳和借壳上市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（一）造壳上市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1.国企“母借子壳”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2.红筹方式的“反向并购”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3.特殊目的收购公司（SPAC）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4.种壳业务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（二）买壳上市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1.买壳上市含义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2.获得壳上市公司控制权的方法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3.选择壳上市公司的考量因素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4.控股后资产重组方式</w:t>
      </w:r>
    </w:p>
    <w:p>
      <w:pPr>
        <w:widowControl/>
        <w:autoSpaceDE/>
        <w:autoSpaceDN/>
        <w:spacing w:line="328" w:lineRule="exact"/>
        <w:ind w:firstLine="420" w:firstLineChars="15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（1）资产置出方式</w:t>
      </w:r>
    </w:p>
    <w:p>
      <w:pPr>
        <w:widowControl/>
        <w:autoSpaceDE/>
        <w:autoSpaceDN/>
        <w:spacing w:line="328" w:lineRule="exact"/>
        <w:ind w:firstLine="420" w:firstLineChars="15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（2）资产置入方式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5.恢复上市交易后的再融资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6.二级市场收购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（三）借壳上市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1.借壳上市的含义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2.借壳上市的交易界限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3.借壳上市的三种具体方式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案例：顺丰控股借壳鼎泰新材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七、剥离、分立、分拆及其他方式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1.资产剥离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2.公司分立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3.分拆上市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案例：康贝恩、联想集团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4.股份回购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5.定向股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6.公司减资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7.资产证券化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八、企业并购十大关键问题及解决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（一）企业并购的效应问题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（二）并购资金来源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1.并购资金的构成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2.并购资金的来源渠道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（三）目标企业估值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1.收益法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2.成本法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3.市场法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（四）并购支付方式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1.现金支付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2.换股合并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3.混合并购支付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（五）税务安排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1.企业所得税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2.个人所得税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3.增值税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4.营业税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5.契税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6.印花税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7.土地增值税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（六）员工安置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（七）债权债务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（八）土地、房产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（九）国有企业并购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（十）外资并购和中资跨境并购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九、企业并购操作流程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（一）并购准备阶段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1.确立并购战略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2.组建并购团队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3.选择目标公司并尽职调查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（二）并购实施阶段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1.并购谈判及确定意向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2.签订并购合同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3.履行并购合同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（三）并购整合阶段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1.法律事务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2.财务控制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3.人力资源配置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4.企业文化融合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十、梅泰诺跨境收购BBHI案例分析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十一、监管机构并购审核要点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1.交易价格的公允性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2.标的资产评估方法与参数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3.评估机构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4.特别资产类型：股权价值、流动资产、开放性房地产、土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 xml:space="preserve">      地使用权投资性房地产、知识产权、采矿权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5.交易价格不以法定评估报告为依据的交易项目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6.盈利能力与预测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7.资产权属完整性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8.同业竞争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9.关联交易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10.持续经营能力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11.债权债务处理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12.股权转让与权益变动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13.过渡期间损益安排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14.收购资金来源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15.挽救上市公司财务困难的重组方案可行性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16.矿业权的信息披露与评估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17.审计机构与评估机构的独立性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18.其他关注事项</w:t>
      </w:r>
    </w:p>
    <w:p>
      <w:pPr>
        <w:widowControl/>
        <w:autoSpaceDE/>
        <w:autoSpaceDN/>
        <w:spacing w:line="328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十二、并购基金的设立与运作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1.交易结构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2.法律架构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3.盈利模式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4.投资主题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5.杠杆收购模式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6.专业团队建设</w:t>
      </w:r>
    </w:p>
    <w:p>
      <w:pPr>
        <w:widowControl/>
        <w:autoSpaceDE/>
        <w:autoSpaceDN/>
        <w:spacing w:line="360" w:lineRule="exact"/>
        <w:jc w:val="center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both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>附件：2</w:t>
      </w:r>
    </w:p>
    <w:p>
      <w:pPr>
        <w:widowControl/>
        <w:autoSpaceDE/>
        <w:autoSpaceDN/>
        <w:spacing w:line="400" w:lineRule="exact"/>
        <w:jc w:val="center"/>
        <w:rPr>
          <w:rStyle w:val="11"/>
          <w:rFonts w:hint="default" w:cs="黑体" w:asciiTheme="minorEastAsia" w:hAnsiTheme="minorEastAsia" w:eastAsiaTheme="minorEastAsia"/>
          <w:b w:val="0"/>
          <w:bCs w:val="0"/>
          <w:color w:val="000000"/>
          <w:sz w:val="28"/>
          <w:szCs w:val="28"/>
          <w:lang w:val="zh-CN"/>
        </w:rPr>
      </w:pPr>
      <w:r>
        <w:rPr>
          <w:rStyle w:val="11"/>
          <w:rFonts w:hint="eastAsia" w:cs="宋体" w:asciiTheme="minorEastAsia" w:hAnsiTheme="minorEastAsia" w:eastAsiaTheme="minorEastAsia"/>
          <w:color w:val="000000"/>
          <w:sz w:val="28"/>
          <w:szCs w:val="28"/>
          <w:lang w:val="zh-CN"/>
        </w:rPr>
        <w:t>全面注册制时代背景下资本（股权）运作模式与操作实务培训班</w:t>
      </w:r>
      <w:r>
        <w:rPr>
          <w:rStyle w:val="11"/>
          <w:rFonts w:cs="黑体" w:asciiTheme="minorEastAsia" w:hAnsiTheme="minorEastAsia" w:eastAsiaTheme="minorEastAsia"/>
          <w:bCs w:val="0"/>
          <w:color w:val="000000"/>
          <w:sz w:val="28"/>
          <w:szCs w:val="28"/>
          <w:lang w:val="zh-CN"/>
        </w:rPr>
        <w:t>回执表</w:t>
      </w:r>
    </w:p>
    <w:tbl>
      <w:tblPr>
        <w:tblStyle w:val="9"/>
        <w:tblpPr w:leftFromText="180" w:rightFromText="180" w:vertAnchor="page" w:horzAnchor="page" w:tblpX="1428" w:tblpY="223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49"/>
        <w:gridCol w:w="1282"/>
        <w:gridCol w:w="1984"/>
        <w:gridCol w:w="157"/>
        <w:gridCol w:w="893"/>
        <w:gridCol w:w="103"/>
        <w:gridCol w:w="541"/>
        <w:gridCol w:w="291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单位名称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邮编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单位地址</w:t>
            </w:r>
          </w:p>
        </w:tc>
        <w:tc>
          <w:tcPr>
            <w:tcW w:w="7342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联系人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部门职务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办公电话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手    机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传   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电子信箱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参加培训人员</w:t>
            </w: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电话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手机</w:t>
            </w: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bCs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Cs w:val="22"/>
              </w:rPr>
              <w:t>是否住宿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□是     □否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 w:firstLine="240" w:firstLineChars="10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住宿标准</w:t>
            </w:r>
          </w:p>
        </w:tc>
        <w:tc>
          <w:tcPr>
            <w:tcW w:w="3227" w:type="dxa"/>
            <w:gridSpan w:val="6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 w:firstLine="120" w:firstLineChars="5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□单住(需另补床位费)</w:t>
            </w:r>
          </w:p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 xml:space="preserve">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bCs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Cs w:val="22"/>
              </w:rPr>
              <w:t>参会地点</w:t>
            </w:r>
          </w:p>
        </w:tc>
        <w:tc>
          <w:tcPr>
            <w:tcW w:w="7342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240" w:firstLineChars="100"/>
              <w:rPr>
                <w:rFonts w:hint="eastAsia" w:ascii="宋体" w:hAnsi="宋体" w:eastAsia="宋体" w:cs="宋体"/>
                <w:color w:val="FF000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55" w:type="dxa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bCs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Cs w:val="22"/>
              </w:rPr>
              <w:t>付款方式</w:t>
            </w:r>
          </w:p>
        </w:tc>
        <w:tc>
          <w:tcPr>
            <w:tcW w:w="4272" w:type="dxa"/>
            <w:gridSpan w:val="4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 xml:space="preserve">□银行     □网银 </w:t>
            </w:r>
          </w:p>
        </w:tc>
        <w:tc>
          <w:tcPr>
            <w:tcW w:w="996" w:type="dxa"/>
            <w:gridSpan w:val="2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金额</w:t>
            </w:r>
          </w:p>
        </w:tc>
        <w:tc>
          <w:tcPr>
            <w:tcW w:w="2074" w:type="dxa"/>
            <w:gridSpan w:val="3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55" w:type="dxa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bCs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Cs w:val="22"/>
              </w:rPr>
              <w:t>需要与专家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bCs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Cs w:val="22"/>
              </w:rPr>
              <w:t>沟通的问题</w:t>
            </w:r>
          </w:p>
        </w:tc>
        <w:tc>
          <w:tcPr>
            <w:tcW w:w="7342" w:type="dxa"/>
            <w:gridSpan w:val="9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Cs w:val="22"/>
              </w:rPr>
              <w:t>收款账户</w:t>
            </w:r>
          </w:p>
        </w:tc>
        <w:tc>
          <w:tcPr>
            <w:tcW w:w="7342" w:type="dxa"/>
            <w:gridSpan w:val="9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lang w:val="zh-CN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 xml:space="preserve">单位名称： 北京中建科信管理咨询集团有限公司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lang w:val="zh-CN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 xml:space="preserve">开 户 行： 中国工商银行股份有限公司北京半壁店支行 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备注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请将《报名回执表》回传至会务组，并在报名3日内办理培训费，会务组确认到款后即发《参会凭证》，详细说明培训安排具体事项。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600" w:firstLineChars="25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单位印章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 w:firstLine="240" w:firstLineChars="100"/>
              <w:jc w:val="both"/>
              <w:rPr>
                <w:rFonts w:hint="eastAsia" w:ascii="宋体" w:hAnsi="宋体" w:eastAsia="宋体" w:cs="宋体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Cs w:val="22"/>
              </w:rPr>
              <w:t>2021年  月  日</w:t>
            </w:r>
          </w:p>
        </w:tc>
      </w:tr>
    </w:tbl>
    <w:p>
      <w:pPr>
        <w:autoSpaceDE/>
        <w:autoSpaceDN/>
        <w:adjustRightInd/>
        <w:spacing w:line="360" w:lineRule="exact"/>
        <w:ind w:right="-168" w:rightChars="-7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报名负责人：聂红军 主任18211071700（微信）   </w:t>
      </w:r>
    </w:p>
    <w:p>
      <w:pPr>
        <w:autoSpaceDE/>
        <w:autoSpaceDN/>
        <w:adjustRightInd/>
        <w:spacing w:line="360" w:lineRule="exact"/>
        <w:ind w:right="-168" w:rightChars="-7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电  话：010-87697580      邮    箱：zqgphwz@126.com  </w:t>
      </w:r>
    </w:p>
    <w:p>
      <w:pPr>
        <w:autoSpaceDE/>
        <w:autoSpaceDN/>
        <w:adjustRightInd/>
        <w:spacing w:line="360" w:lineRule="exact"/>
        <w:ind w:right="-168" w:rightChars="-7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qq咨询：3177524020        网址查询：http://www.zqgpchina.cn/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18"/>
    <w:rsid w:val="00003D36"/>
    <w:rsid w:val="000111BB"/>
    <w:rsid w:val="00035C2D"/>
    <w:rsid w:val="00067BD4"/>
    <w:rsid w:val="0008349A"/>
    <w:rsid w:val="0009632B"/>
    <w:rsid w:val="000B5CF0"/>
    <w:rsid w:val="000E468A"/>
    <w:rsid w:val="000E7425"/>
    <w:rsid w:val="000F0735"/>
    <w:rsid w:val="001320AD"/>
    <w:rsid w:val="001771FB"/>
    <w:rsid w:val="001B15FC"/>
    <w:rsid w:val="001D5820"/>
    <w:rsid w:val="001F266D"/>
    <w:rsid w:val="001F2CC6"/>
    <w:rsid w:val="001F5DBA"/>
    <w:rsid w:val="002016D4"/>
    <w:rsid w:val="002326A9"/>
    <w:rsid w:val="00262218"/>
    <w:rsid w:val="002719D0"/>
    <w:rsid w:val="002733FA"/>
    <w:rsid w:val="0028435F"/>
    <w:rsid w:val="002A5354"/>
    <w:rsid w:val="002D7C2D"/>
    <w:rsid w:val="002E1FC2"/>
    <w:rsid w:val="002F038A"/>
    <w:rsid w:val="00303B6C"/>
    <w:rsid w:val="00333EB8"/>
    <w:rsid w:val="00356ACE"/>
    <w:rsid w:val="00360AC6"/>
    <w:rsid w:val="0036362D"/>
    <w:rsid w:val="00366D1D"/>
    <w:rsid w:val="003A7F2C"/>
    <w:rsid w:val="003D3698"/>
    <w:rsid w:val="003D4368"/>
    <w:rsid w:val="003F303D"/>
    <w:rsid w:val="003F712A"/>
    <w:rsid w:val="004127EC"/>
    <w:rsid w:val="0042016E"/>
    <w:rsid w:val="004210AE"/>
    <w:rsid w:val="0042243A"/>
    <w:rsid w:val="00431B61"/>
    <w:rsid w:val="00444929"/>
    <w:rsid w:val="00490AAB"/>
    <w:rsid w:val="004B699A"/>
    <w:rsid w:val="004C24FF"/>
    <w:rsid w:val="004C2C6B"/>
    <w:rsid w:val="00503EE1"/>
    <w:rsid w:val="00510FDD"/>
    <w:rsid w:val="005258A8"/>
    <w:rsid w:val="0058651B"/>
    <w:rsid w:val="005D5CAC"/>
    <w:rsid w:val="005F7916"/>
    <w:rsid w:val="006011E8"/>
    <w:rsid w:val="00601C30"/>
    <w:rsid w:val="00605B40"/>
    <w:rsid w:val="00616606"/>
    <w:rsid w:val="006257C9"/>
    <w:rsid w:val="00657822"/>
    <w:rsid w:val="00663868"/>
    <w:rsid w:val="006654B6"/>
    <w:rsid w:val="00670351"/>
    <w:rsid w:val="006A0B02"/>
    <w:rsid w:val="006E23D4"/>
    <w:rsid w:val="006F117C"/>
    <w:rsid w:val="006F58F0"/>
    <w:rsid w:val="00724E89"/>
    <w:rsid w:val="007278B4"/>
    <w:rsid w:val="007474B9"/>
    <w:rsid w:val="00760628"/>
    <w:rsid w:val="00762723"/>
    <w:rsid w:val="0078469F"/>
    <w:rsid w:val="00786656"/>
    <w:rsid w:val="007A06B7"/>
    <w:rsid w:val="007A57DF"/>
    <w:rsid w:val="007B7767"/>
    <w:rsid w:val="007C13F0"/>
    <w:rsid w:val="007F5FC8"/>
    <w:rsid w:val="00832BCD"/>
    <w:rsid w:val="00836D30"/>
    <w:rsid w:val="00860964"/>
    <w:rsid w:val="00881445"/>
    <w:rsid w:val="00882120"/>
    <w:rsid w:val="00896F6F"/>
    <w:rsid w:val="008A7876"/>
    <w:rsid w:val="008B199B"/>
    <w:rsid w:val="008E378E"/>
    <w:rsid w:val="008E633F"/>
    <w:rsid w:val="008E79C6"/>
    <w:rsid w:val="008F080D"/>
    <w:rsid w:val="008F7359"/>
    <w:rsid w:val="009176A2"/>
    <w:rsid w:val="00920D6E"/>
    <w:rsid w:val="00925ADE"/>
    <w:rsid w:val="00925DAA"/>
    <w:rsid w:val="009308F0"/>
    <w:rsid w:val="00930C9B"/>
    <w:rsid w:val="009472B7"/>
    <w:rsid w:val="00957A5B"/>
    <w:rsid w:val="00981D3A"/>
    <w:rsid w:val="009A4718"/>
    <w:rsid w:val="009B0A49"/>
    <w:rsid w:val="009E4A95"/>
    <w:rsid w:val="00A17C72"/>
    <w:rsid w:val="00A21947"/>
    <w:rsid w:val="00A35324"/>
    <w:rsid w:val="00A55121"/>
    <w:rsid w:val="00A6651E"/>
    <w:rsid w:val="00A76A48"/>
    <w:rsid w:val="00AB4C35"/>
    <w:rsid w:val="00AF6597"/>
    <w:rsid w:val="00B037C7"/>
    <w:rsid w:val="00B23077"/>
    <w:rsid w:val="00B40C04"/>
    <w:rsid w:val="00B475EE"/>
    <w:rsid w:val="00B865F7"/>
    <w:rsid w:val="00B87A6C"/>
    <w:rsid w:val="00B953A2"/>
    <w:rsid w:val="00BC37A5"/>
    <w:rsid w:val="00BE0FB0"/>
    <w:rsid w:val="00BE2084"/>
    <w:rsid w:val="00BF3F21"/>
    <w:rsid w:val="00C10B2E"/>
    <w:rsid w:val="00C44BC1"/>
    <w:rsid w:val="00C4625B"/>
    <w:rsid w:val="00C5747F"/>
    <w:rsid w:val="00C61020"/>
    <w:rsid w:val="00C7524A"/>
    <w:rsid w:val="00C96EFB"/>
    <w:rsid w:val="00CE67E2"/>
    <w:rsid w:val="00CF1181"/>
    <w:rsid w:val="00D4239D"/>
    <w:rsid w:val="00D47982"/>
    <w:rsid w:val="00D52AF1"/>
    <w:rsid w:val="00D60856"/>
    <w:rsid w:val="00D74547"/>
    <w:rsid w:val="00DA154B"/>
    <w:rsid w:val="00DB62D4"/>
    <w:rsid w:val="00DC5B74"/>
    <w:rsid w:val="00DF1C3F"/>
    <w:rsid w:val="00E23AA1"/>
    <w:rsid w:val="00E24129"/>
    <w:rsid w:val="00E364AD"/>
    <w:rsid w:val="00E40FB3"/>
    <w:rsid w:val="00E43076"/>
    <w:rsid w:val="00E51A5B"/>
    <w:rsid w:val="00E54A37"/>
    <w:rsid w:val="00E73D9A"/>
    <w:rsid w:val="00EB3F9D"/>
    <w:rsid w:val="00EC2070"/>
    <w:rsid w:val="00F07C0D"/>
    <w:rsid w:val="00F124D2"/>
    <w:rsid w:val="00F2027E"/>
    <w:rsid w:val="00F25144"/>
    <w:rsid w:val="00F31608"/>
    <w:rsid w:val="00F52CD5"/>
    <w:rsid w:val="00F552BF"/>
    <w:rsid w:val="00F620C6"/>
    <w:rsid w:val="00F75886"/>
    <w:rsid w:val="00F81314"/>
    <w:rsid w:val="00F847DA"/>
    <w:rsid w:val="00FA5D57"/>
    <w:rsid w:val="00FD3E8B"/>
    <w:rsid w:val="00FD7D45"/>
    <w:rsid w:val="0115065C"/>
    <w:rsid w:val="01873FBC"/>
    <w:rsid w:val="01DF42FA"/>
    <w:rsid w:val="01F72719"/>
    <w:rsid w:val="024758F8"/>
    <w:rsid w:val="02801BA8"/>
    <w:rsid w:val="02B35ADF"/>
    <w:rsid w:val="02B56ADF"/>
    <w:rsid w:val="02BA162B"/>
    <w:rsid w:val="02D84295"/>
    <w:rsid w:val="03085DF1"/>
    <w:rsid w:val="03BD2A1A"/>
    <w:rsid w:val="03BF1326"/>
    <w:rsid w:val="03C94FF1"/>
    <w:rsid w:val="04FA6554"/>
    <w:rsid w:val="051109DE"/>
    <w:rsid w:val="051F5851"/>
    <w:rsid w:val="055F0F75"/>
    <w:rsid w:val="058070E1"/>
    <w:rsid w:val="059A2F73"/>
    <w:rsid w:val="05C74530"/>
    <w:rsid w:val="063F355E"/>
    <w:rsid w:val="065D27E9"/>
    <w:rsid w:val="06A1358A"/>
    <w:rsid w:val="06A76AC5"/>
    <w:rsid w:val="06CB4A13"/>
    <w:rsid w:val="075D5DBA"/>
    <w:rsid w:val="07CD585F"/>
    <w:rsid w:val="07DD1D97"/>
    <w:rsid w:val="08112C52"/>
    <w:rsid w:val="081D7FA9"/>
    <w:rsid w:val="087A186B"/>
    <w:rsid w:val="08B577EC"/>
    <w:rsid w:val="09C94B96"/>
    <w:rsid w:val="09D006F9"/>
    <w:rsid w:val="0A8C5A1C"/>
    <w:rsid w:val="0AC45ADA"/>
    <w:rsid w:val="0AE00BC8"/>
    <w:rsid w:val="0AFE6436"/>
    <w:rsid w:val="0B026759"/>
    <w:rsid w:val="0B1556CE"/>
    <w:rsid w:val="0BB460D0"/>
    <w:rsid w:val="0BBE04DD"/>
    <w:rsid w:val="0BD31815"/>
    <w:rsid w:val="0BDA2784"/>
    <w:rsid w:val="0C275820"/>
    <w:rsid w:val="0C425833"/>
    <w:rsid w:val="0C5D744F"/>
    <w:rsid w:val="0C757B9B"/>
    <w:rsid w:val="0C91247E"/>
    <w:rsid w:val="0CC94096"/>
    <w:rsid w:val="0CCE18F2"/>
    <w:rsid w:val="0D1F2BD1"/>
    <w:rsid w:val="0D6E4AEE"/>
    <w:rsid w:val="0DA135C5"/>
    <w:rsid w:val="0DC7149B"/>
    <w:rsid w:val="0E680926"/>
    <w:rsid w:val="0E6A7443"/>
    <w:rsid w:val="0ED45BB5"/>
    <w:rsid w:val="0EFD0426"/>
    <w:rsid w:val="0F055BA7"/>
    <w:rsid w:val="0F0A04CA"/>
    <w:rsid w:val="0F816F20"/>
    <w:rsid w:val="0F93135C"/>
    <w:rsid w:val="0FDA6C03"/>
    <w:rsid w:val="1006617B"/>
    <w:rsid w:val="1027732E"/>
    <w:rsid w:val="10332D4E"/>
    <w:rsid w:val="103F63AE"/>
    <w:rsid w:val="108965B9"/>
    <w:rsid w:val="10AB3592"/>
    <w:rsid w:val="10AD08D4"/>
    <w:rsid w:val="10F168F3"/>
    <w:rsid w:val="11016B06"/>
    <w:rsid w:val="115B6351"/>
    <w:rsid w:val="115E0DC8"/>
    <w:rsid w:val="11963A6B"/>
    <w:rsid w:val="11AB1900"/>
    <w:rsid w:val="12116CF5"/>
    <w:rsid w:val="122A2105"/>
    <w:rsid w:val="12517853"/>
    <w:rsid w:val="125B567F"/>
    <w:rsid w:val="125C71B0"/>
    <w:rsid w:val="12985556"/>
    <w:rsid w:val="12B205DB"/>
    <w:rsid w:val="12F6068C"/>
    <w:rsid w:val="13E15D4F"/>
    <w:rsid w:val="14246519"/>
    <w:rsid w:val="14813515"/>
    <w:rsid w:val="14BC548B"/>
    <w:rsid w:val="154711A8"/>
    <w:rsid w:val="155C0CB5"/>
    <w:rsid w:val="15603A65"/>
    <w:rsid w:val="158B3A6D"/>
    <w:rsid w:val="15AB2D48"/>
    <w:rsid w:val="15C477F8"/>
    <w:rsid w:val="16032D20"/>
    <w:rsid w:val="160908F9"/>
    <w:rsid w:val="16624CCA"/>
    <w:rsid w:val="16700151"/>
    <w:rsid w:val="16816EC6"/>
    <w:rsid w:val="16D42978"/>
    <w:rsid w:val="16DB376C"/>
    <w:rsid w:val="16EA222E"/>
    <w:rsid w:val="1714344D"/>
    <w:rsid w:val="17321816"/>
    <w:rsid w:val="178E353B"/>
    <w:rsid w:val="17934E22"/>
    <w:rsid w:val="179A1350"/>
    <w:rsid w:val="17E562F3"/>
    <w:rsid w:val="18180676"/>
    <w:rsid w:val="18372402"/>
    <w:rsid w:val="18405EDA"/>
    <w:rsid w:val="189509C3"/>
    <w:rsid w:val="18A07CEA"/>
    <w:rsid w:val="18B12A98"/>
    <w:rsid w:val="18B251F6"/>
    <w:rsid w:val="19A44506"/>
    <w:rsid w:val="19D577EF"/>
    <w:rsid w:val="19DB6AAB"/>
    <w:rsid w:val="1BDE25DA"/>
    <w:rsid w:val="1C303806"/>
    <w:rsid w:val="1C4117B3"/>
    <w:rsid w:val="1C526433"/>
    <w:rsid w:val="1C641BFC"/>
    <w:rsid w:val="1C886101"/>
    <w:rsid w:val="1CCA686E"/>
    <w:rsid w:val="1CD149A3"/>
    <w:rsid w:val="1CE84432"/>
    <w:rsid w:val="1D0E3A53"/>
    <w:rsid w:val="1D305B94"/>
    <w:rsid w:val="1D757C34"/>
    <w:rsid w:val="1D8E4419"/>
    <w:rsid w:val="1D99163C"/>
    <w:rsid w:val="1D9E14A3"/>
    <w:rsid w:val="1DAC0DCE"/>
    <w:rsid w:val="1DE91CFE"/>
    <w:rsid w:val="1DF56E00"/>
    <w:rsid w:val="1E206933"/>
    <w:rsid w:val="1ECA3C7A"/>
    <w:rsid w:val="1F481CF3"/>
    <w:rsid w:val="1FEB0FE4"/>
    <w:rsid w:val="20306DD5"/>
    <w:rsid w:val="20453B95"/>
    <w:rsid w:val="20BA1790"/>
    <w:rsid w:val="20C851AF"/>
    <w:rsid w:val="20E53D47"/>
    <w:rsid w:val="20EE694F"/>
    <w:rsid w:val="20FA3563"/>
    <w:rsid w:val="212F12C6"/>
    <w:rsid w:val="216529A6"/>
    <w:rsid w:val="21673AAE"/>
    <w:rsid w:val="21757A3E"/>
    <w:rsid w:val="218528ED"/>
    <w:rsid w:val="21F056D4"/>
    <w:rsid w:val="22072402"/>
    <w:rsid w:val="22467BA5"/>
    <w:rsid w:val="229A35F2"/>
    <w:rsid w:val="22BC1795"/>
    <w:rsid w:val="22EE20E6"/>
    <w:rsid w:val="23605671"/>
    <w:rsid w:val="23B53106"/>
    <w:rsid w:val="23D26740"/>
    <w:rsid w:val="241B4AD6"/>
    <w:rsid w:val="2488321E"/>
    <w:rsid w:val="24C15DA9"/>
    <w:rsid w:val="25123D82"/>
    <w:rsid w:val="255B3710"/>
    <w:rsid w:val="25A2303B"/>
    <w:rsid w:val="25B714ED"/>
    <w:rsid w:val="25C16AB4"/>
    <w:rsid w:val="25DB10BE"/>
    <w:rsid w:val="262354A3"/>
    <w:rsid w:val="26877902"/>
    <w:rsid w:val="26A07DE6"/>
    <w:rsid w:val="26BB0569"/>
    <w:rsid w:val="27375592"/>
    <w:rsid w:val="273F2835"/>
    <w:rsid w:val="27641A88"/>
    <w:rsid w:val="27904F0D"/>
    <w:rsid w:val="27F45FB8"/>
    <w:rsid w:val="288E3409"/>
    <w:rsid w:val="28AE2808"/>
    <w:rsid w:val="28B91DEB"/>
    <w:rsid w:val="28FA5525"/>
    <w:rsid w:val="29003A89"/>
    <w:rsid w:val="295418D4"/>
    <w:rsid w:val="29765048"/>
    <w:rsid w:val="29A967FC"/>
    <w:rsid w:val="29CB5978"/>
    <w:rsid w:val="2A227A98"/>
    <w:rsid w:val="2A2C1423"/>
    <w:rsid w:val="2A753D5F"/>
    <w:rsid w:val="2A8A418C"/>
    <w:rsid w:val="2AA30AB8"/>
    <w:rsid w:val="2ADE4A98"/>
    <w:rsid w:val="2B2D4EA7"/>
    <w:rsid w:val="2B350720"/>
    <w:rsid w:val="2B3751D7"/>
    <w:rsid w:val="2B57547D"/>
    <w:rsid w:val="2BC41804"/>
    <w:rsid w:val="2C136267"/>
    <w:rsid w:val="2C4864B9"/>
    <w:rsid w:val="2C5D22DE"/>
    <w:rsid w:val="2CA13E74"/>
    <w:rsid w:val="2CA40883"/>
    <w:rsid w:val="2CE42AAF"/>
    <w:rsid w:val="2CF87E78"/>
    <w:rsid w:val="2D0E42D8"/>
    <w:rsid w:val="2D0F0E67"/>
    <w:rsid w:val="2D4D6506"/>
    <w:rsid w:val="2DD66FD8"/>
    <w:rsid w:val="2E6A6977"/>
    <w:rsid w:val="2E9040A3"/>
    <w:rsid w:val="2F3805D3"/>
    <w:rsid w:val="2F605193"/>
    <w:rsid w:val="2FB61850"/>
    <w:rsid w:val="2FDA21C9"/>
    <w:rsid w:val="2FF3794E"/>
    <w:rsid w:val="301227BA"/>
    <w:rsid w:val="30B515C7"/>
    <w:rsid w:val="30B6182D"/>
    <w:rsid w:val="30BF02BC"/>
    <w:rsid w:val="30C82A63"/>
    <w:rsid w:val="318E7FC4"/>
    <w:rsid w:val="320E3755"/>
    <w:rsid w:val="3222344D"/>
    <w:rsid w:val="322A52F0"/>
    <w:rsid w:val="324D4047"/>
    <w:rsid w:val="326F69DE"/>
    <w:rsid w:val="33DD0BD9"/>
    <w:rsid w:val="33F643A0"/>
    <w:rsid w:val="344B53DB"/>
    <w:rsid w:val="34672D65"/>
    <w:rsid w:val="349C765D"/>
    <w:rsid w:val="34E178CF"/>
    <w:rsid w:val="34EF28C5"/>
    <w:rsid w:val="35045D6D"/>
    <w:rsid w:val="35416C6E"/>
    <w:rsid w:val="35C21D78"/>
    <w:rsid w:val="35C9302D"/>
    <w:rsid w:val="35C968DF"/>
    <w:rsid w:val="35FC4FAB"/>
    <w:rsid w:val="36246E8A"/>
    <w:rsid w:val="36307FC9"/>
    <w:rsid w:val="363707F1"/>
    <w:rsid w:val="36505182"/>
    <w:rsid w:val="3661655B"/>
    <w:rsid w:val="36EC683A"/>
    <w:rsid w:val="3782390E"/>
    <w:rsid w:val="37C24B91"/>
    <w:rsid w:val="380579CA"/>
    <w:rsid w:val="38250678"/>
    <w:rsid w:val="38723749"/>
    <w:rsid w:val="38B06C76"/>
    <w:rsid w:val="38B761EC"/>
    <w:rsid w:val="38D01090"/>
    <w:rsid w:val="39364DEF"/>
    <w:rsid w:val="39B96CC3"/>
    <w:rsid w:val="39F239E4"/>
    <w:rsid w:val="3A86626A"/>
    <w:rsid w:val="3AA74822"/>
    <w:rsid w:val="3B346A17"/>
    <w:rsid w:val="3B6B0985"/>
    <w:rsid w:val="3BC94FF7"/>
    <w:rsid w:val="3C0744A0"/>
    <w:rsid w:val="3C68433C"/>
    <w:rsid w:val="3C9830FC"/>
    <w:rsid w:val="3CA27D79"/>
    <w:rsid w:val="3CC3605F"/>
    <w:rsid w:val="3CD86F8E"/>
    <w:rsid w:val="3D1A786A"/>
    <w:rsid w:val="3D6F02C3"/>
    <w:rsid w:val="3D9E2EE1"/>
    <w:rsid w:val="3DA065E7"/>
    <w:rsid w:val="3DA57D94"/>
    <w:rsid w:val="3E2F7603"/>
    <w:rsid w:val="3E795CF0"/>
    <w:rsid w:val="3EA465AA"/>
    <w:rsid w:val="3FD548D0"/>
    <w:rsid w:val="3FED60F5"/>
    <w:rsid w:val="40AC2E0A"/>
    <w:rsid w:val="40AD79D4"/>
    <w:rsid w:val="411F03FD"/>
    <w:rsid w:val="41666A14"/>
    <w:rsid w:val="41D26947"/>
    <w:rsid w:val="42140462"/>
    <w:rsid w:val="42172F30"/>
    <w:rsid w:val="42177C01"/>
    <w:rsid w:val="422D6A78"/>
    <w:rsid w:val="430223AE"/>
    <w:rsid w:val="437F3ADB"/>
    <w:rsid w:val="438A0138"/>
    <w:rsid w:val="442E1B0B"/>
    <w:rsid w:val="44356914"/>
    <w:rsid w:val="44CA4883"/>
    <w:rsid w:val="45041B70"/>
    <w:rsid w:val="451E0702"/>
    <w:rsid w:val="456A16AD"/>
    <w:rsid w:val="45745EFE"/>
    <w:rsid w:val="45BC102D"/>
    <w:rsid w:val="45C6386C"/>
    <w:rsid w:val="45DC4AB6"/>
    <w:rsid w:val="45E74334"/>
    <w:rsid w:val="460B7276"/>
    <w:rsid w:val="468E45FA"/>
    <w:rsid w:val="46CF32C5"/>
    <w:rsid w:val="46D766DA"/>
    <w:rsid w:val="46EA45F6"/>
    <w:rsid w:val="46F5361F"/>
    <w:rsid w:val="47AE7D34"/>
    <w:rsid w:val="48157DDD"/>
    <w:rsid w:val="4821332C"/>
    <w:rsid w:val="48277CF4"/>
    <w:rsid w:val="48A82B51"/>
    <w:rsid w:val="48B73536"/>
    <w:rsid w:val="48C96181"/>
    <w:rsid w:val="492469AC"/>
    <w:rsid w:val="493725D7"/>
    <w:rsid w:val="49481EDB"/>
    <w:rsid w:val="497A3452"/>
    <w:rsid w:val="49866167"/>
    <w:rsid w:val="499E6041"/>
    <w:rsid w:val="4A110DBF"/>
    <w:rsid w:val="4A6452CB"/>
    <w:rsid w:val="4A734ABE"/>
    <w:rsid w:val="4A9D0A10"/>
    <w:rsid w:val="4B0A0426"/>
    <w:rsid w:val="4BF90E00"/>
    <w:rsid w:val="4C1E23D7"/>
    <w:rsid w:val="4C4946D3"/>
    <w:rsid w:val="4C7701B1"/>
    <w:rsid w:val="4CE0240E"/>
    <w:rsid w:val="4D0E7FB6"/>
    <w:rsid w:val="4D764158"/>
    <w:rsid w:val="4DA33D1A"/>
    <w:rsid w:val="4DB65331"/>
    <w:rsid w:val="4DDD58CC"/>
    <w:rsid w:val="4DEC12CD"/>
    <w:rsid w:val="4E025B04"/>
    <w:rsid w:val="4E870B39"/>
    <w:rsid w:val="4F2310A3"/>
    <w:rsid w:val="4F292DDA"/>
    <w:rsid w:val="4F3867AD"/>
    <w:rsid w:val="4F6439C3"/>
    <w:rsid w:val="4FDB312C"/>
    <w:rsid w:val="4FF710CB"/>
    <w:rsid w:val="50543991"/>
    <w:rsid w:val="505A007D"/>
    <w:rsid w:val="505E5D0C"/>
    <w:rsid w:val="50736840"/>
    <w:rsid w:val="507738B4"/>
    <w:rsid w:val="507D26F0"/>
    <w:rsid w:val="50A01A83"/>
    <w:rsid w:val="50D14F02"/>
    <w:rsid w:val="510B1C36"/>
    <w:rsid w:val="514E01B9"/>
    <w:rsid w:val="516375CA"/>
    <w:rsid w:val="51CF30EE"/>
    <w:rsid w:val="522F21E1"/>
    <w:rsid w:val="52783A29"/>
    <w:rsid w:val="528336ED"/>
    <w:rsid w:val="52C523D7"/>
    <w:rsid w:val="53387A90"/>
    <w:rsid w:val="53646369"/>
    <w:rsid w:val="537C7F93"/>
    <w:rsid w:val="53C87612"/>
    <w:rsid w:val="53D12AB3"/>
    <w:rsid w:val="53DC6599"/>
    <w:rsid w:val="540F1AAF"/>
    <w:rsid w:val="544F0AA9"/>
    <w:rsid w:val="54577AE9"/>
    <w:rsid w:val="54CD58F7"/>
    <w:rsid w:val="54DC36A3"/>
    <w:rsid w:val="55822B8C"/>
    <w:rsid w:val="55921102"/>
    <w:rsid w:val="55C12295"/>
    <w:rsid w:val="5685733F"/>
    <w:rsid w:val="56A30D86"/>
    <w:rsid w:val="57385DC9"/>
    <w:rsid w:val="574771F4"/>
    <w:rsid w:val="5754222A"/>
    <w:rsid w:val="57764AFC"/>
    <w:rsid w:val="579D0C3A"/>
    <w:rsid w:val="57F227C1"/>
    <w:rsid w:val="58010DBF"/>
    <w:rsid w:val="584E7013"/>
    <w:rsid w:val="5930687A"/>
    <w:rsid w:val="59B51E3B"/>
    <w:rsid w:val="59D55AC8"/>
    <w:rsid w:val="59EB787F"/>
    <w:rsid w:val="59F12436"/>
    <w:rsid w:val="5A5B2520"/>
    <w:rsid w:val="5A7A0F24"/>
    <w:rsid w:val="5A9F29EB"/>
    <w:rsid w:val="5AA74620"/>
    <w:rsid w:val="5AEA0132"/>
    <w:rsid w:val="5B082961"/>
    <w:rsid w:val="5B0A0F3F"/>
    <w:rsid w:val="5B560229"/>
    <w:rsid w:val="5B80366A"/>
    <w:rsid w:val="5B895E39"/>
    <w:rsid w:val="5B964E0A"/>
    <w:rsid w:val="5B9762EB"/>
    <w:rsid w:val="5BCA0480"/>
    <w:rsid w:val="5BEC52F1"/>
    <w:rsid w:val="5C122881"/>
    <w:rsid w:val="5C1C7827"/>
    <w:rsid w:val="5C851165"/>
    <w:rsid w:val="5C974BDA"/>
    <w:rsid w:val="5C9C727F"/>
    <w:rsid w:val="5CAD6DB2"/>
    <w:rsid w:val="5CD91E7E"/>
    <w:rsid w:val="5CF5417B"/>
    <w:rsid w:val="5D125496"/>
    <w:rsid w:val="5D142E3A"/>
    <w:rsid w:val="5D191648"/>
    <w:rsid w:val="5D8426B2"/>
    <w:rsid w:val="5DBC4F9A"/>
    <w:rsid w:val="5E08413C"/>
    <w:rsid w:val="5E5E476B"/>
    <w:rsid w:val="5E602FE0"/>
    <w:rsid w:val="5E7D081B"/>
    <w:rsid w:val="5E834FCF"/>
    <w:rsid w:val="5F112445"/>
    <w:rsid w:val="5F9F436E"/>
    <w:rsid w:val="5FA21376"/>
    <w:rsid w:val="5FA27331"/>
    <w:rsid w:val="5FD513B4"/>
    <w:rsid w:val="602E7496"/>
    <w:rsid w:val="610C3195"/>
    <w:rsid w:val="61255307"/>
    <w:rsid w:val="6137158E"/>
    <w:rsid w:val="61D24557"/>
    <w:rsid w:val="61D74FCE"/>
    <w:rsid w:val="61D75265"/>
    <w:rsid w:val="62066162"/>
    <w:rsid w:val="62070461"/>
    <w:rsid w:val="62244D2D"/>
    <w:rsid w:val="62312FF8"/>
    <w:rsid w:val="62412564"/>
    <w:rsid w:val="626C6061"/>
    <w:rsid w:val="62803516"/>
    <w:rsid w:val="62CE2F94"/>
    <w:rsid w:val="62E7075E"/>
    <w:rsid w:val="63034AA9"/>
    <w:rsid w:val="63052B47"/>
    <w:rsid w:val="6332194F"/>
    <w:rsid w:val="634464EB"/>
    <w:rsid w:val="636A4E74"/>
    <w:rsid w:val="6416365B"/>
    <w:rsid w:val="65281737"/>
    <w:rsid w:val="65635310"/>
    <w:rsid w:val="657C0323"/>
    <w:rsid w:val="659521A5"/>
    <w:rsid w:val="6607320A"/>
    <w:rsid w:val="660930D1"/>
    <w:rsid w:val="668750DD"/>
    <w:rsid w:val="66C35A60"/>
    <w:rsid w:val="67DD33BA"/>
    <w:rsid w:val="682517F2"/>
    <w:rsid w:val="683F6B42"/>
    <w:rsid w:val="68426149"/>
    <w:rsid w:val="6886739C"/>
    <w:rsid w:val="68E362D2"/>
    <w:rsid w:val="69115685"/>
    <w:rsid w:val="6977160B"/>
    <w:rsid w:val="69AB37A4"/>
    <w:rsid w:val="69C07F00"/>
    <w:rsid w:val="69D845A9"/>
    <w:rsid w:val="6A1F1DCE"/>
    <w:rsid w:val="6A24680B"/>
    <w:rsid w:val="6A34700B"/>
    <w:rsid w:val="6A35099F"/>
    <w:rsid w:val="6A881BC4"/>
    <w:rsid w:val="6AC2049E"/>
    <w:rsid w:val="6AF07AA0"/>
    <w:rsid w:val="6B0863B8"/>
    <w:rsid w:val="6B210905"/>
    <w:rsid w:val="6B4216B7"/>
    <w:rsid w:val="6B96098E"/>
    <w:rsid w:val="6B990934"/>
    <w:rsid w:val="6BC67A3E"/>
    <w:rsid w:val="6BD31665"/>
    <w:rsid w:val="6BDF4F70"/>
    <w:rsid w:val="6C0B28AC"/>
    <w:rsid w:val="6C6421C5"/>
    <w:rsid w:val="6D2828CF"/>
    <w:rsid w:val="6D892F8A"/>
    <w:rsid w:val="6DB067F8"/>
    <w:rsid w:val="6DCF3A40"/>
    <w:rsid w:val="6E493106"/>
    <w:rsid w:val="6EB47833"/>
    <w:rsid w:val="6ED645B3"/>
    <w:rsid w:val="6EE741E3"/>
    <w:rsid w:val="6F1116E2"/>
    <w:rsid w:val="6F246836"/>
    <w:rsid w:val="6F7955F4"/>
    <w:rsid w:val="6FA943CE"/>
    <w:rsid w:val="7025319F"/>
    <w:rsid w:val="70CA619E"/>
    <w:rsid w:val="70CE4924"/>
    <w:rsid w:val="70F50F31"/>
    <w:rsid w:val="7125489A"/>
    <w:rsid w:val="715058B1"/>
    <w:rsid w:val="71CC59C1"/>
    <w:rsid w:val="721B0BB0"/>
    <w:rsid w:val="72292A73"/>
    <w:rsid w:val="726D31EB"/>
    <w:rsid w:val="728A72A8"/>
    <w:rsid w:val="72B25FCE"/>
    <w:rsid w:val="72B9756C"/>
    <w:rsid w:val="72F80732"/>
    <w:rsid w:val="73044F1B"/>
    <w:rsid w:val="73111093"/>
    <w:rsid w:val="73B52DB2"/>
    <w:rsid w:val="73CF0918"/>
    <w:rsid w:val="747B36FA"/>
    <w:rsid w:val="74A87D66"/>
    <w:rsid w:val="74E66D34"/>
    <w:rsid w:val="74E90082"/>
    <w:rsid w:val="750637F0"/>
    <w:rsid w:val="75542E9D"/>
    <w:rsid w:val="75654176"/>
    <w:rsid w:val="75891023"/>
    <w:rsid w:val="759608A8"/>
    <w:rsid w:val="75DA7911"/>
    <w:rsid w:val="760E40B5"/>
    <w:rsid w:val="76697649"/>
    <w:rsid w:val="76A64F47"/>
    <w:rsid w:val="76D44FD5"/>
    <w:rsid w:val="77154656"/>
    <w:rsid w:val="77207870"/>
    <w:rsid w:val="77733156"/>
    <w:rsid w:val="7796460A"/>
    <w:rsid w:val="779967F0"/>
    <w:rsid w:val="77C86B5E"/>
    <w:rsid w:val="77EC56A9"/>
    <w:rsid w:val="77FC2216"/>
    <w:rsid w:val="785D1EBF"/>
    <w:rsid w:val="78607772"/>
    <w:rsid w:val="78F26179"/>
    <w:rsid w:val="790D2B37"/>
    <w:rsid w:val="79295367"/>
    <w:rsid w:val="794E4160"/>
    <w:rsid w:val="7952267D"/>
    <w:rsid w:val="797669EC"/>
    <w:rsid w:val="7A430373"/>
    <w:rsid w:val="7A4805B8"/>
    <w:rsid w:val="7A504395"/>
    <w:rsid w:val="7AD80BB2"/>
    <w:rsid w:val="7B1068AE"/>
    <w:rsid w:val="7BB42490"/>
    <w:rsid w:val="7BD400D4"/>
    <w:rsid w:val="7BD72B78"/>
    <w:rsid w:val="7BDE019B"/>
    <w:rsid w:val="7BF9401E"/>
    <w:rsid w:val="7C4A2CE0"/>
    <w:rsid w:val="7C4B1DF3"/>
    <w:rsid w:val="7C682145"/>
    <w:rsid w:val="7C8A2FFC"/>
    <w:rsid w:val="7CCD48A5"/>
    <w:rsid w:val="7CF53CB4"/>
    <w:rsid w:val="7DAC0D04"/>
    <w:rsid w:val="7E295A9B"/>
    <w:rsid w:val="7E324E80"/>
    <w:rsid w:val="7E8D289D"/>
    <w:rsid w:val="7ED47C49"/>
    <w:rsid w:val="7F301A67"/>
    <w:rsid w:val="7F880762"/>
    <w:rsid w:val="7FA70AF1"/>
    <w:rsid w:val="7FD7265C"/>
    <w:rsid w:val="7FF93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hint="default" w:cs="宋体"/>
      <w:szCs w:val="24"/>
    </w:rPr>
  </w:style>
  <w:style w:type="paragraph" w:styleId="8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widowControl/>
      <w:autoSpaceDE/>
      <w:autoSpaceDN/>
      <w:adjustRightInd/>
      <w:ind w:firstLine="420" w:firstLineChars="200"/>
    </w:pPr>
    <w:rPr>
      <w:rFonts w:hint="default" w:cs="宋体"/>
      <w:szCs w:val="24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宋体" w:hAnsi="宋体" w:eastAsia="宋体" w:cs="Times New Roman"/>
      <w:kern w:val="0"/>
      <w:sz w:val="24"/>
      <w:szCs w:val="20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8">
    <w:name w:val="标题 Char"/>
    <w:basedOn w:val="10"/>
    <w:link w:val="8"/>
    <w:qFormat/>
    <w:uiPriority w:val="1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E3454-9A71-4DCF-A045-526B7DF17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639</Words>
  <Characters>3648</Characters>
  <Lines>30</Lines>
  <Paragraphs>8</Paragraphs>
  <TotalTime>12</TotalTime>
  <ScaleCrop>false</ScaleCrop>
  <LinksUpToDate>false</LinksUpToDate>
  <CharactersWithSpaces>4279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2018-12-29T00:33:00Z</dcterms:created>
  <dc:creator>微软用户</dc:creator>
  <cp:lastModifiedBy>Administrator</cp:lastModifiedBy>
  <cp:lastPrinted>2021-02-07T07:13:00Z</cp:lastPrinted>
  <dcterms:modified xsi:type="dcterms:W3CDTF">2021-02-18T06:09:36Z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