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jc w:val="center"/>
        <w:rPr>
          <w:rFonts w:ascii="宋体" w:hAnsi="宋体"/>
          <w:b/>
          <w:color w:val="FF0000"/>
          <w:sz w:val="84"/>
          <w:szCs w:val="84"/>
        </w:rPr>
      </w:pPr>
      <w:r>
        <w:rPr>
          <w:rFonts w:hint="eastAsia" w:ascii="宋体" w:hAnsi="宋体"/>
          <w:b/>
          <w:color w:val="FF0000"/>
          <w:sz w:val="84"/>
          <w:szCs w:val="84"/>
        </w:rPr>
        <w:t>中国国际工程咨询协会</w:t>
      </w:r>
    </w:p>
    <w:p>
      <w:pPr>
        <w:adjustRightInd w:val="0"/>
        <w:snapToGrid w:val="0"/>
        <w:spacing w:line="300" w:lineRule="exact"/>
        <w:jc w:val="center"/>
        <w:rPr>
          <w:rFonts w:ascii="宋体" w:hAnsi="宋体"/>
          <w:color w:val="000000"/>
          <w:spacing w:val="-12"/>
          <w:sz w:val="28"/>
          <w:szCs w:val="28"/>
        </w:rPr>
      </w:pPr>
    </w:p>
    <w:p>
      <w:pPr>
        <w:adjustRightInd w:val="0"/>
        <w:snapToGrid w:val="0"/>
        <w:spacing w:line="300" w:lineRule="exact"/>
        <w:jc w:val="center"/>
        <w:rPr>
          <w:rFonts w:ascii="宋体" w:hAnsi="宋体"/>
          <w:color w:val="000000"/>
          <w:spacing w:val="-12"/>
          <w:sz w:val="28"/>
          <w:szCs w:val="28"/>
        </w:rPr>
      </w:pPr>
      <w:r>
        <w:rPr>
          <w:rFonts w:hint="eastAsia" w:ascii="宋体" w:hAnsi="宋体"/>
          <w:color w:val="000000"/>
          <w:spacing w:val="-12"/>
          <w:sz w:val="28"/>
          <w:szCs w:val="28"/>
        </w:rPr>
        <w:t xml:space="preserve">  商咨协字[2021]  </w:t>
      </w:r>
      <w:r>
        <w:rPr>
          <w:rFonts w:hint="eastAsia" w:ascii="宋体" w:hAnsi="宋体"/>
          <w:color w:val="000000"/>
          <w:spacing w:val="-12"/>
          <w:sz w:val="28"/>
          <w:szCs w:val="28"/>
          <w:lang w:val="en-US" w:eastAsia="zh-CN"/>
        </w:rPr>
        <w:t>03</w:t>
      </w:r>
      <w:r>
        <w:rPr>
          <w:rFonts w:hint="eastAsia" w:ascii="宋体" w:hAnsi="宋体"/>
          <w:color w:val="000000"/>
          <w:spacing w:val="-12"/>
          <w:sz w:val="28"/>
          <w:szCs w:val="28"/>
        </w:rPr>
        <w:t xml:space="preserve"> 号</w:t>
      </w:r>
    </w:p>
    <w:p>
      <w:pPr>
        <w:spacing w:line="440" w:lineRule="exact"/>
        <w:jc w:val="center"/>
        <w:rPr>
          <w:rFonts w:ascii="宋体" w:hAnsi="宋体"/>
          <w:color w:val="000000"/>
          <w:kern w:val="0"/>
          <w:sz w:val="32"/>
          <w:szCs w:val="32"/>
        </w:rPr>
      </w:pPr>
      <w:r>
        <w:rPr>
          <w:rFonts w:ascii="宋体" w:hAnsi="宋体"/>
          <w:b/>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57785</wp:posOffset>
                </wp:positionV>
                <wp:extent cx="6164580" cy="2540"/>
                <wp:effectExtent l="0" t="13970" r="7620" b="2159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6458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0.5pt;margin-top:4.55pt;height:0.2pt;width:485.4pt;z-index:251660288;mso-width-relative:page;mso-height-relative:page;" filled="f" stroked="t" coordsize="21600,21600" o:gfxdata="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iNLWvWAAAABgEAAA8AAAAAAAAAAQAgAAAAIgAAAGRycy9kb3ducmV2LnhtbFBL&#10;AQIUABQAAAAIAIdO4kDWNC7z+AEAAMcDAAAOAAAAAAAAAAEAIAAAACUBAABkcnMvZTJvRG9jLnht&#10;bFBLBQYAAAAABgAGAFkBAACPBQAAAAA=&#10;">
                <v:fill on="f" focussize="0,0"/>
                <v:stroke weight="2.25pt" color="#FF0000" joinstyle="round"/>
                <v:imagedata o:title=""/>
                <o:lock v:ext="edit" aspectratio="f"/>
              </v:line>
            </w:pict>
          </mc:Fallback>
        </mc:AlternateContent>
      </w:r>
    </w:p>
    <w:p>
      <w:pPr>
        <w:spacing w:line="400" w:lineRule="exact"/>
        <w:jc w:val="center"/>
        <w:rPr>
          <w:rFonts w:ascii="华文中宋" w:hAnsi="华文中宋" w:eastAsia="华文中宋"/>
          <w:b/>
          <w:sz w:val="32"/>
        </w:rPr>
      </w:pPr>
      <w:r>
        <w:rPr>
          <w:rFonts w:hint="eastAsia" w:ascii="华文中宋" w:hAnsi="华文中宋" w:eastAsia="华文中宋" w:cs="黑体"/>
          <w:b/>
          <w:sz w:val="32"/>
          <w:szCs w:val="32"/>
        </w:rPr>
        <w:t>关于举办《民法典.工程合同司法解释一》详解与</w:t>
      </w:r>
      <w:r>
        <w:rPr>
          <w:rFonts w:ascii="华文中宋" w:hAnsi="华文中宋" w:eastAsia="华文中宋"/>
          <w:b/>
          <w:sz w:val="32"/>
        </w:rPr>
        <w:t>新版《建设项目工程总承包合同（示范文本）》下EPC工程总承包项目全过程实战及工程索赔重点、</w:t>
      </w:r>
      <w:r>
        <w:rPr>
          <w:rFonts w:hint="eastAsia" w:ascii="华文中宋" w:hAnsi="华文中宋" w:eastAsia="华文中宋"/>
          <w:b/>
          <w:sz w:val="32"/>
        </w:rPr>
        <w:t>难点应对与风险防范</w:t>
      </w:r>
      <w:r>
        <w:rPr>
          <w:rFonts w:ascii="华文中宋" w:hAnsi="华文中宋" w:eastAsia="华文中宋"/>
          <w:b/>
          <w:sz w:val="32"/>
        </w:rPr>
        <w:t>”</w:t>
      </w:r>
      <w:r>
        <w:rPr>
          <w:rFonts w:hint="eastAsia" w:ascii="华文中宋" w:hAnsi="华文中宋" w:eastAsia="华文中宋" w:cs="黑体"/>
          <w:b/>
          <w:sz w:val="32"/>
          <w:szCs w:val="32"/>
        </w:rPr>
        <w:t>高级培训班的通知</w:t>
      </w:r>
    </w:p>
    <w:p>
      <w:pPr>
        <w:spacing w:line="320" w:lineRule="exact"/>
        <w:jc w:val="left"/>
        <w:rPr>
          <w:rFonts w:cs="仿宋_GB2312" w:asciiTheme="minorEastAsia" w:hAnsiTheme="minorEastAsia" w:eastAsiaTheme="minorEastAsia"/>
          <w:b/>
          <w:bCs/>
          <w:color w:val="000000"/>
          <w:sz w:val="28"/>
          <w:szCs w:val="28"/>
        </w:rPr>
      </w:pPr>
    </w:p>
    <w:p>
      <w:pPr>
        <w:spacing w:line="280" w:lineRule="exact"/>
        <w:jc w:val="left"/>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各有关单位</w:t>
      </w:r>
      <w:r>
        <w:rPr>
          <w:rFonts w:ascii="仿宋" w:hAnsi="仿宋" w:eastAsia="仿宋" w:cs="仿宋_GB2312"/>
          <w:b/>
          <w:bCs/>
          <w:color w:val="000000"/>
          <w:sz w:val="28"/>
          <w:szCs w:val="28"/>
        </w:rPr>
        <w:t>:</w:t>
      </w:r>
    </w:p>
    <w:p>
      <w:pPr>
        <w:spacing w:line="280" w:lineRule="exact"/>
        <w:ind w:firstLine="560" w:firstLineChars="200"/>
        <w:jc w:val="left"/>
        <w:rPr>
          <w:rFonts w:ascii="仿宋" w:hAnsi="仿宋" w:eastAsia="仿宋" w:cs="仿宋_GB2312"/>
          <w:bCs/>
          <w:color w:val="000000"/>
          <w:sz w:val="28"/>
          <w:szCs w:val="28"/>
        </w:rPr>
      </w:pPr>
      <w:r>
        <w:rPr>
          <w:rFonts w:hint="eastAsia" w:ascii="仿宋" w:hAnsi="仿宋" w:eastAsia="仿宋" w:cs="仿宋_GB2312"/>
          <w:bCs/>
          <w:color w:val="000000"/>
          <w:sz w:val="28"/>
          <w:szCs w:val="28"/>
        </w:rPr>
        <w:t>《中华人民共和国民法典》已于2021年1月1日起正式实施。《民法典》对于</w:t>
      </w:r>
      <w:r>
        <w:rPr>
          <w:rFonts w:ascii="仿宋" w:hAnsi="仿宋" w:eastAsia="仿宋" w:cs="仿宋_GB2312"/>
          <w:bCs/>
          <w:color w:val="000000"/>
          <w:sz w:val="28"/>
          <w:szCs w:val="28"/>
        </w:rPr>
        <w:t>建设工程的发包、承包、分包</w:t>
      </w:r>
      <w:r>
        <w:rPr>
          <w:rFonts w:hint="eastAsia" w:ascii="仿宋" w:hAnsi="仿宋" w:eastAsia="仿宋" w:cs="仿宋_GB2312"/>
          <w:bCs/>
          <w:color w:val="000000"/>
          <w:sz w:val="28"/>
          <w:szCs w:val="28"/>
        </w:rPr>
        <w:t>、 “情势变更” 及对建设工程合同效力的认定和价款纠纷的解决做了详细规定。民法典出台将对建设工程领域产生重要的影响。标志着我国民事权利保护将进入全新的“法典化时代”。《民法典》的实施必将促进我国建筑业市场的健康发展，为建设工程项目的实施提供坚强的法律和制度保障。</w:t>
      </w:r>
    </w:p>
    <w:p>
      <w:pPr>
        <w:spacing w:line="280" w:lineRule="exact"/>
        <w:ind w:firstLine="560" w:firstLineChars="200"/>
        <w:jc w:val="left"/>
        <w:rPr>
          <w:rFonts w:ascii="仿宋" w:hAnsi="仿宋" w:eastAsia="仿宋" w:cs="仿宋_GB2312"/>
          <w:bCs/>
          <w:color w:val="000000"/>
          <w:sz w:val="28"/>
          <w:szCs w:val="28"/>
        </w:rPr>
      </w:pPr>
      <w:r>
        <w:rPr>
          <w:rFonts w:hint="eastAsia" w:ascii="仿宋" w:hAnsi="仿宋" w:eastAsia="仿宋" w:cs="仿宋_GB2312"/>
          <w:bCs/>
          <w:color w:val="000000"/>
          <w:sz w:val="28"/>
          <w:szCs w:val="28"/>
        </w:rPr>
        <w:t>《最高人民法院关于审理建设工程施工合同纠纷案件适用法律问题的解释（一）》已于2020年12月25日由最高人民法院审判委员会第1825次会议通过，现予公布，自2021年1月1日起施行（原司法解释一、二作废）。为正确审理建设工程施工合同纠纷案件，依法保护当事人合法权益，维护建筑市场秩序，促进建筑市场健康发展。</w:t>
      </w:r>
      <w:r>
        <w:rPr>
          <w:rFonts w:hint="eastAsia" w:ascii="仿宋" w:hAnsi="仿宋" w:eastAsia="仿宋"/>
          <w:snapToGrid w:val="0"/>
          <w:color w:val="000000"/>
          <w:kern w:val="20"/>
          <w:position w:val="-4"/>
          <w:sz w:val="28"/>
          <w:szCs w:val="28"/>
        </w:rPr>
        <w:t>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进行了修订，制定了《建设项目工程总承包合同（示范文本）》（GF-2020-0216），自2021年1月1日起执行。</w:t>
      </w:r>
    </w:p>
    <w:p>
      <w:pPr>
        <w:spacing w:line="280" w:lineRule="exact"/>
        <w:ind w:firstLine="560" w:firstLineChars="200"/>
        <w:jc w:val="left"/>
        <w:rPr>
          <w:rFonts w:ascii="仿宋" w:hAnsi="仿宋" w:eastAsia="仿宋" w:cs="仿宋_GB2312"/>
          <w:bCs/>
          <w:color w:val="000000"/>
          <w:sz w:val="28"/>
          <w:szCs w:val="28"/>
        </w:rPr>
      </w:pPr>
      <w:r>
        <w:rPr>
          <w:rFonts w:hint="eastAsia" w:ascii="仿宋" w:hAnsi="仿宋" w:eastAsia="仿宋" w:cs="仿宋_GB2312"/>
          <w:bCs/>
          <w:color w:val="000000"/>
          <w:sz w:val="28"/>
          <w:szCs w:val="28"/>
        </w:rPr>
        <w:t>为帮助各有关单位深入理解《民法典》实施后对我国建设工程领域的影响，深入学习《最高人民法院关于审理建设工程施工合同纠纷案件适用法律问题的解释（一）》及</w:t>
      </w:r>
      <w:r>
        <w:rPr>
          <w:rFonts w:hint="eastAsia" w:ascii="仿宋" w:hAnsi="仿宋" w:eastAsia="仿宋"/>
          <w:snapToGrid w:val="0"/>
          <w:color w:val="000000"/>
          <w:kern w:val="20"/>
          <w:position w:val="-4"/>
          <w:sz w:val="28"/>
          <w:szCs w:val="28"/>
        </w:rPr>
        <w:t>《建设项目工程总承包合同（示范文本）》（GF-2020-0216）</w:t>
      </w:r>
      <w:r>
        <w:rPr>
          <w:rFonts w:hint="eastAsia" w:ascii="仿宋" w:hAnsi="仿宋" w:eastAsia="仿宋" w:cs="仿宋_GB2312"/>
          <w:bCs/>
          <w:color w:val="000000"/>
          <w:sz w:val="28"/>
          <w:szCs w:val="28"/>
        </w:rPr>
        <w:t>，针对新政策下建设工程项目的梳理、工程过程的索赔与反索赔、提高项目管理水平。我会决定举办 “《民法典.工程合同司法解释一》详解与</w:t>
      </w:r>
      <w:r>
        <w:rPr>
          <w:rFonts w:ascii="仿宋" w:hAnsi="仿宋" w:eastAsia="仿宋" w:cs="仿宋_GB2312"/>
          <w:bCs/>
          <w:color w:val="000000"/>
          <w:sz w:val="28"/>
          <w:szCs w:val="28"/>
        </w:rPr>
        <w:t>新版《建设项目工程总承包合同（示范文本）》下EPC工程总承包项目全过程实战及工程索赔重点、</w:t>
      </w:r>
      <w:r>
        <w:rPr>
          <w:rFonts w:hint="eastAsia" w:ascii="仿宋" w:hAnsi="仿宋" w:eastAsia="仿宋" w:cs="仿宋_GB2312"/>
          <w:bCs/>
          <w:color w:val="000000"/>
          <w:sz w:val="28"/>
          <w:szCs w:val="28"/>
        </w:rPr>
        <w:t>难点应对与风险防范高级培训班”。</w:t>
      </w:r>
    </w:p>
    <w:p>
      <w:pPr>
        <w:spacing w:line="280" w:lineRule="exact"/>
        <w:ind w:firstLine="560" w:firstLineChars="200"/>
        <w:rPr>
          <w:rFonts w:ascii="仿宋" w:hAnsi="仿宋" w:eastAsia="仿宋" w:cs="仿宋_GB2312"/>
          <w:b/>
          <w:bCs/>
          <w:color w:val="000000"/>
          <w:sz w:val="28"/>
          <w:szCs w:val="28"/>
        </w:rPr>
      </w:pPr>
      <w:r>
        <w:rPr>
          <w:rFonts w:hint="eastAsia" w:ascii="仿宋" w:hAnsi="仿宋" w:eastAsia="仿宋" w:cs="仿宋_GB2312"/>
          <w:bCs/>
          <w:color w:val="000000"/>
          <w:sz w:val="28"/>
          <w:szCs w:val="28"/>
        </w:rPr>
        <w:t>本次培训班由中国国际工程咨询协会主办，北京市金培通信息技术有限责任公司、</w:t>
      </w:r>
      <w:r>
        <w:rPr>
          <w:rFonts w:hint="eastAsia" w:ascii="仿宋" w:hAnsi="仿宋" w:eastAsia="仿宋" w:cs="仿宋"/>
          <w:sz w:val="28"/>
          <w:szCs w:val="28"/>
        </w:rPr>
        <w:t>北京中建科信管理咨询集团有限公司</w:t>
      </w:r>
      <w:r>
        <w:rPr>
          <w:rFonts w:hint="eastAsia" w:ascii="仿宋" w:hAnsi="仿宋" w:eastAsia="仿宋" w:cs="仿宋_GB2312"/>
          <w:bCs/>
          <w:color w:val="000000"/>
          <w:sz w:val="28"/>
          <w:szCs w:val="28"/>
        </w:rPr>
        <w:t>具体承办。请各单位积极组织本单位及相关人员参加。现将有关事宜通知如下：</w:t>
      </w:r>
    </w:p>
    <w:p>
      <w:pPr>
        <w:tabs>
          <w:tab w:val="left" w:pos="567"/>
          <w:tab w:val="left" w:pos="709"/>
        </w:tabs>
        <w:spacing w:line="280" w:lineRule="exact"/>
        <w:textAlignment w:val="baseline"/>
        <w:outlineLvl w:val="0"/>
        <w:rPr>
          <w:rFonts w:ascii="仿宋" w:hAnsi="仿宋" w:eastAsia="仿宋" w:cs="黑体"/>
          <w:b/>
          <w:bCs/>
          <w:color w:val="000000"/>
          <w:sz w:val="28"/>
          <w:szCs w:val="28"/>
        </w:rPr>
      </w:pPr>
      <w:bookmarkStart w:id="1" w:name="_GoBack"/>
      <w:bookmarkEnd w:id="1"/>
    </w:p>
    <w:p>
      <w:pPr>
        <w:tabs>
          <w:tab w:val="left" w:pos="567"/>
          <w:tab w:val="left" w:pos="709"/>
        </w:tabs>
        <w:spacing w:line="280" w:lineRule="exact"/>
        <w:textAlignment w:val="baseline"/>
        <w:outlineLvl w:val="0"/>
        <w:rPr>
          <w:rFonts w:ascii="仿宋" w:hAnsi="仿宋" w:eastAsia="仿宋" w:cs="黑体"/>
          <w:b/>
          <w:bCs/>
          <w:color w:val="000000"/>
          <w:sz w:val="28"/>
          <w:szCs w:val="28"/>
        </w:rPr>
      </w:pPr>
      <w:r>
        <w:rPr>
          <w:rFonts w:hint="eastAsia" w:ascii="仿宋" w:hAnsi="仿宋" w:eastAsia="仿宋" w:cs="黑体"/>
          <w:b/>
          <w:bCs/>
          <w:color w:val="000000"/>
          <w:sz w:val="28"/>
          <w:szCs w:val="28"/>
        </w:rPr>
        <w:t>一、培训内容</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(一）《民法典.合同编》对于建设工程领域的影响及重点和难点解读；</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1、《民法典.合同编》关于</w:t>
      </w:r>
      <w:r>
        <w:rPr>
          <w:rFonts w:ascii="仿宋" w:hAnsi="仿宋" w:eastAsia="仿宋" w:cs="仿宋_GB2312"/>
          <w:bCs/>
          <w:color w:val="000000"/>
          <w:sz w:val="28"/>
          <w:szCs w:val="28"/>
        </w:rPr>
        <w:t>建设工程合同</w:t>
      </w:r>
      <w:r>
        <w:rPr>
          <w:rFonts w:hint="eastAsia" w:ascii="仿宋" w:hAnsi="仿宋" w:eastAsia="仿宋" w:cs="仿宋_GB2312"/>
          <w:bCs/>
          <w:color w:val="000000"/>
          <w:sz w:val="28"/>
          <w:szCs w:val="28"/>
        </w:rPr>
        <w:t>的</w:t>
      </w:r>
      <w:r>
        <w:rPr>
          <w:rFonts w:ascii="仿宋" w:hAnsi="仿宋" w:eastAsia="仿宋" w:cs="仿宋_GB2312"/>
          <w:bCs/>
          <w:color w:val="000000"/>
          <w:sz w:val="28"/>
          <w:szCs w:val="28"/>
        </w:rPr>
        <w:t>主要内容框架建议</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2、《民法典.合同编》关于</w:t>
      </w:r>
      <w:r>
        <w:rPr>
          <w:rFonts w:ascii="仿宋" w:hAnsi="仿宋" w:eastAsia="仿宋" w:cs="仿宋_GB2312"/>
          <w:bCs/>
          <w:color w:val="000000"/>
          <w:sz w:val="28"/>
          <w:szCs w:val="28"/>
        </w:rPr>
        <w:t>建设工程合同定义与合同种类</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3、《民法典.合同编》关于</w:t>
      </w:r>
      <w:r>
        <w:rPr>
          <w:rFonts w:ascii="仿宋" w:hAnsi="仿宋" w:eastAsia="仿宋" w:cs="仿宋_GB2312"/>
          <w:bCs/>
          <w:color w:val="000000"/>
          <w:sz w:val="28"/>
          <w:szCs w:val="28"/>
        </w:rPr>
        <w:t>建设工程合同形式的特别要求</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4、《民法典.合同编》关于</w:t>
      </w:r>
      <w:r>
        <w:rPr>
          <w:rFonts w:ascii="仿宋" w:hAnsi="仿宋" w:eastAsia="仿宋" w:cs="仿宋_GB2312"/>
          <w:bCs/>
          <w:color w:val="000000"/>
          <w:sz w:val="28"/>
          <w:szCs w:val="28"/>
        </w:rPr>
        <w:t>建设工程合同主体特有的适格性和具体发承包形式的合法性</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5、《民法典.合同编》关于</w:t>
      </w:r>
      <w:r>
        <w:rPr>
          <w:rFonts w:ascii="仿宋" w:hAnsi="仿宋" w:eastAsia="仿宋" w:cs="仿宋_GB2312"/>
          <w:bCs/>
          <w:color w:val="000000"/>
          <w:sz w:val="28"/>
          <w:szCs w:val="28"/>
        </w:rPr>
        <w:t>建设工程合同订立的特有程序和订约条件</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w:t>
      </w:r>
      <w:r>
        <w:rPr>
          <w:rFonts w:ascii="仿宋" w:hAnsi="仿宋" w:eastAsia="仿宋" w:cs="仿宋_GB2312"/>
          <w:bCs/>
          <w:color w:val="000000"/>
          <w:sz w:val="28"/>
          <w:szCs w:val="28"/>
        </w:rPr>
        <w:t>现行《合同法》和《民法典合同编》规定的发包人特有权利</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w:t>
      </w:r>
      <w:r>
        <w:rPr>
          <w:rFonts w:ascii="仿宋" w:hAnsi="仿宋" w:eastAsia="仿宋" w:cs="仿宋_GB2312"/>
          <w:bCs/>
          <w:color w:val="000000"/>
          <w:sz w:val="28"/>
          <w:szCs w:val="28"/>
        </w:rPr>
        <w:t>现行《合同法》未规定、《民法典合同编》补充规定的发包人特有权利</w:t>
      </w:r>
      <w:r>
        <w:rPr>
          <w:rFonts w:hint="eastAsia" w:ascii="仿宋" w:hAnsi="仿宋" w:eastAsia="仿宋" w:cs="仿宋_GB2312"/>
          <w:bCs/>
          <w:color w:val="000000"/>
          <w:sz w:val="28"/>
          <w:szCs w:val="28"/>
        </w:rPr>
        <w:t>；</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w:t>
      </w:r>
      <w:r>
        <w:rPr>
          <w:rFonts w:ascii="仿宋" w:hAnsi="仿宋" w:eastAsia="仿宋" w:cs="仿宋_GB2312"/>
          <w:bCs/>
          <w:color w:val="000000"/>
          <w:sz w:val="28"/>
          <w:szCs w:val="28"/>
        </w:rPr>
        <w:t>现行《合同法》与《民法典合同编》均未规定的发包人特有权利</w:t>
      </w:r>
      <w:r>
        <w:rPr>
          <w:rFonts w:hint="eastAsia" w:ascii="仿宋" w:hAnsi="仿宋" w:eastAsia="仿宋" w:cs="仿宋_GB2312"/>
          <w:bCs/>
          <w:color w:val="000000"/>
          <w:sz w:val="28"/>
          <w:szCs w:val="28"/>
        </w:rPr>
        <w:t>。</w:t>
      </w:r>
    </w:p>
    <w:p>
      <w:pPr>
        <w:tabs>
          <w:tab w:val="left" w:pos="567"/>
          <w:tab w:val="left" w:pos="709"/>
        </w:tabs>
        <w:spacing w:line="280" w:lineRule="exact"/>
        <w:ind w:left="551" w:hanging="549" w:hangingChars="196"/>
        <w:textAlignment w:val="baseline"/>
        <w:outlineLvl w:val="0"/>
        <w:rPr>
          <w:rFonts w:ascii="仿宋" w:hAnsi="仿宋" w:eastAsia="仿宋" w:cs="仿宋_GB2312"/>
          <w:bCs/>
          <w:color w:val="000000"/>
          <w:sz w:val="28"/>
          <w:szCs w:val="28"/>
        </w:rPr>
      </w:pPr>
      <w:r>
        <w:rPr>
          <w:rFonts w:hint="eastAsia" w:ascii="仿宋" w:hAnsi="仿宋" w:eastAsia="仿宋" w:cs="黑体"/>
          <w:b/>
          <w:bCs/>
          <w:color w:val="000000"/>
          <w:sz w:val="28"/>
          <w:szCs w:val="28"/>
        </w:rPr>
        <w:t>（二）《民法典》实施对建设工程各方实体权利的调整</w:t>
      </w:r>
      <w:r>
        <w:rPr>
          <w:rFonts w:hint="eastAsia" w:ascii="仿宋" w:hAnsi="仿宋" w:eastAsia="仿宋" w:cs="微软雅黑"/>
          <w:color w:val="3B3A3A"/>
          <w:sz w:val="19"/>
          <w:szCs w:val="19"/>
        </w:rPr>
        <w:br w:type="textWrapping"/>
      </w:r>
      <w:r>
        <w:rPr>
          <w:rFonts w:hint="eastAsia" w:ascii="仿宋" w:hAnsi="仿宋" w:eastAsia="仿宋" w:cs="仿宋_GB2312"/>
          <w:bCs/>
          <w:color w:val="000000"/>
          <w:sz w:val="28"/>
          <w:szCs w:val="28"/>
        </w:rPr>
        <w:t>1、《民法典》下的建设工程各主体权利边界；</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2、政府方在政府项目中主体性质识别方法；</w:t>
      </w:r>
      <w:r>
        <w:rPr>
          <w:rFonts w:hint="eastAsia" w:eastAsia="仿宋" w:cs="仿宋_GB2312" w:asciiTheme="minorEastAsia" w:hAnsiTheme="minorEastAsia"/>
          <w:bCs/>
          <w:color w:val="000000"/>
          <w:sz w:val="28"/>
          <w:szCs w:val="28"/>
        </w:rPr>
        <w:t> </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3、政府在建设工程中民事主体的特殊性体现方式；</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4、政府超越民事主体权利所形成法律后果责任承担；</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5、政府民事权利缺位建设工程后果法律承担；</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6、《民法典》情势变更原则在建设工程中的适用；</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7、民法典》对违约赔偿原则的承继所释放的市场信号解读；</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8、《民法典》对建筑施工资质的承继所释放的市场信号解读；</w:t>
      </w:r>
      <w:r>
        <w:rPr>
          <w:rFonts w:hint="eastAsia" w:ascii="仿宋" w:hAnsi="仿宋" w:eastAsia="仿宋" w:cs="仿宋_GB2312"/>
          <w:bCs/>
          <w:color w:val="000000"/>
          <w:sz w:val="28"/>
          <w:szCs w:val="28"/>
        </w:rPr>
        <w:br w:type="textWrapping"/>
      </w:r>
      <w:r>
        <w:rPr>
          <w:rFonts w:hint="eastAsia" w:ascii="仿宋" w:hAnsi="仿宋" w:eastAsia="仿宋" w:cs="仿宋_GB2312"/>
          <w:bCs/>
          <w:color w:val="000000"/>
          <w:sz w:val="28"/>
          <w:szCs w:val="28"/>
        </w:rPr>
        <w:t>9、民法典》对建设工程无效合同的处理原则所释放的信号解读。</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（三）《司法解释一》与现有建设工程法律体系对接解读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1、《民法典》</w:t>
      </w:r>
      <w:bookmarkStart w:id="0" w:name="_Hlk60475371"/>
      <w:r>
        <w:rPr>
          <w:rFonts w:hint="eastAsia" w:ascii="仿宋" w:hAnsi="仿宋" w:eastAsia="仿宋" w:cs="仿宋_GB2312"/>
          <w:bCs/>
          <w:color w:val="000000"/>
          <w:sz w:val="28"/>
          <w:szCs w:val="28"/>
        </w:rPr>
        <w:t>与《司法解释一》对接解读</w:t>
      </w:r>
      <w:bookmarkEnd w:id="0"/>
      <w:r>
        <w:rPr>
          <w:rFonts w:hint="eastAsia" w:ascii="仿宋" w:hAnsi="仿宋" w:eastAsia="仿宋" w:cs="仿宋_GB2312"/>
          <w:bCs/>
          <w:color w:val="000000"/>
          <w:sz w:val="28"/>
          <w:szCs w:val="28"/>
        </w:rPr>
        <w:t>；</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2、《预算法》与《司法解释一》对接解读；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3、《政府投资条例》与《司法解释一》对接解读；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4、《总承包管理办法》与《司法解释一》对接解读；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5、《公司法》与《司法解释一》对接解读；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6、《建设工程总承包合同示范文本》（GF-2020-0216）与《司法解释一》对接解读；</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7、《民事诉讼法司法解释》与《司法解释一》对接解读。</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（四）《司法解释一》下建设工程各方主体权利及边界</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1、建设工程施工主体合法权利构成；</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2、建设工程施工合同体系构成形式；</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3、对建设工程施工主体具有约束力规范性文件认定；</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4、施工单位承接不同类型建设项目实施举措之差异；</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5、不同类型工程项目业主付款路径考量；</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6、施工单位对分包实施有效管理方式；</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7、施工单位对项目实施闭环管理方法分析与运用；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 总包单位与分、子公司在项目实施过程中法律责任分配；</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9、政府项目利益最大化追求之边界。</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（五</w:t>
      </w:r>
      <w:r>
        <w:rPr>
          <w:rFonts w:ascii="仿宋" w:hAnsi="仿宋" w:eastAsia="仿宋" w:cs="仿宋_GB2312"/>
          <w:b/>
          <w:bCs/>
          <w:color w:val="000000"/>
          <w:sz w:val="28"/>
          <w:szCs w:val="28"/>
        </w:rPr>
        <w:t>）</w:t>
      </w:r>
      <w:r>
        <w:rPr>
          <w:rFonts w:hint="eastAsia" w:ascii="仿宋" w:hAnsi="仿宋" w:eastAsia="仿宋" w:cs="仿宋_GB2312"/>
          <w:b/>
          <w:bCs/>
          <w:color w:val="000000"/>
          <w:sz w:val="28"/>
          <w:szCs w:val="28"/>
        </w:rPr>
        <w:t>《司法解释一》下施工合同谈判边界管控要点</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1、《司法解释一》下施工谈判价值取向之变化；</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2、建设工程施工合同有效性保障措施；</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3、建设工程施工合同无效情形梳理；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4、建设工程施工合同实质性条款的认定准则；</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5、建设工程施工合同文本选择、编制原则；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6、建设工程施工合同选择固定总价应当具备的必要条件；</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7、合同“陷进”条款的排查与认定；</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8、“填平原则”在违约赔偿中的理解与适用；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9、施工企业放弃优先受偿权效力认定；</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10、“先上车，后买票”项目实施合法权益救济路径。</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（六）《司法解释一》下建设工程项目招投标阶段风险管控实务</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1、要约与承诺在工程招投标过程中的理解与作用；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2、招标文件、投标文件、中标文件、中标合同在招投标过程中的效力阶位的认定新准则；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3、招投标文件编制基本依据与方法；</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4、不平衡报价在招投标文件编制中的应用；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5、“挂靠”方式在建设工程中法律空间的变化及分析；</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6、补充协议对中标合同修改的合法性认定准则；</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7、招标工程量清单错误、遗漏、缺项责任归属；</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8、项目包中标后子项目调整合法合规性认定；</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9、突破“拦标价”过低下的投标方案谋划；</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10、“两标并一标”在工程项目中的适用。</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（七）《司法解释一》下工程范围确定依据</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1、工程范围及施工界面确认原则；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2、合同中止施工界面确定方式与救济；</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3、合同工程范围条款约定不明结算规则；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4、竣工图中未反映的工程变更确定方式；</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5、合同工程范围之外工程价款认定依据；</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6、改变合同工程内容的认定标准；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7、改变合同工程范围的认定标准；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8、施工过程中工程内容、范围调整</w:t>
      </w:r>
      <w:r>
        <w:rPr>
          <w:rFonts w:ascii="仿宋" w:hAnsi="仿宋" w:eastAsia="仿宋" w:cs="仿宋_GB2312"/>
          <w:bCs/>
          <w:color w:val="000000"/>
          <w:sz w:val="28"/>
          <w:szCs w:val="28"/>
        </w:rPr>
        <w:t>合法性认定原则及救济方式</w:t>
      </w:r>
      <w:r>
        <w:rPr>
          <w:rFonts w:hint="eastAsia" w:ascii="仿宋" w:hAnsi="仿宋" w:eastAsia="仿宋" w:cs="仿宋_GB2312"/>
          <w:bCs/>
          <w:color w:val="000000"/>
          <w:sz w:val="28"/>
          <w:szCs w:val="28"/>
        </w:rPr>
        <w:t>；</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9、地下水文条件与工程范围的关系。</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（八）《司法解释一》下建设项目工期管控</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1、开工日约定不明认定标准；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2、数个开工日冲突下开工日认定标准；</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3、建设方拖延竣工验收竣工日认定原则；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4、建设方擅自接管使用工程竣工日认定原则；</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5、工期延误时效安排与法律效力；</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6、进入司法程序下的工期延误责任归属；</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7、“关键线路”在工期延误认定中的作用；</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8、施工单位未获签证下的工期顺延认定原则；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9、“权利可以放弃，义务必须履行”原则在工期顺延认定中的适用。</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（九）《司法解释一》下工程项目施工质量风险管控</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 建设工程“质量优先”在《司法解释一》中的体现；</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2、现场质量管控岗位设计体系在实战中之运用；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3、工程项目各参建主体资源配置对项目质量风险构成分析；</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4、施工现场危机隐患参建各方处置措施；</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5、施工现场信息流管理对项目风险管控的作用；</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6、业主单位工程质量责任范围；</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7、施工企业工程质量责任范围；</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8、质保金与保修责任的风险匹配关系。</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9、建设工程交付后引发侵权责任承担原则；</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（十）《司法解释一》下建设工程计价风险管控</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1、工程计价规范性性文件分析；</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2、清单计价规范（GB50500-2013）法律地位认定；</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3、《司法解释一》工程计价基本原则解读；</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4、市场价格波动下固定单价调差条件；</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5、工程量清单计价下，打开“闭口价”的路径与方法；</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6、补充协议与中标合同计价相悖计价认定原则；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7、中标合同与招投标文件不一致计价规则；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8、施工单位工程垫资款利息起计规则；</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9、建设工程价款构成内容；</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10、建设工程优先受偿权价款构成内容；</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11、“优先受偿权”受限情形。</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（十一）《司法解释一》下建设工程计量风险管控实务</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1、竣工图与合同清单冲突结算依据的认定；</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2、竣工图与工程现场实物不符结算依据认定；</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3、工程签证单代签法律效力的认定；</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4、工程签证单拒签的救济方法；</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5、工程签证单缺失、遗漏计量救济方法；</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6、间接证据在工程量确认中的效用；</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7、施工阶段引发对第三人的侵权责任归属；</w:t>
      </w:r>
    </w:p>
    <w:p>
      <w:pPr>
        <w:tabs>
          <w:tab w:val="left" w:pos="567"/>
          <w:tab w:val="left" w:pos="709"/>
        </w:tabs>
        <w:spacing w:line="280" w:lineRule="exact"/>
        <w:ind w:left="548" w:leftChars="200" w:hanging="128" w:hangingChars="46"/>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8、工程变更与违约行为的区别；</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9、施工单位拒绝工程变更的法律博弈。</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（十二）《司法解释一》下建设工程索赔重点与难点应对</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1、17版F</w:t>
      </w:r>
      <w:r>
        <w:rPr>
          <w:rFonts w:ascii="仿宋" w:hAnsi="仿宋" w:eastAsia="仿宋" w:cs="仿宋_GB2312"/>
          <w:bCs/>
          <w:color w:val="000000"/>
          <w:sz w:val="28"/>
          <w:szCs w:val="28"/>
        </w:rPr>
        <w:t>IDIC</w:t>
      </w:r>
      <w:r>
        <w:rPr>
          <w:rFonts w:hint="eastAsia" w:ascii="仿宋" w:hAnsi="仿宋" w:eastAsia="仿宋" w:cs="仿宋_GB2312"/>
          <w:bCs/>
          <w:color w:val="000000"/>
          <w:sz w:val="28"/>
          <w:szCs w:val="28"/>
        </w:rPr>
        <w:t>条款银皮书对索赔最新释义；</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2、工程索赔的合法性基础；</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3、工程索赔与政府预算控制机制冲突化解；</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4、可能引发索赔的十五个亮点；</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5、十六项能够佐证索赔事件发生的证据固定；</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6、促成索赔证据链闭合的举措；</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7、突发性索赔预留“敞口”的作用；</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8、预案性索赔成功实现基础性条件；</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9、索赔过程中的反索赔预警措施。</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（十三）《司法解释一》下建设工程竣工结算要点及实践</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1、《司法解释一》下的建设工程结算新规则；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 中标合同有效工程结算争议解决路径；</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3、多份施工合同均无效工程结算争议解决路径；</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4、合同无效工程款结算原则；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5、建设工程合同无效各方经济责任承担原则；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6、固定总价合同终止工程结算原则；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7、工程结算、期中结算、终止结算、竣工结算的区别；</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8、业主与被挂靠人之间工程款结算；</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9、政府审计结论在建设工程结算中的法律效力认定原则；</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10、F</w:t>
      </w:r>
      <w:r>
        <w:rPr>
          <w:rFonts w:ascii="仿宋" w:hAnsi="仿宋" w:eastAsia="仿宋" w:cs="仿宋_GB2312"/>
          <w:bCs/>
          <w:color w:val="000000"/>
          <w:sz w:val="28"/>
          <w:szCs w:val="28"/>
        </w:rPr>
        <w:t>IDIC</w:t>
      </w:r>
      <w:r>
        <w:rPr>
          <w:rFonts w:hint="eastAsia" w:ascii="仿宋" w:hAnsi="仿宋" w:eastAsia="仿宋" w:cs="仿宋_GB2312"/>
          <w:bCs/>
          <w:color w:val="000000"/>
          <w:sz w:val="28"/>
          <w:szCs w:val="28"/>
        </w:rPr>
        <w:t>条件下E</w:t>
      </w:r>
      <w:r>
        <w:rPr>
          <w:rFonts w:ascii="仿宋" w:hAnsi="仿宋" w:eastAsia="仿宋" w:cs="仿宋_GB2312"/>
          <w:bCs/>
          <w:color w:val="000000"/>
          <w:sz w:val="28"/>
          <w:szCs w:val="28"/>
        </w:rPr>
        <w:t>PC</w:t>
      </w:r>
      <w:r>
        <w:rPr>
          <w:rFonts w:hint="eastAsia" w:ascii="仿宋" w:hAnsi="仿宋" w:eastAsia="仿宋" w:cs="仿宋_GB2312"/>
          <w:bCs/>
          <w:color w:val="000000"/>
          <w:sz w:val="28"/>
          <w:szCs w:val="28"/>
        </w:rPr>
        <w:t>与国内工程总承包总价合同差异解析。</w:t>
      </w:r>
    </w:p>
    <w:p>
      <w:pPr>
        <w:tabs>
          <w:tab w:val="left" w:pos="567"/>
          <w:tab w:val="left" w:pos="709"/>
        </w:tabs>
        <w:spacing w:line="280" w:lineRule="exact"/>
        <w:ind w:left="551" w:hanging="549" w:hangingChars="196"/>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（十四）《司法解释一》对工程诉讼特别规定</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1、建设工程诉讼中抗辩与反诉的认定；</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2、司法鉴定责任风险分配；</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3、法院在司法鉴定启动中的责任范围；</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4、司法鉴定意见的性质计法律效力；</w:t>
      </w:r>
    </w:p>
    <w:p>
      <w:pPr>
        <w:tabs>
          <w:tab w:val="left" w:pos="567"/>
          <w:tab w:val="left" w:pos="709"/>
        </w:tabs>
        <w:spacing w:line="280" w:lineRule="exact"/>
        <w:ind w:left="548" w:leftChars="261"/>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5、施工方的“代为求偿权”在诉讼中的应用。</w:t>
      </w:r>
    </w:p>
    <w:p>
      <w:pPr>
        <w:spacing w:line="280" w:lineRule="exact"/>
        <w:rPr>
          <w:rFonts w:ascii="仿宋" w:hAnsi="仿宋" w:eastAsia="仿宋"/>
          <w:b/>
          <w:snapToGrid w:val="0"/>
          <w:color w:val="000000"/>
          <w:kern w:val="20"/>
          <w:position w:val="-4"/>
          <w:sz w:val="28"/>
          <w:szCs w:val="28"/>
        </w:rPr>
      </w:pPr>
      <w:r>
        <w:rPr>
          <w:rFonts w:hint="eastAsia" w:ascii="仿宋" w:hAnsi="仿宋" w:eastAsia="仿宋"/>
          <w:b/>
          <w:snapToGrid w:val="0"/>
          <w:color w:val="000000"/>
          <w:kern w:val="20"/>
          <w:position w:val="-4"/>
          <w:sz w:val="28"/>
          <w:szCs w:val="28"/>
        </w:rPr>
        <w:t>（十五）2020版《建设项目工程总承包合同（示范文本）》重点条款解读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1、合同价格形式相关条款解读；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2、合同风险分担相关条款解读；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3、工期进度相关条款解读；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4、变更调整相关条款解读；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5、竣工验收相关条款解读；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6、缺陷责任相关条款解读；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7、结算相关条款解读；</w:t>
      </w:r>
    </w:p>
    <w:p>
      <w:pPr>
        <w:spacing w:line="280" w:lineRule="exact"/>
        <w:ind w:firstLine="560" w:firstLineChars="200"/>
        <w:rPr>
          <w:rFonts w:ascii="仿宋" w:hAnsi="仿宋" w:eastAsia="仿宋"/>
          <w:snapToGrid w:val="0"/>
          <w:color w:val="000000"/>
          <w:kern w:val="20"/>
          <w:position w:val="-4"/>
          <w:sz w:val="28"/>
          <w:szCs w:val="28"/>
        </w:rPr>
      </w:pPr>
      <w:r>
        <w:rPr>
          <w:rFonts w:hint="eastAsia" w:ascii="仿宋" w:hAnsi="仿宋" w:eastAsia="仿宋"/>
          <w:snapToGrid w:val="0"/>
          <w:color w:val="000000"/>
          <w:kern w:val="20"/>
          <w:position w:val="-4"/>
          <w:sz w:val="28"/>
          <w:szCs w:val="28"/>
        </w:rPr>
        <w:t>8、索赔相关条款解读。</w:t>
      </w:r>
    </w:p>
    <w:p>
      <w:pPr>
        <w:spacing w:line="280" w:lineRule="exact"/>
        <w:rPr>
          <w:rFonts w:ascii="仿宋" w:hAnsi="仿宋" w:eastAsia="仿宋"/>
          <w:b/>
          <w:snapToGrid w:val="0"/>
          <w:color w:val="000000"/>
          <w:kern w:val="20"/>
          <w:position w:val="-4"/>
          <w:sz w:val="28"/>
          <w:szCs w:val="28"/>
        </w:rPr>
      </w:pPr>
      <w:r>
        <w:rPr>
          <w:rFonts w:hint="eastAsia" w:ascii="仿宋" w:hAnsi="仿宋" w:eastAsia="仿宋"/>
          <w:b/>
          <w:snapToGrid w:val="0"/>
          <w:color w:val="000000"/>
          <w:kern w:val="20"/>
          <w:position w:val="-4"/>
          <w:sz w:val="28"/>
          <w:szCs w:val="28"/>
        </w:rPr>
        <w:t>（十六）</w:t>
      </w:r>
      <w:r>
        <w:rPr>
          <w:rFonts w:ascii="仿宋" w:hAnsi="仿宋" w:eastAsia="仿宋"/>
          <w:b/>
          <w:snapToGrid w:val="0"/>
          <w:color w:val="000000"/>
          <w:kern w:val="20"/>
          <w:position w:val="-4"/>
          <w:sz w:val="28"/>
          <w:szCs w:val="28"/>
        </w:rPr>
        <w:t>EPC工程总承包项目管理全流程实践</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1</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国内外EPC总承包项目管理发展趋势；</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2</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工程总承包主要模式适用的项目类型及特点；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3</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工程总承包项目各相关方职责与工作界面；</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4</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工程总承包项目管理流程及管控要点；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5</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工程总承包项目决策阶段的管理（包括招标管理）；</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6</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工程总承包项目启动、策划阶段管控要点；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7</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工程总承包项目勘察设计阶段的管控要点；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8</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工程总承包项目采购阶段的管控要点；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9</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工程总承包项目施工、试运行阶段的管控要点；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10</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工程总承包项目收尾及关闭、移交阶段的管理；</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11</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联合体实施工程总承包的风险应对；</w:t>
      </w:r>
    </w:p>
    <w:p>
      <w:pPr>
        <w:spacing w:line="280" w:lineRule="exact"/>
        <w:ind w:firstLine="560" w:firstLineChars="200"/>
        <w:rPr>
          <w:rFonts w:ascii="仿宋" w:hAnsi="仿宋" w:eastAsia="仿宋"/>
          <w:snapToGrid w:val="0"/>
          <w:color w:val="000000"/>
          <w:kern w:val="20"/>
          <w:position w:val="-4"/>
          <w:sz w:val="28"/>
          <w:szCs w:val="28"/>
        </w:rPr>
      </w:pPr>
      <w:r>
        <w:rPr>
          <w:rFonts w:ascii="仿宋" w:hAnsi="仿宋" w:eastAsia="仿宋"/>
          <w:snapToGrid w:val="0"/>
          <w:color w:val="000000"/>
          <w:kern w:val="20"/>
          <w:position w:val="-4"/>
          <w:sz w:val="28"/>
          <w:szCs w:val="28"/>
        </w:rPr>
        <w:t>12</w:t>
      </w:r>
      <w:r>
        <w:rPr>
          <w:rFonts w:hint="eastAsia" w:ascii="仿宋" w:hAnsi="仿宋" w:eastAsia="仿宋"/>
          <w:snapToGrid w:val="0"/>
          <w:color w:val="000000"/>
          <w:kern w:val="20"/>
          <w:position w:val="-4"/>
          <w:sz w:val="28"/>
          <w:szCs w:val="28"/>
        </w:rPr>
        <w:t>、</w:t>
      </w:r>
      <w:r>
        <w:rPr>
          <w:rFonts w:ascii="仿宋" w:hAnsi="仿宋" w:eastAsia="仿宋"/>
          <w:snapToGrid w:val="0"/>
          <w:color w:val="000000"/>
          <w:kern w:val="20"/>
          <w:position w:val="-4"/>
          <w:sz w:val="28"/>
          <w:szCs w:val="28"/>
        </w:rPr>
        <w:t>工程总承包相关问题解答。</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二、参会对象</w:t>
      </w:r>
    </w:p>
    <w:p>
      <w:pPr>
        <w:tabs>
          <w:tab w:val="left" w:pos="567"/>
          <w:tab w:val="left" w:pos="709"/>
        </w:tabs>
        <w:spacing w:line="280" w:lineRule="exact"/>
        <w:ind w:firstLine="560" w:firstLineChars="20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1、各地方政府有关建设规划、工程建设、市场监督管理等部门，工程勘察、设计、施工、监理单位以及建设工程交易、投资项目评审相关人员；</w:t>
      </w:r>
    </w:p>
    <w:p>
      <w:pPr>
        <w:tabs>
          <w:tab w:val="left" w:pos="567"/>
          <w:tab w:val="left" w:pos="709"/>
        </w:tabs>
        <w:spacing w:line="280" w:lineRule="exact"/>
        <w:ind w:firstLine="560" w:firstLineChars="20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2、各业主单位项目管理、合同管理、造价管理、建设开发、财务审计等相关部门人员；</w:t>
      </w:r>
    </w:p>
    <w:p>
      <w:pPr>
        <w:tabs>
          <w:tab w:val="left" w:pos="567"/>
          <w:tab w:val="left" w:pos="709"/>
        </w:tabs>
        <w:spacing w:line="280" w:lineRule="exact"/>
        <w:ind w:firstLine="560" w:firstLineChars="200"/>
        <w:textAlignment w:val="baseline"/>
        <w:outlineLvl w:val="0"/>
        <w:rPr>
          <w:rFonts w:ascii="仿宋" w:hAnsi="仿宋" w:eastAsia="仿宋" w:cs="仿宋_GB2312"/>
          <w:b/>
          <w:bCs/>
          <w:color w:val="000000"/>
          <w:sz w:val="28"/>
          <w:szCs w:val="28"/>
        </w:rPr>
      </w:pPr>
      <w:r>
        <w:rPr>
          <w:rFonts w:hint="eastAsia" w:ascii="仿宋" w:hAnsi="仿宋" w:eastAsia="仿宋" w:cs="仿宋_GB2312"/>
          <w:bCs/>
          <w:color w:val="000000"/>
          <w:sz w:val="28"/>
          <w:szCs w:val="28"/>
        </w:rPr>
        <w:t>3、各类建筑施工企业、分包单位、设备材料供应、咨询代理等机构负责人。</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三、授课专家</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本期培训班拟邀请《民法典.合同编》专家起草组成员、国家发改委、住建部相关部门及行业协会参与政策法规文件起草、行业规范编写，具有丰富实践经验的专家授课。培训将结合经典案例分析，进行现场答疑和互动交流。</w:t>
      </w:r>
    </w:p>
    <w:p>
      <w:pPr>
        <w:numPr>
          <w:ilvl w:val="0"/>
          <w:numId w:val="1"/>
        </w:num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培训时间</w:t>
      </w:r>
    </w:p>
    <w:p>
      <w:pPr>
        <w:pStyle w:val="22"/>
        <w:spacing w:line="280" w:lineRule="exact"/>
        <w:ind w:left="420" w:firstLine="0" w:firstLineChars="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2021年3月26日—3月30日  地点：重庆（26日全天报到）</w:t>
      </w:r>
    </w:p>
    <w:p>
      <w:pPr>
        <w:pStyle w:val="22"/>
        <w:spacing w:line="280" w:lineRule="exact"/>
        <w:ind w:left="420" w:firstLine="0" w:firstLineChars="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2021年4月16日—4月20日  地点：厦门（16日全天报到）</w:t>
      </w:r>
    </w:p>
    <w:p>
      <w:pPr>
        <w:spacing w:line="280" w:lineRule="exact"/>
        <w:ind w:firstLine="420" w:firstLineChars="15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2021年5月14日—5月18日  地点：郑州（14日全天报到）</w:t>
      </w:r>
    </w:p>
    <w:p>
      <w:pPr>
        <w:spacing w:line="280" w:lineRule="exact"/>
        <w:ind w:firstLine="420" w:firstLineChars="150"/>
        <w:rPr>
          <w:rFonts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2021年5月28日—6月01日  地点：西安（28日全天报到）</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五、收费标准</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A.2980元/人（含培训费、资料费、电子课件、场地、会议期间午餐），住宿统一安排，费用自理。</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B.3980元/人（含证书、培训费、资料费、电子课件、场地、会议期间午餐），住宿统一安排，费用自理。</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C.5980元/人（含证书、培训费、资料费、电子课件、场地、会议期间食宿、交流等）。</w:t>
      </w:r>
    </w:p>
    <w:p>
      <w:pPr>
        <w:tabs>
          <w:tab w:val="left" w:pos="567"/>
          <w:tab w:val="left" w:pos="709"/>
        </w:tabs>
        <w:spacing w:line="28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备注：（不参加线下培训，单独申报证书2800元/人（可以听线上课程）（证书由我会颁发“《工程总包项目经理》、《合同经理》、《采购经理》”。证书报名材料：报名表一份、2寸照电子照片（白底免冠彩照）、身份证复印件一份、学历证书复印件一份。</w:t>
      </w:r>
    </w:p>
    <w:p>
      <w:pPr>
        <w:tabs>
          <w:tab w:val="left" w:pos="567"/>
          <w:tab w:val="left" w:pos="709"/>
        </w:tabs>
        <w:spacing w:line="280" w:lineRule="exact"/>
        <w:textAlignment w:val="baseline"/>
        <w:outlineLvl w:val="0"/>
        <w:rPr>
          <w:rFonts w:ascii="仿宋" w:hAnsi="仿宋" w:eastAsia="仿宋" w:cs="仿宋_GB2312"/>
          <w:b/>
          <w:bCs/>
          <w:color w:val="000000"/>
          <w:sz w:val="28"/>
          <w:szCs w:val="28"/>
        </w:rPr>
      </w:pPr>
      <w:r>
        <w:rPr>
          <w:rFonts w:hint="eastAsia" w:ascii="仿宋" w:hAnsi="仿宋" w:eastAsia="仿宋" w:cs="仿宋_GB2312"/>
          <w:b/>
          <w:bCs/>
          <w:color w:val="000000"/>
          <w:sz w:val="28"/>
          <w:szCs w:val="28"/>
        </w:rPr>
        <w:t>六、报名办法</w:t>
      </w:r>
    </w:p>
    <w:p>
      <w:pPr>
        <w:spacing w:line="360" w:lineRule="exact"/>
        <w:ind w:firstLine="320" w:firstLineChars="100"/>
        <w:jc w:val="both"/>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 xml:space="preserve">报名负责人：聂红军 主任18211071700（微信）   </w:t>
      </w:r>
    </w:p>
    <w:p>
      <w:pPr>
        <w:spacing w:line="360" w:lineRule="exact"/>
        <w:ind w:firstLine="320" w:firstLineChars="100"/>
        <w:jc w:val="both"/>
        <w:rPr>
          <w:rFonts w:hint="eastAsia" w:ascii="仿宋" w:hAnsi="仿宋" w:eastAsia="仿宋" w:cs="仿宋_GB2312"/>
          <w:bCs/>
          <w:color w:val="000000"/>
          <w:sz w:val="32"/>
          <w:szCs w:val="32"/>
        </w:rPr>
      </w:pPr>
      <w:r>
        <w:rPr>
          <w:rFonts w:hint="eastAsia" w:ascii="仿宋" w:hAnsi="仿宋" w:eastAsia="仿宋" w:cs="仿宋_GB2312"/>
          <w:bCs/>
          <w:color w:val="000000"/>
          <w:sz w:val="32"/>
          <w:szCs w:val="32"/>
        </w:rPr>
        <w:t xml:space="preserve">电  话：010-87697580      邮    箱：zqgphwz@126.com  </w:t>
      </w:r>
    </w:p>
    <w:p>
      <w:pPr>
        <w:spacing w:line="360" w:lineRule="exact"/>
        <w:jc w:val="center"/>
        <w:rPr>
          <w:rFonts w:ascii="仿宋" w:hAnsi="仿宋" w:eastAsia="仿宋"/>
          <w:b/>
          <w:sz w:val="30"/>
          <w:szCs w:val="30"/>
        </w:rPr>
      </w:pPr>
      <w:r>
        <w:rPr>
          <w:rFonts w:hint="eastAsia" w:ascii="仿宋" w:hAnsi="仿宋" w:eastAsia="仿宋" w:cs="仿宋_GB2312"/>
          <w:bCs/>
          <w:color w:val="000000"/>
          <w:sz w:val="32"/>
          <w:szCs w:val="32"/>
          <w:lang w:val="en-US" w:eastAsia="zh-CN"/>
        </w:rPr>
        <w:t xml:space="preserve">  </w:t>
      </w:r>
      <w:r>
        <w:rPr>
          <w:rFonts w:hint="eastAsia" w:ascii="仿宋" w:hAnsi="仿宋" w:eastAsia="仿宋" w:cs="仿宋_GB2312"/>
          <w:bCs/>
          <w:color w:val="000000"/>
          <w:sz w:val="32"/>
          <w:szCs w:val="32"/>
        </w:rPr>
        <w:t>qq咨询：3177524020       网址查询：http://www.zqgpchina.cn/</w:t>
      </w:r>
      <w:r>
        <w:rPr>
          <w:rFonts w:hint="eastAsia" w:ascii="仿宋" w:hAnsi="仿宋" w:eastAsia="仿宋" w:cs="仿宋"/>
          <w:b/>
          <w:bCs/>
          <w:sz w:val="28"/>
          <w:szCs w:val="28"/>
        </w:rPr>
        <w:drawing>
          <wp:anchor distT="0" distB="0" distL="114300" distR="114300" simplePos="0" relativeHeight="251661312" behindDoc="0" locked="0" layoutInCell="1" allowOverlap="1">
            <wp:simplePos x="0" y="0"/>
            <wp:positionH relativeFrom="column">
              <wp:posOffset>3743325</wp:posOffset>
            </wp:positionH>
            <wp:positionV relativeFrom="paragraph">
              <wp:posOffset>166370</wp:posOffset>
            </wp:positionV>
            <wp:extent cx="1452245" cy="1442720"/>
            <wp:effectExtent l="19050" t="0" r="0" b="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5">
                      <a:lum bright="22000"/>
                    </a:blip>
                    <a:srcRect/>
                    <a:stretch>
                      <a:fillRect/>
                    </a:stretch>
                  </pic:blipFill>
                  <pic:spPr>
                    <a:xfrm>
                      <a:off x="0" y="0"/>
                      <a:ext cx="1452562" cy="1443037"/>
                    </a:xfrm>
                    <a:prstGeom prst="rect">
                      <a:avLst/>
                    </a:prstGeom>
                    <a:noFill/>
                    <a:ln w="9525">
                      <a:noFill/>
                      <a:miter lim="800000"/>
                      <a:headEnd/>
                      <a:tailEnd/>
                    </a:ln>
                  </pic:spPr>
                </pic:pic>
              </a:graphicData>
            </a:graphic>
          </wp:anchor>
        </w:drawing>
      </w:r>
      <w:r>
        <w:rPr>
          <w:rFonts w:hint="eastAsia" w:ascii="仿宋" w:hAnsi="仿宋" w:eastAsia="仿宋" w:cs="仿宋"/>
          <w:b/>
          <w:bCs/>
          <w:sz w:val="28"/>
          <w:szCs w:val="28"/>
        </w:rPr>
        <w:t>温馨提示：根据国家疫情防控的要求，如遇特殊情况课程会有适当调整。</w:t>
      </w:r>
    </w:p>
    <w:p>
      <w:pPr>
        <w:tabs>
          <w:tab w:val="left" w:pos="567"/>
          <w:tab w:val="left" w:pos="709"/>
        </w:tabs>
        <w:spacing w:line="360" w:lineRule="exact"/>
        <w:ind w:firstLine="420" w:firstLineChars="150"/>
        <w:textAlignment w:val="baseline"/>
        <w:outlineLvl w:val="0"/>
        <w:rPr>
          <w:rFonts w:ascii="仿宋" w:hAnsi="仿宋" w:eastAsia="仿宋" w:cs="仿宋_GB2312"/>
          <w:bCs/>
          <w:color w:val="000000"/>
          <w:sz w:val="28"/>
          <w:szCs w:val="28"/>
        </w:rPr>
      </w:pPr>
    </w:p>
    <w:p>
      <w:pPr>
        <w:tabs>
          <w:tab w:val="left" w:pos="567"/>
          <w:tab w:val="left" w:pos="709"/>
        </w:tabs>
        <w:spacing w:line="36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附件：报名回执表</w:t>
      </w:r>
    </w:p>
    <w:p>
      <w:pPr>
        <w:tabs>
          <w:tab w:val="left" w:pos="567"/>
          <w:tab w:val="left" w:pos="709"/>
        </w:tabs>
        <w:spacing w:line="360" w:lineRule="exact"/>
        <w:ind w:firstLine="5600" w:firstLineChars="200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中国国际工程咨询协会</w:t>
      </w:r>
    </w:p>
    <w:p>
      <w:pPr>
        <w:tabs>
          <w:tab w:val="left" w:pos="567"/>
          <w:tab w:val="left" w:pos="709"/>
        </w:tabs>
        <w:spacing w:line="360" w:lineRule="exact"/>
        <w:ind w:firstLine="420" w:firstLineChars="150"/>
        <w:textAlignment w:val="baseline"/>
        <w:outlineLvl w:val="0"/>
        <w:rPr>
          <w:rFonts w:ascii="仿宋" w:hAnsi="仿宋" w:eastAsia="仿宋" w:cs="仿宋_GB2312"/>
          <w:bCs/>
          <w:color w:val="000000"/>
          <w:sz w:val="28"/>
          <w:szCs w:val="28"/>
        </w:rPr>
      </w:pPr>
      <w:r>
        <w:rPr>
          <w:rFonts w:hint="eastAsia" w:ascii="仿宋" w:hAnsi="仿宋" w:eastAsia="仿宋" w:cs="仿宋_GB2312"/>
          <w:bCs/>
          <w:color w:val="000000"/>
          <w:sz w:val="28"/>
          <w:szCs w:val="28"/>
        </w:rPr>
        <w:t xml:space="preserve">                                       二零二一年一月一日</w:t>
      </w: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textAlignment w:val="baseline"/>
        <w:outlineLvl w:val="0"/>
        <w:rPr>
          <w:rFonts w:ascii="仿宋" w:hAnsi="仿宋" w:eastAsia="仿宋" w:cs="黑体"/>
          <w:b/>
          <w:sz w:val="28"/>
          <w:szCs w:val="28"/>
        </w:rPr>
      </w:pPr>
    </w:p>
    <w:p>
      <w:pPr>
        <w:tabs>
          <w:tab w:val="left" w:pos="567"/>
          <w:tab w:val="left" w:pos="709"/>
        </w:tabs>
        <w:spacing w:line="310" w:lineRule="exact"/>
        <w:jc w:val="both"/>
        <w:textAlignment w:val="baseline"/>
        <w:outlineLvl w:val="0"/>
        <w:rPr>
          <w:rFonts w:hint="eastAsia" w:ascii="仿宋" w:hAnsi="仿宋" w:eastAsia="仿宋" w:cs="黑体"/>
          <w:b/>
          <w:sz w:val="28"/>
          <w:szCs w:val="28"/>
        </w:rPr>
      </w:pPr>
    </w:p>
    <w:p>
      <w:pPr>
        <w:tabs>
          <w:tab w:val="left" w:pos="567"/>
          <w:tab w:val="left" w:pos="709"/>
        </w:tabs>
        <w:spacing w:line="310" w:lineRule="exact"/>
        <w:jc w:val="center"/>
        <w:textAlignment w:val="baseline"/>
        <w:outlineLvl w:val="0"/>
        <w:rPr>
          <w:rFonts w:ascii="仿宋" w:hAnsi="仿宋" w:eastAsia="仿宋" w:cs="黑体"/>
          <w:b/>
          <w:sz w:val="28"/>
          <w:szCs w:val="28"/>
        </w:rPr>
      </w:pPr>
      <w:r>
        <w:rPr>
          <w:rFonts w:hint="eastAsia" w:ascii="仿宋" w:hAnsi="仿宋" w:eastAsia="仿宋" w:cs="黑体"/>
          <w:b/>
          <w:sz w:val="28"/>
          <w:szCs w:val="28"/>
        </w:rPr>
        <w:t>附件：《民法典.工程合同司法解释一》详解与</w:t>
      </w:r>
      <w:r>
        <w:rPr>
          <w:rFonts w:ascii="仿宋" w:hAnsi="仿宋" w:eastAsia="仿宋" w:cs="黑体"/>
          <w:b/>
          <w:sz w:val="28"/>
          <w:szCs w:val="28"/>
        </w:rPr>
        <w:t>新版《建设项目工程总承包合同（示范文本）》下EPC工程总承包项目全过程实战及工程索赔重点、</w:t>
      </w:r>
      <w:r>
        <w:rPr>
          <w:rFonts w:hint="eastAsia" w:ascii="仿宋" w:hAnsi="仿宋" w:eastAsia="仿宋" w:cs="黑体"/>
          <w:b/>
          <w:sz w:val="28"/>
          <w:szCs w:val="28"/>
        </w:rPr>
        <w:t>难点应对与风险防范</w:t>
      </w:r>
      <w:r>
        <w:rPr>
          <w:rFonts w:ascii="仿宋" w:hAnsi="仿宋" w:eastAsia="仿宋" w:cs="黑体"/>
          <w:b/>
          <w:sz w:val="28"/>
          <w:szCs w:val="28"/>
        </w:rPr>
        <w:t>”</w:t>
      </w:r>
      <w:r>
        <w:rPr>
          <w:rFonts w:hint="eastAsia" w:ascii="仿宋" w:hAnsi="仿宋" w:eastAsia="仿宋" w:cs="黑体"/>
          <w:b/>
          <w:sz w:val="28"/>
          <w:szCs w:val="28"/>
        </w:rPr>
        <w:t>高级培训班报名回执表</w:t>
      </w:r>
    </w:p>
    <w:tbl>
      <w:tblPr>
        <w:tblStyle w:val="10"/>
        <w:tblpPr w:leftFromText="180" w:rightFromText="180" w:vertAnchor="page" w:horzAnchor="page" w:tblpX="1087" w:tblpY="2528"/>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847"/>
        <w:gridCol w:w="1281"/>
        <w:gridCol w:w="2140"/>
        <w:gridCol w:w="271"/>
        <w:gridCol w:w="416"/>
        <w:gridCol w:w="6"/>
        <w:gridCol w:w="303"/>
        <w:gridCol w:w="541"/>
        <w:gridCol w:w="292"/>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单位名称</w:t>
            </w:r>
          </w:p>
        </w:tc>
        <w:tc>
          <w:tcPr>
            <w:tcW w:w="4955" w:type="dxa"/>
            <w:gridSpan w:val="5"/>
            <w:vAlign w:val="center"/>
          </w:tcPr>
          <w:p>
            <w:pPr>
              <w:spacing w:line="300" w:lineRule="exact"/>
              <w:ind w:right="-147" w:rightChars="-70"/>
              <w:jc w:val="center"/>
              <w:rPr>
                <w:rFonts w:ascii="仿宋" w:hAnsi="仿宋" w:eastAsia="仿宋"/>
                <w:sz w:val="24"/>
              </w:rPr>
            </w:pPr>
          </w:p>
        </w:tc>
        <w:tc>
          <w:tcPr>
            <w:tcW w:w="850" w:type="dxa"/>
            <w:gridSpan w:val="3"/>
            <w:vAlign w:val="center"/>
          </w:tcPr>
          <w:p>
            <w:pPr>
              <w:spacing w:line="300" w:lineRule="exact"/>
              <w:ind w:right="-147" w:rightChars="-70"/>
              <w:rPr>
                <w:rFonts w:ascii="仿宋" w:hAnsi="仿宋" w:eastAsia="仿宋"/>
                <w:sz w:val="24"/>
              </w:rPr>
            </w:pPr>
            <w:r>
              <w:rPr>
                <w:rFonts w:ascii="仿宋" w:hAnsi="仿宋" w:eastAsia="仿宋"/>
                <w:sz w:val="24"/>
              </w:rPr>
              <w:t>邮编</w:t>
            </w:r>
          </w:p>
        </w:tc>
        <w:tc>
          <w:tcPr>
            <w:tcW w:w="2283" w:type="dxa"/>
            <w:gridSpan w:val="2"/>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单位地址</w:t>
            </w:r>
          </w:p>
        </w:tc>
        <w:tc>
          <w:tcPr>
            <w:tcW w:w="8088" w:type="dxa"/>
            <w:gridSpan w:val="10"/>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联系人</w:t>
            </w:r>
          </w:p>
        </w:tc>
        <w:tc>
          <w:tcPr>
            <w:tcW w:w="2128" w:type="dxa"/>
            <w:gridSpan w:val="2"/>
            <w:vAlign w:val="center"/>
          </w:tcPr>
          <w:p>
            <w:pPr>
              <w:spacing w:line="300" w:lineRule="exact"/>
              <w:ind w:right="-147" w:rightChars="-70" w:firstLine="960"/>
              <w:rPr>
                <w:rFonts w:ascii="仿宋" w:hAnsi="仿宋" w:eastAsia="仿宋"/>
                <w:sz w:val="24"/>
              </w:rPr>
            </w:pPr>
          </w:p>
        </w:tc>
        <w:tc>
          <w:tcPr>
            <w:tcW w:w="2411" w:type="dxa"/>
            <w:gridSpan w:val="2"/>
            <w:vAlign w:val="center"/>
          </w:tcPr>
          <w:p>
            <w:pPr>
              <w:spacing w:line="300" w:lineRule="exact"/>
              <w:ind w:right="-147" w:rightChars="-70"/>
              <w:jc w:val="center"/>
              <w:rPr>
                <w:rFonts w:ascii="仿宋" w:hAnsi="仿宋" w:eastAsia="仿宋"/>
                <w:sz w:val="24"/>
              </w:rPr>
            </w:pPr>
            <w:r>
              <w:rPr>
                <w:rFonts w:ascii="仿宋" w:hAnsi="仿宋" w:eastAsia="仿宋"/>
                <w:sz w:val="24"/>
              </w:rPr>
              <w:t>职位/岗位</w:t>
            </w:r>
          </w:p>
        </w:tc>
        <w:tc>
          <w:tcPr>
            <w:tcW w:w="3549" w:type="dxa"/>
            <w:gridSpan w:val="6"/>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办公电话</w:t>
            </w:r>
          </w:p>
        </w:tc>
        <w:tc>
          <w:tcPr>
            <w:tcW w:w="2128" w:type="dxa"/>
            <w:gridSpan w:val="2"/>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jc w:val="center"/>
              <w:rPr>
                <w:rFonts w:ascii="仿宋" w:hAnsi="仿宋" w:eastAsia="仿宋"/>
                <w:sz w:val="24"/>
              </w:rPr>
            </w:pPr>
            <w:r>
              <w:rPr>
                <w:rFonts w:ascii="仿宋" w:hAnsi="仿宋" w:eastAsia="仿宋"/>
                <w:sz w:val="24"/>
              </w:rPr>
              <w:t>手    机</w:t>
            </w:r>
          </w:p>
        </w:tc>
        <w:tc>
          <w:tcPr>
            <w:tcW w:w="3549" w:type="dxa"/>
            <w:gridSpan w:val="6"/>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传   真</w:t>
            </w:r>
          </w:p>
        </w:tc>
        <w:tc>
          <w:tcPr>
            <w:tcW w:w="2128" w:type="dxa"/>
            <w:gridSpan w:val="2"/>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jc w:val="center"/>
              <w:rPr>
                <w:rFonts w:ascii="仿宋" w:hAnsi="仿宋" w:eastAsia="仿宋"/>
                <w:sz w:val="24"/>
              </w:rPr>
            </w:pPr>
            <w:r>
              <w:rPr>
                <w:rFonts w:ascii="仿宋" w:hAnsi="仿宋" w:eastAsia="仿宋"/>
                <w:sz w:val="24"/>
              </w:rPr>
              <w:t>电子信箱</w:t>
            </w:r>
          </w:p>
        </w:tc>
        <w:tc>
          <w:tcPr>
            <w:tcW w:w="3549" w:type="dxa"/>
            <w:gridSpan w:val="6"/>
            <w:vAlign w:val="center"/>
          </w:tcPr>
          <w:p>
            <w:pPr>
              <w:spacing w:line="300" w:lineRule="exact"/>
              <w:ind w:right="-147" w:rightChars="-70" w:firstLine="96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4" w:type="dxa"/>
            <w:vAlign w:val="center"/>
          </w:tcPr>
          <w:p>
            <w:pPr>
              <w:spacing w:line="300" w:lineRule="exact"/>
              <w:ind w:right="-147" w:rightChars="-70"/>
              <w:jc w:val="center"/>
              <w:rPr>
                <w:rFonts w:ascii="仿宋" w:hAnsi="仿宋" w:eastAsia="仿宋"/>
                <w:sz w:val="24"/>
              </w:rPr>
            </w:pPr>
            <w:r>
              <w:rPr>
                <w:rFonts w:ascii="仿宋" w:hAnsi="仿宋" w:eastAsia="仿宋"/>
                <w:sz w:val="24"/>
              </w:rPr>
              <w:t>参加培训人员</w:t>
            </w:r>
          </w:p>
        </w:tc>
        <w:tc>
          <w:tcPr>
            <w:tcW w:w="847" w:type="dxa"/>
            <w:vAlign w:val="center"/>
          </w:tcPr>
          <w:p>
            <w:pPr>
              <w:spacing w:line="300" w:lineRule="exact"/>
              <w:ind w:right="-147" w:rightChars="-70"/>
              <w:jc w:val="center"/>
              <w:rPr>
                <w:rFonts w:ascii="仿宋" w:hAnsi="仿宋" w:eastAsia="仿宋"/>
                <w:sz w:val="24"/>
              </w:rPr>
            </w:pPr>
            <w:r>
              <w:rPr>
                <w:rFonts w:ascii="仿宋" w:hAnsi="仿宋" w:eastAsia="仿宋"/>
                <w:sz w:val="24"/>
              </w:rPr>
              <w:t>性别</w:t>
            </w:r>
          </w:p>
        </w:tc>
        <w:tc>
          <w:tcPr>
            <w:tcW w:w="1281" w:type="dxa"/>
            <w:vAlign w:val="center"/>
          </w:tcPr>
          <w:p>
            <w:pPr>
              <w:spacing w:line="300" w:lineRule="exact"/>
              <w:ind w:right="-147" w:rightChars="-70"/>
              <w:jc w:val="center"/>
              <w:rPr>
                <w:rFonts w:ascii="仿宋" w:hAnsi="仿宋" w:eastAsia="仿宋"/>
                <w:sz w:val="24"/>
              </w:rPr>
            </w:pPr>
            <w:r>
              <w:rPr>
                <w:rFonts w:ascii="仿宋" w:hAnsi="仿宋" w:eastAsia="仿宋"/>
                <w:sz w:val="24"/>
              </w:rPr>
              <w:t>职务</w:t>
            </w:r>
          </w:p>
        </w:tc>
        <w:tc>
          <w:tcPr>
            <w:tcW w:w="2411" w:type="dxa"/>
            <w:gridSpan w:val="2"/>
            <w:vAlign w:val="center"/>
          </w:tcPr>
          <w:p>
            <w:pPr>
              <w:spacing w:line="300" w:lineRule="exact"/>
              <w:ind w:right="-147" w:rightChars="-70"/>
              <w:jc w:val="center"/>
              <w:rPr>
                <w:rFonts w:ascii="仿宋" w:hAnsi="仿宋" w:eastAsia="仿宋"/>
                <w:sz w:val="24"/>
              </w:rPr>
            </w:pPr>
            <w:r>
              <w:rPr>
                <w:rFonts w:ascii="仿宋" w:hAnsi="仿宋" w:eastAsia="仿宋"/>
                <w:sz w:val="24"/>
              </w:rPr>
              <w:t>电话</w:t>
            </w:r>
          </w:p>
        </w:tc>
        <w:tc>
          <w:tcPr>
            <w:tcW w:w="1558" w:type="dxa"/>
            <w:gridSpan w:val="5"/>
            <w:vAlign w:val="center"/>
          </w:tcPr>
          <w:p>
            <w:pPr>
              <w:spacing w:line="300" w:lineRule="exact"/>
              <w:ind w:right="-147" w:rightChars="-70"/>
              <w:jc w:val="center"/>
              <w:rPr>
                <w:rFonts w:ascii="仿宋" w:hAnsi="仿宋" w:eastAsia="仿宋"/>
                <w:sz w:val="24"/>
              </w:rPr>
            </w:pPr>
            <w:r>
              <w:rPr>
                <w:rFonts w:ascii="仿宋" w:hAnsi="仿宋" w:eastAsia="仿宋"/>
                <w:sz w:val="24"/>
              </w:rPr>
              <w:t>手机</w:t>
            </w:r>
          </w:p>
        </w:tc>
        <w:tc>
          <w:tcPr>
            <w:tcW w:w="1991" w:type="dxa"/>
            <w:vAlign w:val="center"/>
          </w:tcPr>
          <w:p>
            <w:pPr>
              <w:spacing w:line="300" w:lineRule="exact"/>
              <w:ind w:right="-147" w:rightChars="-70"/>
              <w:jc w:val="center"/>
              <w:rPr>
                <w:rFonts w:ascii="仿宋" w:hAnsi="仿宋" w:eastAsia="仿宋"/>
                <w:sz w:val="24"/>
              </w:rPr>
            </w:pPr>
            <w:r>
              <w:rPr>
                <w:rFonts w:ascii="仿宋" w:hAnsi="仿宋" w:eastAsia="仿宋"/>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p>
        </w:tc>
        <w:tc>
          <w:tcPr>
            <w:tcW w:w="847" w:type="dxa"/>
            <w:vAlign w:val="center"/>
          </w:tcPr>
          <w:p>
            <w:pPr>
              <w:spacing w:line="300" w:lineRule="exact"/>
              <w:ind w:right="-147" w:rightChars="-70"/>
              <w:rPr>
                <w:rFonts w:ascii="仿宋" w:hAnsi="仿宋" w:eastAsia="仿宋"/>
                <w:sz w:val="24"/>
              </w:rPr>
            </w:pPr>
          </w:p>
        </w:tc>
        <w:tc>
          <w:tcPr>
            <w:tcW w:w="1281" w:type="dxa"/>
            <w:vAlign w:val="center"/>
          </w:tcPr>
          <w:p>
            <w:pPr>
              <w:spacing w:line="300" w:lineRule="exact"/>
              <w:ind w:right="-147" w:rightChars="-70"/>
              <w:rPr>
                <w:rFonts w:ascii="仿宋" w:hAnsi="仿宋" w:eastAsia="仿宋"/>
                <w:sz w:val="24"/>
              </w:rPr>
            </w:pPr>
          </w:p>
        </w:tc>
        <w:tc>
          <w:tcPr>
            <w:tcW w:w="2411" w:type="dxa"/>
            <w:gridSpan w:val="2"/>
            <w:vAlign w:val="center"/>
          </w:tcPr>
          <w:p>
            <w:pPr>
              <w:spacing w:line="300" w:lineRule="exact"/>
              <w:ind w:right="-147" w:rightChars="-70"/>
              <w:rPr>
                <w:rFonts w:ascii="仿宋" w:hAnsi="仿宋" w:eastAsia="仿宋"/>
                <w:sz w:val="24"/>
              </w:rPr>
            </w:pPr>
          </w:p>
        </w:tc>
        <w:tc>
          <w:tcPr>
            <w:tcW w:w="1558" w:type="dxa"/>
            <w:gridSpan w:val="5"/>
            <w:vAlign w:val="center"/>
          </w:tcPr>
          <w:p>
            <w:pPr>
              <w:spacing w:line="300" w:lineRule="exact"/>
              <w:ind w:right="-147" w:rightChars="-70"/>
              <w:rPr>
                <w:rFonts w:ascii="仿宋" w:hAnsi="仿宋" w:eastAsia="仿宋"/>
                <w:sz w:val="24"/>
              </w:rPr>
            </w:pPr>
          </w:p>
        </w:tc>
        <w:tc>
          <w:tcPr>
            <w:tcW w:w="1991" w:type="dxa"/>
            <w:vAlign w:val="center"/>
          </w:tcPr>
          <w:p>
            <w:pPr>
              <w:spacing w:line="300" w:lineRule="exact"/>
              <w:ind w:right="-147" w:rightChars="-7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rPr>
                <w:rFonts w:ascii="仿宋" w:hAnsi="仿宋" w:eastAsia="仿宋"/>
                <w:sz w:val="24"/>
              </w:rPr>
            </w:pPr>
            <w:r>
              <w:rPr>
                <w:rFonts w:hint="eastAsia" w:ascii="仿宋" w:hAnsi="仿宋" w:eastAsia="仿宋"/>
                <w:sz w:val="24"/>
              </w:rPr>
              <w:t>是否住宿</w:t>
            </w:r>
          </w:p>
        </w:tc>
        <w:tc>
          <w:tcPr>
            <w:tcW w:w="2128" w:type="dxa"/>
            <w:gridSpan w:val="2"/>
            <w:vAlign w:val="center"/>
          </w:tcPr>
          <w:p>
            <w:pPr>
              <w:spacing w:line="300" w:lineRule="exact"/>
              <w:ind w:right="-147" w:rightChars="-70"/>
              <w:rPr>
                <w:rFonts w:ascii="仿宋" w:hAnsi="仿宋" w:eastAsia="仿宋"/>
                <w:sz w:val="24"/>
              </w:rPr>
            </w:pPr>
            <w:r>
              <w:rPr>
                <w:rFonts w:hint="eastAsia" w:ascii="仿宋" w:hAnsi="仿宋" w:eastAsia="仿宋"/>
                <w:sz w:val="24"/>
              </w:rPr>
              <w:t>是□    否□</w:t>
            </w:r>
          </w:p>
        </w:tc>
        <w:tc>
          <w:tcPr>
            <w:tcW w:w="2411" w:type="dxa"/>
            <w:gridSpan w:val="2"/>
            <w:vAlign w:val="center"/>
          </w:tcPr>
          <w:p>
            <w:pPr>
              <w:spacing w:line="300" w:lineRule="exact"/>
              <w:ind w:right="-147" w:rightChars="-70"/>
              <w:rPr>
                <w:rFonts w:ascii="仿宋" w:hAnsi="仿宋" w:eastAsia="仿宋"/>
                <w:sz w:val="24"/>
              </w:rPr>
            </w:pPr>
            <w:r>
              <w:rPr>
                <w:rFonts w:hint="eastAsia" w:ascii="仿宋" w:hAnsi="仿宋" w:eastAsia="仿宋"/>
                <w:sz w:val="24"/>
              </w:rPr>
              <w:t>住宿标准</w:t>
            </w:r>
          </w:p>
        </w:tc>
        <w:tc>
          <w:tcPr>
            <w:tcW w:w="3549" w:type="dxa"/>
            <w:gridSpan w:val="6"/>
            <w:vAlign w:val="center"/>
          </w:tcPr>
          <w:p>
            <w:pPr>
              <w:spacing w:line="300" w:lineRule="exact"/>
              <w:ind w:right="-147" w:rightChars="-70"/>
              <w:rPr>
                <w:rFonts w:ascii="仿宋" w:hAnsi="仿宋" w:eastAsia="仿宋"/>
                <w:sz w:val="24"/>
              </w:rPr>
            </w:pPr>
            <w:r>
              <w:rPr>
                <w:rFonts w:ascii="仿宋" w:hAnsi="仿宋" w:eastAsia="仿宋"/>
              </w:rPr>
              <w:t>□</w:t>
            </w:r>
            <w:r>
              <w:rPr>
                <w:rFonts w:hint="eastAsia" w:ascii="仿宋" w:hAnsi="仿宋" w:eastAsia="仿宋"/>
              </w:rPr>
              <w:t xml:space="preserve">单住(需另补床位费)     </w:t>
            </w:r>
            <w:r>
              <w:rPr>
                <w:rFonts w:ascii="仿宋" w:hAnsi="仿宋" w:eastAsia="仿宋"/>
              </w:rPr>
              <w:t>□</w:t>
            </w:r>
            <w:r>
              <w:rPr>
                <w:rFonts w:hint="eastAsia" w:ascii="仿宋" w:hAnsi="仿宋" w:eastAsia="仿宋"/>
              </w:rPr>
              <w:t>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664" w:type="dxa"/>
            <w:vAlign w:val="center"/>
          </w:tcPr>
          <w:p>
            <w:pPr>
              <w:spacing w:line="300" w:lineRule="exact"/>
              <w:ind w:right="-147" w:rightChars="-70" w:firstLine="240" w:firstLineChars="100"/>
              <w:rPr>
                <w:rFonts w:ascii="仿宋" w:hAnsi="仿宋" w:eastAsia="仿宋"/>
                <w:sz w:val="24"/>
              </w:rPr>
            </w:pPr>
            <w:r>
              <w:rPr>
                <w:rFonts w:hint="eastAsia" w:ascii="仿宋" w:hAnsi="仿宋" w:eastAsia="仿宋"/>
                <w:sz w:val="24"/>
              </w:rPr>
              <w:t>地点选择</w:t>
            </w:r>
          </w:p>
        </w:tc>
        <w:tc>
          <w:tcPr>
            <w:tcW w:w="2128" w:type="dxa"/>
            <w:gridSpan w:val="2"/>
            <w:vAlign w:val="center"/>
          </w:tcPr>
          <w:p>
            <w:pPr>
              <w:spacing w:line="300" w:lineRule="exact"/>
              <w:ind w:right="-147" w:rightChars="-70" w:firstLine="840" w:firstLineChars="350"/>
              <w:rPr>
                <w:rFonts w:ascii="仿宋" w:hAnsi="仿宋" w:eastAsia="仿宋"/>
                <w:sz w:val="24"/>
              </w:rPr>
            </w:pPr>
          </w:p>
        </w:tc>
        <w:tc>
          <w:tcPr>
            <w:tcW w:w="2411" w:type="dxa"/>
            <w:gridSpan w:val="2"/>
            <w:vAlign w:val="center"/>
          </w:tcPr>
          <w:p>
            <w:pPr>
              <w:spacing w:line="300" w:lineRule="exact"/>
              <w:ind w:right="-147" w:rightChars="-70" w:firstLine="840" w:firstLineChars="350"/>
              <w:rPr>
                <w:rFonts w:ascii="仿宋" w:hAnsi="仿宋" w:eastAsia="仿宋"/>
                <w:sz w:val="24"/>
              </w:rPr>
            </w:pPr>
            <w:r>
              <w:rPr>
                <w:rFonts w:hint="eastAsia" w:ascii="仿宋" w:hAnsi="仿宋" w:eastAsia="仿宋"/>
                <w:sz w:val="24"/>
              </w:rPr>
              <w:t>证书申报</w:t>
            </w:r>
          </w:p>
        </w:tc>
        <w:tc>
          <w:tcPr>
            <w:tcW w:w="3549" w:type="dxa"/>
            <w:gridSpan w:val="6"/>
            <w:vAlign w:val="center"/>
          </w:tcPr>
          <w:p>
            <w:pPr>
              <w:spacing w:line="300" w:lineRule="exact"/>
              <w:ind w:right="-147" w:rightChars="-70"/>
              <w:rPr>
                <w:rFonts w:ascii="仿宋" w:hAnsi="仿宋" w:eastAsia="仿宋"/>
                <w:sz w:val="24"/>
              </w:rPr>
            </w:pPr>
            <w:r>
              <w:rPr>
                <w:rFonts w:hint="eastAsia" w:ascii="仿宋" w:hAnsi="仿宋" w:eastAsia="仿宋"/>
                <w:sz w:val="24"/>
              </w:rPr>
              <w:t xml:space="preserve">采购经理□ </w:t>
            </w:r>
          </w:p>
          <w:p>
            <w:pPr>
              <w:spacing w:line="300" w:lineRule="exact"/>
              <w:ind w:right="-147" w:rightChars="-70"/>
              <w:rPr>
                <w:rFonts w:ascii="仿宋" w:hAnsi="仿宋" w:eastAsia="仿宋"/>
                <w:sz w:val="24"/>
              </w:rPr>
            </w:pPr>
            <w:r>
              <w:rPr>
                <w:rFonts w:hint="eastAsia" w:ascii="仿宋" w:hAnsi="仿宋" w:eastAsia="仿宋"/>
                <w:sz w:val="24"/>
              </w:rPr>
              <w:t xml:space="preserve">合同经理□    </w:t>
            </w:r>
          </w:p>
          <w:p>
            <w:pPr>
              <w:spacing w:line="300" w:lineRule="exact"/>
              <w:ind w:right="-147" w:rightChars="-70"/>
              <w:rPr>
                <w:rFonts w:ascii="仿宋" w:hAnsi="仿宋" w:eastAsia="仿宋"/>
                <w:sz w:val="24"/>
              </w:rPr>
            </w:pPr>
            <w:r>
              <w:rPr>
                <w:rFonts w:hint="eastAsia" w:ascii="仿宋" w:hAnsi="仿宋" w:eastAsia="仿宋"/>
                <w:sz w:val="24"/>
              </w:rPr>
              <w:t>工程总承包</w:t>
            </w:r>
            <w:r>
              <w:rPr>
                <w:rFonts w:hint="eastAsia" w:ascii="仿宋" w:hAnsi="仿宋" w:eastAsia="仿宋"/>
                <w:sz w:val="24"/>
                <w:lang w:eastAsia="zh-CN"/>
              </w:rPr>
              <w:t>项目</w:t>
            </w:r>
            <w:r>
              <w:rPr>
                <w:rFonts w:hint="eastAsia" w:ascii="仿宋" w:hAnsi="仿宋" w:eastAsia="仿宋"/>
                <w:sz w:val="24"/>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4" w:type="dxa"/>
            <w:vAlign w:val="center"/>
          </w:tcPr>
          <w:p>
            <w:pPr>
              <w:spacing w:line="300" w:lineRule="exact"/>
              <w:ind w:right="-147" w:rightChars="-70" w:firstLine="240" w:firstLineChars="100"/>
              <w:rPr>
                <w:rFonts w:ascii="仿宋" w:hAnsi="仿宋" w:eastAsia="仿宋"/>
                <w:sz w:val="24"/>
              </w:rPr>
            </w:pPr>
            <w:r>
              <w:rPr>
                <w:rFonts w:hint="eastAsia" w:ascii="仿宋" w:hAnsi="仿宋" w:eastAsia="仿宋"/>
                <w:sz w:val="24"/>
              </w:rPr>
              <w:t>标准选项</w:t>
            </w:r>
            <w:r>
              <w:rPr>
                <w:rFonts w:hint="eastAsia" w:ascii="仿宋" w:hAnsi="仿宋" w:eastAsia="仿宋"/>
                <w:sz w:val="24"/>
              </w:rPr>
              <w:tab/>
            </w:r>
          </w:p>
        </w:tc>
        <w:tc>
          <w:tcPr>
            <w:tcW w:w="8088" w:type="dxa"/>
            <w:gridSpan w:val="10"/>
            <w:vAlign w:val="center"/>
          </w:tcPr>
          <w:p>
            <w:pPr>
              <w:spacing w:line="300" w:lineRule="exact"/>
              <w:ind w:right="-147" w:rightChars="-70"/>
              <w:rPr>
                <w:rFonts w:ascii="仿宋" w:hAnsi="仿宋" w:eastAsia="仿宋"/>
                <w:sz w:val="24"/>
              </w:rPr>
            </w:pPr>
            <w:r>
              <w:rPr>
                <w:rFonts w:hint="eastAsia" w:ascii="仿宋" w:hAnsi="仿宋" w:eastAsia="仿宋"/>
                <w:sz w:val="24"/>
              </w:rPr>
              <w:t>A、2980元/人□  B、3980元/人□  C、5980元/人□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4" w:type="dxa"/>
          </w:tcPr>
          <w:p>
            <w:pPr>
              <w:spacing w:line="300" w:lineRule="exact"/>
              <w:ind w:right="-147" w:rightChars="-70"/>
              <w:jc w:val="center"/>
              <w:rPr>
                <w:rFonts w:ascii="仿宋" w:hAnsi="仿宋" w:eastAsia="仿宋"/>
                <w:bCs/>
                <w:sz w:val="24"/>
              </w:rPr>
            </w:pPr>
            <w:r>
              <w:rPr>
                <w:rFonts w:ascii="仿宋" w:hAnsi="仿宋" w:eastAsia="仿宋"/>
                <w:bCs/>
                <w:sz w:val="24"/>
              </w:rPr>
              <w:t>付款方式</w:t>
            </w:r>
          </w:p>
        </w:tc>
        <w:tc>
          <w:tcPr>
            <w:tcW w:w="4268" w:type="dxa"/>
            <w:gridSpan w:val="3"/>
          </w:tcPr>
          <w:p>
            <w:pPr>
              <w:widowControl/>
              <w:spacing w:line="300" w:lineRule="exact"/>
              <w:ind w:right="-147" w:rightChars="-70"/>
              <w:jc w:val="center"/>
              <w:rPr>
                <w:rFonts w:ascii="仿宋" w:hAnsi="仿宋" w:eastAsia="仿宋"/>
                <w:sz w:val="24"/>
              </w:rPr>
            </w:pPr>
            <w:r>
              <w:rPr>
                <w:rFonts w:ascii="仿宋" w:hAnsi="仿宋" w:eastAsia="仿宋"/>
                <w:sz w:val="24"/>
              </w:rPr>
              <w:t xml:space="preserve">□通过银行     □通过网银 </w:t>
            </w:r>
          </w:p>
        </w:tc>
        <w:tc>
          <w:tcPr>
            <w:tcW w:w="996" w:type="dxa"/>
            <w:gridSpan w:val="4"/>
          </w:tcPr>
          <w:p>
            <w:pPr>
              <w:widowControl/>
              <w:spacing w:line="300" w:lineRule="exact"/>
              <w:ind w:right="-147" w:rightChars="-70"/>
              <w:jc w:val="center"/>
              <w:rPr>
                <w:rFonts w:ascii="仿宋" w:hAnsi="仿宋" w:eastAsia="仿宋"/>
                <w:sz w:val="24"/>
              </w:rPr>
            </w:pPr>
            <w:r>
              <w:rPr>
                <w:rFonts w:ascii="仿宋" w:hAnsi="仿宋" w:eastAsia="仿宋"/>
                <w:sz w:val="24"/>
              </w:rPr>
              <w:t>金额</w:t>
            </w:r>
          </w:p>
        </w:tc>
        <w:tc>
          <w:tcPr>
            <w:tcW w:w="2824" w:type="dxa"/>
            <w:gridSpan w:val="3"/>
          </w:tcPr>
          <w:p>
            <w:pPr>
              <w:widowControl/>
              <w:spacing w:line="300" w:lineRule="exact"/>
              <w:ind w:right="-147" w:rightChars="-7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4" w:type="dxa"/>
          </w:tcPr>
          <w:p>
            <w:pPr>
              <w:spacing w:line="300" w:lineRule="exact"/>
              <w:ind w:right="-147" w:rightChars="-70"/>
              <w:rPr>
                <w:rFonts w:ascii="仿宋" w:hAnsi="仿宋" w:eastAsia="仿宋"/>
                <w:bCs/>
                <w:sz w:val="24"/>
              </w:rPr>
            </w:pPr>
          </w:p>
          <w:p>
            <w:pPr>
              <w:spacing w:line="300" w:lineRule="exact"/>
              <w:ind w:right="-147" w:rightChars="-70"/>
              <w:rPr>
                <w:rFonts w:ascii="仿宋" w:hAnsi="仿宋" w:eastAsia="仿宋"/>
                <w:bCs/>
                <w:sz w:val="24"/>
              </w:rPr>
            </w:pPr>
            <w:r>
              <w:rPr>
                <w:rFonts w:hint="eastAsia" w:ascii="仿宋" w:hAnsi="仿宋" w:eastAsia="仿宋"/>
                <w:bCs/>
                <w:sz w:val="24"/>
              </w:rPr>
              <w:t>汇款方式</w:t>
            </w:r>
          </w:p>
        </w:tc>
        <w:tc>
          <w:tcPr>
            <w:tcW w:w="8088" w:type="dxa"/>
            <w:gridSpan w:val="10"/>
          </w:tcPr>
          <w:p>
            <w:pPr>
              <w:spacing w:line="300" w:lineRule="exact"/>
              <w:rPr>
                <w:rFonts w:ascii="仿宋" w:hAnsi="仿宋" w:eastAsia="仿宋" w:cs="仿宋"/>
                <w:sz w:val="24"/>
              </w:rPr>
            </w:pPr>
            <w:r>
              <w:rPr>
                <w:rFonts w:hint="eastAsia" w:ascii="仿宋" w:hAnsi="仿宋" w:eastAsia="仿宋" w:cs="仿宋"/>
                <w:sz w:val="24"/>
              </w:rPr>
              <w:t xml:space="preserve">单位名称：北京中建科信管理咨询集团有限公司 </w:t>
            </w:r>
          </w:p>
          <w:p>
            <w:pPr>
              <w:spacing w:line="300" w:lineRule="exact"/>
              <w:rPr>
                <w:rFonts w:ascii="仿宋" w:hAnsi="仿宋" w:eastAsia="仿宋" w:cs="仿宋"/>
                <w:sz w:val="24"/>
              </w:rPr>
            </w:pPr>
            <w:r>
              <w:rPr>
                <w:rFonts w:hint="eastAsia" w:ascii="仿宋" w:hAnsi="仿宋" w:eastAsia="仿宋" w:cs="仿宋"/>
                <w:sz w:val="24"/>
              </w:rPr>
              <w:t xml:space="preserve">开 户 行：中国工商银行股份有限公司北京翠微路支行 </w:t>
            </w:r>
          </w:p>
          <w:p>
            <w:pPr>
              <w:spacing w:line="300" w:lineRule="exact"/>
              <w:rPr>
                <w:rFonts w:ascii="仿宋" w:hAnsi="仿宋" w:eastAsia="仿宋" w:cs="仿宋"/>
                <w:sz w:val="24"/>
              </w:rPr>
            </w:pPr>
            <w:r>
              <w:rPr>
                <w:rFonts w:hint="eastAsia" w:ascii="仿宋" w:hAnsi="仿宋" w:eastAsia="仿宋" w:cs="仿宋"/>
                <w:sz w:val="24"/>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4" w:type="dxa"/>
            <w:vAlign w:val="center"/>
          </w:tcPr>
          <w:p>
            <w:pPr>
              <w:spacing w:line="300" w:lineRule="exact"/>
              <w:rPr>
                <w:rFonts w:ascii="仿宋" w:hAnsi="仿宋" w:eastAsia="仿宋"/>
                <w:sz w:val="24"/>
              </w:rPr>
            </w:pPr>
            <w:r>
              <w:rPr>
                <w:rFonts w:hint="eastAsia" w:ascii="仿宋" w:hAnsi="仿宋" w:eastAsia="仿宋"/>
                <w:bCs/>
                <w:sz w:val="24"/>
              </w:rPr>
              <w:t>发票类别</w:t>
            </w:r>
          </w:p>
        </w:tc>
        <w:tc>
          <w:tcPr>
            <w:tcW w:w="8088" w:type="dxa"/>
            <w:gridSpan w:val="10"/>
          </w:tcPr>
          <w:p>
            <w:pPr>
              <w:spacing w:line="300" w:lineRule="exact"/>
              <w:rPr>
                <w:rFonts w:ascii="仿宋" w:hAnsi="仿宋" w:eastAsia="仿宋"/>
                <w:bCs/>
                <w:sz w:val="24"/>
              </w:rPr>
            </w:pPr>
            <w:r>
              <w:rPr>
                <w:rFonts w:hint="eastAsia" w:ascii="仿宋" w:hAnsi="仿宋" w:eastAsia="仿宋"/>
                <w:bCs/>
                <w:sz w:val="24"/>
              </w:rPr>
              <w:t>增值税（□普通□专用）发票,开票信息如下：</w:t>
            </w:r>
          </w:p>
          <w:p>
            <w:pPr>
              <w:spacing w:line="300" w:lineRule="exact"/>
              <w:rPr>
                <w:rFonts w:ascii="仿宋" w:hAnsi="仿宋" w:eastAsia="仿宋"/>
                <w:bCs/>
                <w:sz w:val="24"/>
              </w:rPr>
            </w:pPr>
            <w:r>
              <w:rPr>
                <w:rFonts w:hint="eastAsia" w:ascii="仿宋" w:hAnsi="仿宋" w:eastAsia="仿宋"/>
                <w:bCs/>
                <w:sz w:val="24"/>
              </w:rPr>
              <w:t>单 位 名 称：</w:t>
            </w:r>
          </w:p>
          <w:p>
            <w:pPr>
              <w:spacing w:line="300" w:lineRule="exact"/>
              <w:rPr>
                <w:rFonts w:ascii="仿宋" w:hAnsi="仿宋" w:eastAsia="仿宋"/>
                <w:bCs/>
                <w:sz w:val="24"/>
              </w:rPr>
            </w:pPr>
            <w:r>
              <w:rPr>
                <w:rFonts w:hint="eastAsia" w:ascii="仿宋" w:hAnsi="仿宋" w:eastAsia="仿宋"/>
                <w:bCs/>
                <w:sz w:val="24"/>
              </w:rPr>
              <w:t>税       号：</w:t>
            </w:r>
          </w:p>
          <w:p>
            <w:pPr>
              <w:spacing w:line="300" w:lineRule="exact"/>
              <w:rPr>
                <w:rFonts w:ascii="仿宋" w:hAnsi="仿宋" w:eastAsia="仿宋"/>
                <w:bCs/>
                <w:sz w:val="24"/>
              </w:rPr>
            </w:pPr>
            <w:r>
              <w:rPr>
                <w:rFonts w:hint="eastAsia" w:ascii="仿宋" w:hAnsi="仿宋" w:eastAsia="仿宋"/>
                <w:bCs/>
                <w:sz w:val="24"/>
              </w:rPr>
              <w:t>地址、 电话：</w:t>
            </w:r>
          </w:p>
          <w:p>
            <w:pPr>
              <w:spacing w:line="300" w:lineRule="exact"/>
              <w:rPr>
                <w:rFonts w:ascii="仿宋" w:hAnsi="仿宋" w:eastAsia="仿宋"/>
                <w:bCs/>
                <w:sz w:val="24"/>
              </w:rPr>
            </w:pPr>
            <w:r>
              <w:rPr>
                <w:rFonts w:hint="eastAsia" w:ascii="仿宋" w:hAnsi="仿宋" w:eastAsia="仿宋"/>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4" w:type="dxa"/>
            <w:vAlign w:val="center"/>
          </w:tcPr>
          <w:p>
            <w:pPr>
              <w:spacing w:line="300" w:lineRule="exact"/>
              <w:ind w:right="-147" w:rightChars="-70"/>
              <w:jc w:val="center"/>
              <w:rPr>
                <w:rFonts w:ascii="仿宋" w:hAnsi="仿宋" w:eastAsia="仿宋"/>
                <w:bCs/>
                <w:sz w:val="24"/>
              </w:rPr>
            </w:pPr>
            <w:r>
              <w:rPr>
                <w:rFonts w:ascii="仿宋" w:hAnsi="仿宋" w:eastAsia="仿宋"/>
                <w:sz w:val="24"/>
              </w:rPr>
              <w:t>备注</w:t>
            </w:r>
          </w:p>
        </w:tc>
        <w:tc>
          <w:tcPr>
            <w:tcW w:w="4961" w:type="dxa"/>
            <w:gridSpan w:val="6"/>
            <w:vAlign w:val="center"/>
          </w:tcPr>
          <w:p>
            <w:pPr>
              <w:spacing w:line="300" w:lineRule="exact"/>
              <w:ind w:right="-147" w:rightChars="-70"/>
              <w:rPr>
                <w:rFonts w:ascii="仿宋" w:hAnsi="仿宋" w:eastAsia="仿宋"/>
                <w:sz w:val="24"/>
              </w:rPr>
            </w:pPr>
            <w:r>
              <w:rPr>
                <w:rFonts w:ascii="仿宋" w:hAnsi="仿宋" w:eastAsia="仿宋"/>
                <w:sz w:val="24"/>
              </w:rPr>
              <w:tab/>
            </w:r>
            <w:r>
              <w:rPr>
                <w:rFonts w:ascii="仿宋" w:hAnsi="仿宋" w:eastAsia="仿宋"/>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127" w:type="dxa"/>
            <w:gridSpan w:val="4"/>
            <w:vAlign w:val="center"/>
          </w:tcPr>
          <w:p>
            <w:pPr>
              <w:spacing w:line="300" w:lineRule="exact"/>
              <w:ind w:right="-147" w:rightChars="-70" w:firstLine="1080" w:firstLineChars="450"/>
              <w:rPr>
                <w:rFonts w:ascii="仿宋" w:hAnsi="仿宋" w:eastAsia="仿宋"/>
                <w:sz w:val="24"/>
              </w:rPr>
            </w:pPr>
            <w:r>
              <w:rPr>
                <w:rFonts w:ascii="仿宋" w:hAnsi="仿宋" w:eastAsia="仿宋"/>
                <w:sz w:val="24"/>
              </w:rPr>
              <w:t>单位印章</w:t>
            </w:r>
          </w:p>
          <w:p>
            <w:pPr>
              <w:spacing w:line="300" w:lineRule="exact"/>
              <w:ind w:right="-147" w:rightChars="-70" w:firstLine="240" w:firstLineChars="100"/>
              <w:rPr>
                <w:rFonts w:ascii="仿宋" w:hAnsi="仿宋" w:eastAsia="仿宋"/>
                <w:sz w:val="24"/>
              </w:rPr>
            </w:pPr>
            <w:r>
              <w:rPr>
                <w:rFonts w:hint="eastAsia" w:ascii="仿宋" w:hAnsi="仿宋" w:eastAsia="仿宋"/>
                <w:sz w:val="24"/>
              </w:rPr>
              <w:t>二〇二一</w:t>
            </w:r>
            <w:r>
              <w:rPr>
                <w:rFonts w:ascii="仿宋" w:hAnsi="仿宋" w:eastAsia="仿宋"/>
                <w:sz w:val="24"/>
              </w:rPr>
              <w:t>年  月  日</w:t>
            </w:r>
          </w:p>
        </w:tc>
      </w:tr>
    </w:tbl>
    <w:p>
      <w:pPr>
        <w:spacing w:line="300" w:lineRule="exact"/>
        <w:ind w:right="-147" w:rightChars="-70"/>
        <w:rPr>
          <w:rFonts w:ascii="仿宋" w:hAnsi="仿宋" w:eastAsia="仿宋"/>
          <w:color w:val="auto"/>
          <w:sz w:val="24"/>
        </w:rPr>
      </w:pPr>
      <w:r>
        <w:rPr>
          <w:rFonts w:hint="eastAsia" w:ascii="仿宋" w:hAnsi="仿宋" w:eastAsia="仿宋"/>
          <w:color w:val="auto"/>
          <w:sz w:val="24"/>
        </w:rPr>
        <w:t>备注：培训班名额有限,请尽早报名，额满为止。</w:t>
      </w:r>
    </w:p>
    <w:p>
      <w:pPr>
        <w:spacing w:line="300" w:lineRule="exact"/>
        <w:ind w:right="-147" w:rightChars="-70"/>
        <w:rPr>
          <w:rFonts w:hint="eastAsia" w:ascii="仿宋" w:hAnsi="仿宋" w:eastAsia="仿宋"/>
          <w:color w:val="auto"/>
          <w:sz w:val="30"/>
          <w:szCs w:val="30"/>
        </w:rPr>
      </w:pPr>
      <w:r>
        <w:rPr>
          <w:rFonts w:hint="eastAsia" w:ascii="仿宋" w:hAnsi="仿宋" w:eastAsia="仿宋"/>
          <w:color w:val="auto"/>
          <w:sz w:val="30"/>
          <w:szCs w:val="30"/>
        </w:rPr>
        <w:t xml:space="preserve">报名负责人：聂红军 主任18211071700（微信）   </w:t>
      </w:r>
    </w:p>
    <w:p>
      <w:pPr>
        <w:spacing w:line="300" w:lineRule="exact"/>
        <w:ind w:right="-147" w:rightChars="-70"/>
        <w:rPr>
          <w:rFonts w:hint="eastAsia" w:ascii="仿宋" w:hAnsi="仿宋" w:eastAsia="仿宋"/>
          <w:color w:val="auto"/>
          <w:sz w:val="30"/>
          <w:szCs w:val="30"/>
        </w:rPr>
      </w:pPr>
      <w:r>
        <w:rPr>
          <w:rFonts w:hint="eastAsia" w:ascii="仿宋" w:hAnsi="仿宋" w:eastAsia="仿宋"/>
          <w:color w:val="auto"/>
          <w:sz w:val="30"/>
          <w:szCs w:val="30"/>
        </w:rPr>
        <w:t xml:space="preserve">电  话：010-87697580      </w:t>
      </w:r>
      <w:r>
        <w:rPr>
          <w:rFonts w:hint="eastAsia" w:ascii="仿宋" w:hAnsi="仿宋" w:eastAsia="仿宋"/>
          <w:color w:val="auto"/>
          <w:sz w:val="30"/>
          <w:szCs w:val="30"/>
          <w:lang w:val="en-US" w:eastAsia="zh-CN"/>
        </w:rPr>
        <w:t xml:space="preserve"> </w:t>
      </w:r>
      <w:r>
        <w:rPr>
          <w:rFonts w:hint="eastAsia" w:ascii="仿宋" w:hAnsi="仿宋" w:eastAsia="仿宋"/>
          <w:color w:val="auto"/>
          <w:sz w:val="30"/>
          <w:szCs w:val="30"/>
        </w:rPr>
        <w:t xml:space="preserve">邮    箱：zqgphwz@126.com  </w:t>
      </w:r>
    </w:p>
    <w:p>
      <w:pPr>
        <w:spacing w:line="300" w:lineRule="exact"/>
        <w:ind w:right="-147" w:rightChars="-70"/>
        <w:rPr>
          <w:rFonts w:hint="eastAsia" w:ascii="仿宋" w:hAnsi="仿宋" w:eastAsia="仿宋"/>
          <w:color w:val="auto"/>
          <w:sz w:val="30"/>
          <w:szCs w:val="30"/>
        </w:rPr>
      </w:pPr>
      <w:r>
        <w:rPr>
          <w:rFonts w:hint="eastAsia" w:ascii="仿宋" w:hAnsi="仿宋" w:eastAsia="仿宋"/>
          <w:color w:val="auto"/>
          <w:sz w:val="30"/>
          <w:szCs w:val="30"/>
        </w:rPr>
        <w:t>qq咨询：3177524020        网址查询：http://www.zqgpchina.cn/</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9ED33"/>
    <w:multiLevelType w:val="singleLevel"/>
    <w:tmpl w:val="B819ED33"/>
    <w:lvl w:ilvl="0" w:tentative="0">
      <w:start w:val="4"/>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AD3"/>
    <w:rsid w:val="00000F87"/>
    <w:rsid w:val="0000359C"/>
    <w:rsid w:val="000232DE"/>
    <w:rsid w:val="000308AF"/>
    <w:rsid w:val="000342DF"/>
    <w:rsid w:val="00036898"/>
    <w:rsid w:val="00046647"/>
    <w:rsid w:val="000470E9"/>
    <w:rsid w:val="0005255C"/>
    <w:rsid w:val="000526D7"/>
    <w:rsid w:val="00056A27"/>
    <w:rsid w:val="000617F4"/>
    <w:rsid w:val="0006446E"/>
    <w:rsid w:val="00074E1A"/>
    <w:rsid w:val="00077A8C"/>
    <w:rsid w:val="00080A9D"/>
    <w:rsid w:val="00092650"/>
    <w:rsid w:val="00094B1E"/>
    <w:rsid w:val="00096021"/>
    <w:rsid w:val="000A1706"/>
    <w:rsid w:val="000C066B"/>
    <w:rsid w:val="000C7A80"/>
    <w:rsid w:val="000C7BB8"/>
    <w:rsid w:val="000E10CF"/>
    <w:rsid w:val="000E52B3"/>
    <w:rsid w:val="0010193B"/>
    <w:rsid w:val="00103FE5"/>
    <w:rsid w:val="00110043"/>
    <w:rsid w:val="00110F54"/>
    <w:rsid w:val="00114ABE"/>
    <w:rsid w:val="00115BBD"/>
    <w:rsid w:val="00117951"/>
    <w:rsid w:val="00117A73"/>
    <w:rsid w:val="00130DE1"/>
    <w:rsid w:val="0013280D"/>
    <w:rsid w:val="00141F04"/>
    <w:rsid w:val="00142B2F"/>
    <w:rsid w:val="001465C8"/>
    <w:rsid w:val="00147186"/>
    <w:rsid w:val="00150106"/>
    <w:rsid w:val="001511A0"/>
    <w:rsid w:val="001513F6"/>
    <w:rsid w:val="00153E9D"/>
    <w:rsid w:val="001542EE"/>
    <w:rsid w:val="00154D41"/>
    <w:rsid w:val="00164DF2"/>
    <w:rsid w:val="00176CF4"/>
    <w:rsid w:val="00177322"/>
    <w:rsid w:val="0019052F"/>
    <w:rsid w:val="001A3518"/>
    <w:rsid w:val="001B6B47"/>
    <w:rsid w:val="001C0221"/>
    <w:rsid w:val="001C481A"/>
    <w:rsid w:val="001C57FA"/>
    <w:rsid w:val="001C6954"/>
    <w:rsid w:val="001D12CD"/>
    <w:rsid w:val="001E0334"/>
    <w:rsid w:val="001F19FD"/>
    <w:rsid w:val="00202996"/>
    <w:rsid w:val="002135E2"/>
    <w:rsid w:val="002138B6"/>
    <w:rsid w:val="0022107C"/>
    <w:rsid w:val="00223B63"/>
    <w:rsid w:val="00224B28"/>
    <w:rsid w:val="002315D5"/>
    <w:rsid w:val="002368DA"/>
    <w:rsid w:val="002406D9"/>
    <w:rsid w:val="00263D06"/>
    <w:rsid w:val="00265856"/>
    <w:rsid w:val="002666CE"/>
    <w:rsid w:val="00280CFA"/>
    <w:rsid w:val="002811AE"/>
    <w:rsid w:val="002815F5"/>
    <w:rsid w:val="0028238A"/>
    <w:rsid w:val="00290A6E"/>
    <w:rsid w:val="00295FD2"/>
    <w:rsid w:val="002A0741"/>
    <w:rsid w:val="002A360A"/>
    <w:rsid w:val="002A6938"/>
    <w:rsid w:val="002B26B3"/>
    <w:rsid w:val="002B2A79"/>
    <w:rsid w:val="002B4033"/>
    <w:rsid w:val="002C2F3F"/>
    <w:rsid w:val="002C4C8C"/>
    <w:rsid w:val="002D7578"/>
    <w:rsid w:val="002E121D"/>
    <w:rsid w:val="002F5CBB"/>
    <w:rsid w:val="002F70E6"/>
    <w:rsid w:val="00301501"/>
    <w:rsid w:val="003018D1"/>
    <w:rsid w:val="0030751E"/>
    <w:rsid w:val="0032074D"/>
    <w:rsid w:val="003262A3"/>
    <w:rsid w:val="0032769F"/>
    <w:rsid w:val="003317EA"/>
    <w:rsid w:val="00331E3C"/>
    <w:rsid w:val="00335C6B"/>
    <w:rsid w:val="00340CE5"/>
    <w:rsid w:val="00362368"/>
    <w:rsid w:val="003659D3"/>
    <w:rsid w:val="003757C7"/>
    <w:rsid w:val="003803B9"/>
    <w:rsid w:val="003860F6"/>
    <w:rsid w:val="003C0CD0"/>
    <w:rsid w:val="003C33F0"/>
    <w:rsid w:val="003D112D"/>
    <w:rsid w:val="003D4A9A"/>
    <w:rsid w:val="003F2132"/>
    <w:rsid w:val="003F5394"/>
    <w:rsid w:val="004008E1"/>
    <w:rsid w:val="00407028"/>
    <w:rsid w:val="00422C30"/>
    <w:rsid w:val="00423C1C"/>
    <w:rsid w:val="00423FD8"/>
    <w:rsid w:val="0043096F"/>
    <w:rsid w:val="00441C2A"/>
    <w:rsid w:val="00442EE8"/>
    <w:rsid w:val="004569EF"/>
    <w:rsid w:val="00457F0B"/>
    <w:rsid w:val="00460A34"/>
    <w:rsid w:val="00460F5B"/>
    <w:rsid w:val="00464254"/>
    <w:rsid w:val="00465F9B"/>
    <w:rsid w:val="00470934"/>
    <w:rsid w:val="00471165"/>
    <w:rsid w:val="004738EA"/>
    <w:rsid w:val="00475F00"/>
    <w:rsid w:val="00477A26"/>
    <w:rsid w:val="00486285"/>
    <w:rsid w:val="004A4BEF"/>
    <w:rsid w:val="004A4FF4"/>
    <w:rsid w:val="004B0CD7"/>
    <w:rsid w:val="004B0ECD"/>
    <w:rsid w:val="004B15E2"/>
    <w:rsid w:val="004B20C0"/>
    <w:rsid w:val="004C6075"/>
    <w:rsid w:val="004D607B"/>
    <w:rsid w:val="004E143A"/>
    <w:rsid w:val="004E237C"/>
    <w:rsid w:val="004F265B"/>
    <w:rsid w:val="004F6A68"/>
    <w:rsid w:val="00507303"/>
    <w:rsid w:val="005206E5"/>
    <w:rsid w:val="00526E13"/>
    <w:rsid w:val="00531972"/>
    <w:rsid w:val="0053533B"/>
    <w:rsid w:val="005414A6"/>
    <w:rsid w:val="00546AF6"/>
    <w:rsid w:val="00550319"/>
    <w:rsid w:val="00552565"/>
    <w:rsid w:val="00564F7B"/>
    <w:rsid w:val="005662BA"/>
    <w:rsid w:val="00587B0D"/>
    <w:rsid w:val="0059259C"/>
    <w:rsid w:val="00593464"/>
    <w:rsid w:val="005960A9"/>
    <w:rsid w:val="0059749D"/>
    <w:rsid w:val="005A103C"/>
    <w:rsid w:val="005A4849"/>
    <w:rsid w:val="005B728E"/>
    <w:rsid w:val="005E1F51"/>
    <w:rsid w:val="005E4EFD"/>
    <w:rsid w:val="005E6A1C"/>
    <w:rsid w:val="005F17EB"/>
    <w:rsid w:val="006002D5"/>
    <w:rsid w:val="006043A3"/>
    <w:rsid w:val="0060660D"/>
    <w:rsid w:val="0061057E"/>
    <w:rsid w:val="0061060F"/>
    <w:rsid w:val="00620381"/>
    <w:rsid w:val="0063196E"/>
    <w:rsid w:val="00645259"/>
    <w:rsid w:val="006506B4"/>
    <w:rsid w:val="00660ECA"/>
    <w:rsid w:val="00661EB0"/>
    <w:rsid w:val="006637EB"/>
    <w:rsid w:val="00673B2F"/>
    <w:rsid w:val="0067507E"/>
    <w:rsid w:val="00675DE7"/>
    <w:rsid w:val="006858A0"/>
    <w:rsid w:val="006932E8"/>
    <w:rsid w:val="006938A1"/>
    <w:rsid w:val="006A33E5"/>
    <w:rsid w:val="006B025E"/>
    <w:rsid w:val="006C2CED"/>
    <w:rsid w:val="006D1043"/>
    <w:rsid w:val="006D4FCF"/>
    <w:rsid w:val="006E054F"/>
    <w:rsid w:val="006E28D9"/>
    <w:rsid w:val="006E4A26"/>
    <w:rsid w:val="006E5EC1"/>
    <w:rsid w:val="00716C3E"/>
    <w:rsid w:val="00720BC2"/>
    <w:rsid w:val="007211E2"/>
    <w:rsid w:val="00721AEB"/>
    <w:rsid w:val="00725DD5"/>
    <w:rsid w:val="00732548"/>
    <w:rsid w:val="00732767"/>
    <w:rsid w:val="00733AA0"/>
    <w:rsid w:val="007740D3"/>
    <w:rsid w:val="00777879"/>
    <w:rsid w:val="00797AA1"/>
    <w:rsid w:val="007A27FA"/>
    <w:rsid w:val="007A45EF"/>
    <w:rsid w:val="007A5669"/>
    <w:rsid w:val="007A7A53"/>
    <w:rsid w:val="007B2DEA"/>
    <w:rsid w:val="007B49DF"/>
    <w:rsid w:val="007C2681"/>
    <w:rsid w:val="007D595B"/>
    <w:rsid w:val="007F014A"/>
    <w:rsid w:val="007F2DDA"/>
    <w:rsid w:val="007F4DE4"/>
    <w:rsid w:val="007F5AA6"/>
    <w:rsid w:val="00802300"/>
    <w:rsid w:val="008036E9"/>
    <w:rsid w:val="00807356"/>
    <w:rsid w:val="00812431"/>
    <w:rsid w:val="00814AD1"/>
    <w:rsid w:val="00827624"/>
    <w:rsid w:val="00833D7A"/>
    <w:rsid w:val="00834BD9"/>
    <w:rsid w:val="00836499"/>
    <w:rsid w:val="00857FD9"/>
    <w:rsid w:val="00872F56"/>
    <w:rsid w:val="00880CF9"/>
    <w:rsid w:val="0088177E"/>
    <w:rsid w:val="0088357D"/>
    <w:rsid w:val="00890163"/>
    <w:rsid w:val="008B6F6E"/>
    <w:rsid w:val="008C4880"/>
    <w:rsid w:val="008D037D"/>
    <w:rsid w:val="008D2872"/>
    <w:rsid w:val="008D3603"/>
    <w:rsid w:val="008F0A8A"/>
    <w:rsid w:val="008F4FEA"/>
    <w:rsid w:val="00901B54"/>
    <w:rsid w:val="00906D0E"/>
    <w:rsid w:val="009075F7"/>
    <w:rsid w:val="00910F6D"/>
    <w:rsid w:val="009170EB"/>
    <w:rsid w:val="00920F0E"/>
    <w:rsid w:val="00934272"/>
    <w:rsid w:val="009365FA"/>
    <w:rsid w:val="009369A3"/>
    <w:rsid w:val="009377C7"/>
    <w:rsid w:val="0094650A"/>
    <w:rsid w:val="009539F8"/>
    <w:rsid w:val="0096214F"/>
    <w:rsid w:val="00966DAC"/>
    <w:rsid w:val="00974BD0"/>
    <w:rsid w:val="00977B5C"/>
    <w:rsid w:val="00991068"/>
    <w:rsid w:val="009938B4"/>
    <w:rsid w:val="009A2D1D"/>
    <w:rsid w:val="009A59DC"/>
    <w:rsid w:val="009B77CF"/>
    <w:rsid w:val="009B798B"/>
    <w:rsid w:val="009C0D9A"/>
    <w:rsid w:val="009C46E9"/>
    <w:rsid w:val="009E2B88"/>
    <w:rsid w:val="009E4166"/>
    <w:rsid w:val="009E4BCB"/>
    <w:rsid w:val="009E7C8B"/>
    <w:rsid w:val="009F1B4F"/>
    <w:rsid w:val="009F2B4A"/>
    <w:rsid w:val="009F70B7"/>
    <w:rsid w:val="00A0140F"/>
    <w:rsid w:val="00A01AC0"/>
    <w:rsid w:val="00A073FC"/>
    <w:rsid w:val="00A11394"/>
    <w:rsid w:val="00A138FB"/>
    <w:rsid w:val="00A34B75"/>
    <w:rsid w:val="00A37F32"/>
    <w:rsid w:val="00A435CF"/>
    <w:rsid w:val="00A54FE8"/>
    <w:rsid w:val="00A64DAD"/>
    <w:rsid w:val="00A815A4"/>
    <w:rsid w:val="00A8540E"/>
    <w:rsid w:val="00A85F8A"/>
    <w:rsid w:val="00A92A3D"/>
    <w:rsid w:val="00A9550D"/>
    <w:rsid w:val="00AA0AAD"/>
    <w:rsid w:val="00AA16D6"/>
    <w:rsid w:val="00AB5AD3"/>
    <w:rsid w:val="00AB6628"/>
    <w:rsid w:val="00AC7EC0"/>
    <w:rsid w:val="00AD2089"/>
    <w:rsid w:val="00AD4CEB"/>
    <w:rsid w:val="00AD535B"/>
    <w:rsid w:val="00AD58CE"/>
    <w:rsid w:val="00AE1B23"/>
    <w:rsid w:val="00AE2EAF"/>
    <w:rsid w:val="00AE764D"/>
    <w:rsid w:val="00AF4BBA"/>
    <w:rsid w:val="00B0311B"/>
    <w:rsid w:val="00B07DE6"/>
    <w:rsid w:val="00B1643A"/>
    <w:rsid w:val="00B165B4"/>
    <w:rsid w:val="00B274A0"/>
    <w:rsid w:val="00B350D1"/>
    <w:rsid w:val="00B41CBB"/>
    <w:rsid w:val="00B46AA3"/>
    <w:rsid w:val="00B47E67"/>
    <w:rsid w:val="00B5301E"/>
    <w:rsid w:val="00B5331A"/>
    <w:rsid w:val="00B54CE0"/>
    <w:rsid w:val="00B72811"/>
    <w:rsid w:val="00B7364D"/>
    <w:rsid w:val="00B81A75"/>
    <w:rsid w:val="00B84258"/>
    <w:rsid w:val="00B8481E"/>
    <w:rsid w:val="00B869E9"/>
    <w:rsid w:val="00B86BB9"/>
    <w:rsid w:val="00B92613"/>
    <w:rsid w:val="00B92FA8"/>
    <w:rsid w:val="00B93188"/>
    <w:rsid w:val="00BA17DE"/>
    <w:rsid w:val="00BB3624"/>
    <w:rsid w:val="00BC180F"/>
    <w:rsid w:val="00BC4B51"/>
    <w:rsid w:val="00BC5F5C"/>
    <w:rsid w:val="00BC6229"/>
    <w:rsid w:val="00BC7BDD"/>
    <w:rsid w:val="00BD335A"/>
    <w:rsid w:val="00BD5EF0"/>
    <w:rsid w:val="00BD6444"/>
    <w:rsid w:val="00BF185A"/>
    <w:rsid w:val="00BF48B2"/>
    <w:rsid w:val="00BF627C"/>
    <w:rsid w:val="00C03ECC"/>
    <w:rsid w:val="00C1084B"/>
    <w:rsid w:val="00C11786"/>
    <w:rsid w:val="00C122DC"/>
    <w:rsid w:val="00C204E4"/>
    <w:rsid w:val="00C26402"/>
    <w:rsid w:val="00C27933"/>
    <w:rsid w:val="00C30A83"/>
    <w:rsid w:val="00C327CA"/>
    <w:rsid w:val="00C35B98"/>
    <w:rsid w:val="00C42E7E"/>
    <w:rsid w:val="00C57D45"/>
    <w:rsid w:val="00C743BC"/>
    <w:rsid w:val="00C77044"/>
    <w:rsid w:val="00C8130A"/>
    <w:rsid w:val="00C83028"/>
    <w:rsid w:val="00C83BCE"/>
    <w:rsid w:val="00C9437E"/>
    <w:rsid w:val="00C95385"/>
    <w:rsid w:val="00CA0162"/>
    <w:rsid w:val="00CA08D2"/>
    <w:rsid w:val="00CA0D6D"/>
    <w:rsid w:val="00CA2796"/>
    <w:rsid w:val="00CB06DF"/>
    <w:rsid w:val="00CB746D"/>
    <w:rsid w:val="00CC152A"/>
    <w:rsid w:val="00CC4E7C"/>
    <w:rsid w:val="00CD073C"/>
    <w:rsid w:val="00CD1C04"/>
    <w:rsid w:val="00CE5058"/>
    <w:rsid w:val="00D0561A"/>
    <w:rsid w:val="00D07ADD"/>
    <w:rsid w:val="00D104CF"/>
    <w:rsid w:val="00D13B44"/>
    <w:rsid w:val="00D2111E"/>
    <w:rsid w:val="00D36FDC"/>
    <w:rsid w:val="00D47FE5"/>
    <w:rsid w:val="00D53D56"/>
    <w:rsid w:val="00D5439B"/>
    <w:rsid w:val="00D610DA"/>
    <w:rsid w:val="00D628B4"/>
    <w:rsid w:val="00D62DA1"/>
    <w:rsid w:val="00D83A0B"/>
    <w:rsid w:val="00D90FE1"/>
    <w:rsid w:val="00D937B8"/>
    <w:rsid w:val="00D93CC0"/>
    <w:rsid w:val="00DA1750"/>
    <w:rsid w:val="00DA29D9"/>
    <w:rsid w:val="00DA2B5E"/>
    <w:rsid w:val="00DA3D21"/>
    <w:rsid w:val="00DA40E8"/>
    <w:rsid w:val="00DB3F1A"/>
    <w:rsid w:val="00DB68D0"/>
    <w:rsid w:val="00DC3389"/>
    <w:rsid w:val="00DC5D26"/>
    <w:rsid w:val="00DE4CF1"/>
    <w:rsid w:val="00DE51AD"/>
    <w:rsid w:val="00DE75D5"/>
    <w:rsid w:val="00DF3E0F"/>
    <w:rsid w:val="00DF7B46"/>
    <w:rsid w:val="00E05D46"/>
    <w:rsid w:val="00E067D1"/>
    <w:rsid w:val="00E11B43"/>
    <w:rsid w:val="00E15AAA"/>
    <w:rsid w:val="00E235A4"/>
    <w:rsid w:val="00E327BC"/>
    <w:rsid w:val="00E3445A"/>
    <w:rsid w:val="00E34CD4"/>
    <w:rsid w:val="00E36847"/>
    <w:rsid w:val="00E44770"/>
    <w:rsid w:val="00E45CFA"/>
    <w:rsid w:val="00E562D3"/>
    <w:rsid w:val="00E6094A"/>
    <w:rsid w:val="00E6168E"/>
    <w:rsid w:val="00E71937"/>
    <w:rsid w:val="00E72088"/>
    <w:rsid w:val="00E739C0"/>
    <w:rsid w:val="00E86258"/>
    <w:rsid w:val="00E905F5"/>
    <w:rsid w:val="00EA0C2C"/>
    <w:rsid w:val="00EA30EE"/>
    <w:rsid w:val="00EA3969"/>
    <w:rsid w:val="00EA4432"/>
    <w:rsid w:val="00EB2E46"/>
    <w:rsid w:val="00EB3517"/>
    <w:rsid w:val="00EB3CAE"/>
    <w:rsid w:val="00EB482C"/>
    <w:rsid w:val="00EC1011"/>
    <w:rsid w:val="00EC2F79"/>
    <w:rsid w:val="00EE56D1"/>
    <w:rsid w:val="00EE6FEB"/>
    <w:rsid w:val="00EF2191"/>
    <w:rsid w:val="00EF72ED"/>
    <w:rsid w:val="00F00F6C"/>
    <w:rsid w:val="00F111BD"/>
    <w:rsid w:val="00F11F60"/>
    <w:rsid w:val="00F17FFE"/>
    <w:rsid w:val="00F2132C"/>
    <w:rsid w:val="00F238CC"/>
    <w:rsid w:val="00F23F34"/>
    <w:rsid w:val="00F35CBE"/>
    <w:rsid w:val="00F36867"/>
    <w:rsid w:val="00F37322"/>
    <w:rsid w:val="00F42ECF"/>
    <w:rsid w:val="00F4480A"/>
    <w:rsid w:val="00F45A97"/>
    <w:rsid w:val="00F46481"/>
    <w:rsid w:val="00F55056"/>
    <w:rsid w:val="00F62FF6"/>
    <w:rsid w:val="00F6608C"/>
    <w:rsid w:val="00F670BD"/>
    <w:rsid w:val="00F74807"/>
    <w:rsid w:val="00F74E65"/>
    <w:rsid w:val="00F81D6E"/>
    <w:rsid w:val="00F87A32"/>
    <w:rsid w:val="00FA21B1"/>
    <w:rsid w:val="00FA61AD"/>
    <w:rsid w:val="00FB1F55"/>
    <w:rsid w:val="00FC3462"/>
    <w:rsid w:val="00FC62BC"/>
    <w:rsid w:val="00FC6989"/>
    <w:rsid w:val="00FD315B"/>
    <w:rsid w:val="00FE379E"/>
    <w:rsid w:val="00FF156F"/>
    <w:rsid w:val="00FF27EE"/>
    <w:rsid w:val="00FF2AE6"/>
    <w:rsid w:val="011869AB"/>
    <w:rsid w:val="017D07DB"/>
    <w:rsid w:val="018525FE"/>
    <w:rsid w:val="025D576C"/>
    <w:rsid w:val="02865BA2"/>
    <w:rsid w:val="02B37FBA"/>
    <w:rsid w:val="02C81F6B"/>
    <w:rsid w:val="0341422B"/>
    <w:rsid w:val="03535851"/>
    <w:rsid w:val="036971A1"/>
    <w:rsid w:val="03974C8A"/>
    <w:rsid w:val="044B05A6"/>
    <w:rsid w:val="04E75722"/>
    <w:rsid w:val="051F6F37"/>
    <w:rsid w:val="05994947"/>
    <w:rsid w:val="065320BA"/>
    <w:rsid w:val="06F904E6"/>
    <w:rsid w:val="07174066"/>
    <w:rsid w:val="077D4188"/>
    <w:rsid w:val="083D3D8F"/>
    <w:rsid w:val="08742D37"/>
    <w:rsid w:val="092D3638"/>
    <w:rsid w:val="094C2BE9"/>
    <w:rsid w:val="0969152B"/>
    <w:rsid w:val="097E6109"/>
    <w:rsid w:val="0AF007B2"/>
    <w:rsid w:val="0B1373FF"/>
    <w:rsid w:val="0B8B3C90"/>
    <w:rsid w:val="0CC17F35"/>
    <w:rsid w:val="0CD80741"/>
    <w:rsid w:val="0D187FC1"/>
    <w:rsid w:val="0D607878"/>
    <w:rsid w:val="0DDB64A7"/>
    <w:rsid w:val="0E5C102E"/>
    <w:rsid w:val="0E9E12FE"/>
    <w:rsid w:val="0F056C30"/>
    <w:rsid w:val="10644AAF"/>
    <w:rsid w:val="10A372C7"/>
    <w:rsid w:val="114D4F7C"/>
    <w:rsid w:val="12027751"/>
    <w:rsid w:val="12D560A8"/>
    <w:rsid w:val="13736A80"/>
    <w:rsid w:val="13CF4039"/>
    <w:rsid w:val="13E20B00"/>
    <w:rsid w:val="142253C7"/>
    <w:rsid w:val="14A817C7"/>
    <w:rsid w:val="14A9364E"/>
    <w:rsid w:val="14BF0714"/>
    <w:rsid w:val="14E43FC7"/>
    <w:rsid w:val="15166C9D"/>
    <w:rsid w:val="15864B23"/>
    <w:rsid w:val="15D31A24"/>
    <w:rsid w:val="160A3EB0"/>
    <w:rsid w:val="163E125F"/>
    <w:rsid w:val="16562807"/>
    <w:rsid w:val="17282EEC"/>
    <w:rsid w:val="172C21CC"/>
    <w:rsid w:val="17432ED1"/>
    <w:rsid w:val="1743790C"/>
    <w:rsid w:val="1758171F"/>
    <w:rsid w:val="18225480"/>
    <w:rsid w:val="188A5136"/>
    <w:rsid w:val="189F579A"/>
    <w:rsid w:val="18C716DD"/>
    <w:rsid w:val="19787872"/>
    <w:rsid w:val="1A341559"/>
    <w:rsid w:val="1ACA602F"/>
    <w:rsid w:val="1C1A735D"/>
    <w:rsid w:val="1C6A3055"/>
    <w:rsid w:val="1C9B6920"/>
    <w:rsid w:val="1D316D1D"/>
    <w:rsid w:val="1D5B4B89"/>
    <w:rsid w:val="1DBF0CBB"/>
    <w:rsid w:val="1DC240E8"/>
    <w:rsid w:val="1DD0407D"/>
    <w:rsid w:val="1E3F75CB"/>
    <w:rsid w:val="1F2E3600"/>
    <w:rsid w:val="1F4C3447"/>
    <w:rsid w:val="1F805E87"/>
    <w:rsid w:val="202237EC"/>
    <w:rsid w:val="20FD4B31"/>
    <w:rsid w:val="21E265C3"/>
    <w:rsid w:val="21EF13BE"/>
    <w:rsid w:val="22124569"/>
    <w:rsid w:val="22AA301A"/>
    <w:rsid w:val="231A79FB"/>
    <w:rsid w:val="23A74F81"/>
    <w:rsid w:val="23B87482"/>
    <w:rsid w:val="2534515B"/>
    <w:rsid w:val="25514918"/>
    <w:rsid w:val="25CC746F"/>
    <w:rsid w:val="25CD7195"/>
    <w:rsid w:val="26D97FC8"/>
    <w:rsid w:val="271746DF"/>
    <w:rsid w:val="275C2E99"/>
    <w:rsid w:val="27630FE2"/>
    <w:rsid w:val="27654257"/>
    <w:rsid w:val="276867BB"/>
    <w:rsid w:val="27E14DA2"/>
    <w:rsid w:val="2825101B"/>
    <w:rsid w:val="285F5923"/>
    <w:rsid w:val="28F14FED"/>
    <w:rsid w:val="28FA7512"/>
    <w:rsid w:val="29A0598C"/>
    <w:rsid w:val="2A8759F2"/>
    <w:rsid w:val="2BC86235"/>
    <w:rsid w:val="2BF61856"/>
    <w:rsid w:val="2BFA6DD9"/>
    <w:rsid w:val="2C451C26"/>
    <w:rsid w:val="2C917B80"/>
    <w:rsid w:val="2D1C0DD8"/>
    <w:rsid w:val="2E0B1A91"/>
    <w:rsid w:val="2E467FBA"/>
    <w:rsid w:val="2E651036"/>
    <w:rsid w:val="2EBB1E5C"/>
    <w:rsid w:val="2ED86F29"/>
    <w:rsid w:val="2F2B60A8"/>
    <w:rsid w:val="2F9068E6"/>
    <w:rsid w:val="30E45296"/>
    <w:rsid w:val="3187040E"/>
    <w:rsid w:val="319E4FAA"/>
    <w:rsid w:val="31CA4677"/>
    <w:rsid w:val="33B24883"/>
    <w:rsid w:val="33B72C9D"/>
    <w:rsid w:val="34A64039"/>
    <w:rsid w:val="34AF0B35"/>
    <w:rsid w:val="34E55454"/>
    <w:rsid w:val="35083BB2"/>
    <w:rsid w:val="3519586F"/>
    <w:rsid w:val="35716459"/>
    <w:rsid w:val="35C03643"/>
    <w:rsid w:val="35E36EA4"/>
    <w:rsid w:val="35F60F20"/>
    <w:rsid w:val="363E3C50"/>
    <w:rsid w:val="36C30E80"/>
    <w:rsid w:val="37837751"/>
    <w:rsid w:val="37E34461"/>
    <w:rsid w:val="382B423A"/>
    <w:rsid w:val="3864090B"/>
    <w:rsid w:val="38895F5A"/>
    <w:rsid w:val="393A0128"/>
    <w:rsid w:val="399F020A"/>
    <w:rsid w:val="39C2689A"/>
    <w:rsid w:val="39F25D24"/>
    <w:rsid w:val="3A72059F"/>
    <w:rsid w:val="3AC9262E"/>
    <w:rsid w:val="3B3A4564"/>
    <w:rsid w:val="3B9503EA"/>
    <w:rsid w:val="3BD43020"/>
    <w:rsid w:val="3C0E2504"/>
    <w:rsid w:val="3C8049D1"/>
    <w:rsid w:val="3CB34BDA"/>
    <w:rsid w:val="3D3C2B7A"/>
    <w:rsid w:val="3D854F8E"/>
    <w:rsid w:val="3E514ED8"/>
    <w:rsid w:val="3E975B6C"/>
    <w:rsid w:val="3F276853"/>
    <w:rsid w:val="3F596611"/>
    <w:rsid w:val="3FEF0D6E"/>
    <w:rsid w:val="405E0718"/>
    <w:rsid w:val="4079252D"/>
    <w:rsid w:val="41D66FCC"/>
    <w:rsid w:val="423F4B39"/>
    <w:rsid w:val="425F6512"/>
    <w:rsid w:val="42606FC8"/>
    <w:rsid w:val="427A6C29"/>
    <w:rsid w:val="43A9737B"/>
    <w:rsid w:val="44471EF0"/>
    <w:rsid w:val="454855FC"/>
    <w:rsid w:val="45D51F5C"/>
    <w:rsid w:val="465D0061"/>
    <w:rsid w:val="4671741C"/>
    <w:rsid w:val="46F61667"/>
    <w:rsid w:val="46F96486"/>
    <w:rsid w:val="47CE26FD"/>
    <w:rsid w:val="47D63F93"/>
    <w:rsid w:val="4801544B"/>
    <w:rsid w:val="480477FC"/>
    <w:rsid w:val="485B3261"/>
    <w:rsid w:val="48770DE2"/>
    <w:rsid w:val="49737182"/>
    <w:rsid w:val="4AAF6946"/>
    <w:rsid w:val="4AF93BC8"/>
    <w:rsid w:val="4B2A78AD"/>
    <w:rsid w:val="4BDF7960"/>
    <w:rsid w:val="4C257713"/>
    <w:rsid w:val="4E4C35E9"/>
    <w:rsid w:val="4E5C6A4B"/>
    <w:rsid w:val="4EDD069A"/>
    <w:rsid w:val="4F1A6A36"/>
    <w:rsid w:val="4F255DB4"/>
    <w:rsid w:val="4F502534"/>
    <w:rsid w:val="5086425C"/>
    <w:rsid w:val="50EB4984"/>
    <w:rsid w:val="511F4A02"/>
    <w:rsid w:val="511F77FB"/>
    <w:rsid w:val="51577817"/>
    <w:rsid w:val="51894D24"/>
    <w:rsid w:val="521336C8"/>
    <w:rsid w:val="526E7C4E"/>
    <w:rsid w:val="52B873DF"/>
    <w:rsid w:val="52EB1D81"/>
    <w:rsid w:val="53433460"/>
    <w:rsid w:val="53A0535F"/>
    <w:rsid w:val="53CA0CA6"/>
    <w:rsid w:val="54010ADE"/>
    <w:rsid w:val="542B162C"/>
    <w:rsid w:val="545F3AEE"/>
    <w:rsid w:val="54811502"/>
    <w:rsid w:val="54A045B2"/>
    <w:rsid w:val="553C14D6"/>
    <w:rsid w:val="55CF2235"/>
    <w:rsid w:val="563029D7"/>
    <w:rsid w:val="56567BA9"/>
    <w:rsid w:val="568E62EB"/>
    <w:rsid w:val="575E3358"/>
    <w:rsid w:val="57BD2129"/>
    <w:rsid w:val="57C14A09"/>
    <w:rsid w:val="5870386E"/>
    <w:rsid w:val="58CD7A24"/>
    <w:rsid w:val="5950539C"/>
    <w:rsid w:val="5A616693"/>
    <w:rsid w:val="5AF014CD"/>
    <w:rsid w:val="5B1950BD"/>
    <w:rsid w:val="5B4643C3"/>
    <w:rsid w:val="5B57314F"/>
    <w:rsid w:val="5B896D6D"/>
    <w:rsid w:val="5B9F737A"/>
    <w:rsid w:val="5C4F65BE"/>
    <w:rsid w:val="5C7A40A7"/>
    <w:rsid w:val="5CAA0BA4"/>
    <w:rsid w:val="5E255F75"/>
    <w:rsid w:val="5E9C61EE"/>
    <w:rsid w:val="5EAD2585"/>
    <w:rsid w:val="5F502257"/>
    <w:rsid w:val="5F647DF3"/>
    <w:rsid w:val="5F705A0C"/>
    <w:rsid w:val="60D1271D"/>
    <w:rsid w:val="61310BC7"/>
    <w:rsid w:val="6186548A"/>
    <w:rsid w:val="61CE73B0"/>
    <w:rsid w:val="6224530F"/>
    <w:rsid w:val="622B2355"/>
    <w:rsid w:val="63442F70"/>
    <w:rsid w:val="63535B88"/>
    <w:rsid w:val="637067C7"/>
    <w:rsid w:val="63962E8A"/>
    <w:rsid w:val="63B90B4D"/>
    <w:rsid w:val="64A65681"/>
    <w:rsid w:val="650A73B1"/>
    <w:rsid w:val="65BA1C78"/>
    <w:rsid w:val="65BA2AD4"/>
    <w:rsid w:val="65D86D7D"/>
    <w:rsid w:val="66B53431"/>
    <w:rsid w:val="67165475"/>
    <w:rsid w:val="672659C0"/>
    <w:rsid w:val="6787266D"/>
    <w:rsid w:val="67D77787"/>
    <w:rsid w:val="67EB49D1"/>
    <w:rsid w:val="685C6586"/>
    <w:rsid w:val="687F42C4"/>
    <w:rsid w:val="6960453D"/>
    <w:rsid w:val="697D040D"/>
    <w:rsid w:val="698409ED"/>
    <w:rsid w:val="6A11215D"/>
    <w:rsid w:val="6A492A69"/>
    <w:rsid w:val="6A74173C"/>
    <w:rsid w:val="6B3512F8"/>
    <w:rsid w:val="6B4A4762"/>
    <w:rsid w:val="6B81373D"/>
    <w:rsid w:val="6BF06556"/>
    <w:rsid w:val="6BF46113"/>
    <w:rsid w:val="6C2329A7"/>
    <w:rsid w:val="6C5A5C1A"/>
    <w:rsid w:val="6CA25F3E"/>
    <w:rsid w:val="6DD0135D"/>
    <w:rsid w:val="6DE81B9B"/>
    <w:rsid w:val="6E777FC9"/>
    <w:rsid w:val="6E921E4C"/>
    <w:rsid w:val="6EC04D44"/>
    <w:rsid w:val="6ED33FB9"/>
    <w:rsid w:val="6ED9516E"/>
    <w:rsid w:val="6F2522CE"/>
    <w:rsid w:val="6FA07554"/>
    <w:rsid w:val="6FD35462"/>
    <w:rsid w:val="700753D0"/>
    <w:rsid w:val="71527F3D"/>
    <w:rsid w:val="71726E1F"/>
    <w:rsid w:val="718A2199"/>
    <w:rsid w:val="723B294E"/>
    <w:rsid w:val="72A75B9F"/>
    <w:rsid w:val="73E26068"/>
    <w:rsid w:val="7441451E"/>
    <w:rsid w:val="754164CF"/>
    <w:rsid w:val="755556E5"/>
    <w:rsid w:val="7583497A"/>
    <w:rsid w:val="75BB7057"/>
    <w:rsid w:val="75C83C9E"/>
    <w:rsid w:val="76841FCA"/>
    <w:rsid w:val="76FB3F41"/>
    <w:rsid w:val="781E4804"/>
    <w:rsid w:val="785966C9"/>
    <w:rsid w:val="78693F6B"/>
    <w:rsid w:val="78E6558A"/>
    <w:rsid w:val="790348B2"/>
    <w:rsid w:val="79895EB2"/>
    <w:rsid w:val="7B166D76"/>
    <w:rsid w:val="7B347CE7"/>
    <w:rsid w:val="7B927BA1"/>
    <w:rsid w:val="7C544BD7"/>
    <w:rsid w:val="7CCF6E56"/>
    <w:rsid w:val="7D014BF7"/>
    <w:rsid w:val="7DA720F2"/>
    <w:rsid w:val="7E473B6E"/>
    <w:rsid w:val="7E7244F2"/>
    <w:rsid w:val="7EF0300D"/>
    <w:rsid w:val="7F8F0389"/>
    <w:rsid w:val="7FD90AA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semiHidden/>
    <w:qFormat/>
    <w:uiPriority w:val="99"/>
    <w:rPr>
      <w:rFonts w:ascii="宋体"/>
      <w:sz w:val="18"/>
      <w:szCs w:val="18"/>
    </w:rPr>
  </w:style>
  <w:style w:type="paragraph" w:styleId="4">
    <w:name w:val="Body Text"/>
    <w:basedOn w:val="1"/>
    <w:qFormat/>
    <w:uiPriority w:val="1"/>
    <w:pPr>
      <w:autoSpaceDE w:val="0"/>
      <w:autoSpaceDN w:val="0"/>
      <w:jc w:val="left"/>
    </w:pPr>
    <w:rPr>
      <w:rFonts w:ascii="华文仿宋" w:hAnsi="华文仿宋" w:eastAsia="华文仿宋" w:cs="华文仿宋"/>
      <w:sz w:val="31"/>
      <w:szCs w:val="31"/>
      <w:lang w:val="zh-CN" w:bidi="zh-CN"/>
    </w:rPr>
  </w:style>
  <w:style w:type="paragraph" w:styleId="5">
    <w:name w:val="Date"/>
    <w:basedOn w:val="1"/>
    <w:next w:val="1"/>
    <w:link w:val="24"/>
    <w:semiHidden/>
    <w:unhideWhenUsed/>
    <w:qFormat/>
    <w:uiPriority w:val="99"/>
    <w:pPr>
      <w:ind w:left="100" w:leftChars="2500"/>
    </w:pPr>
  </w:style>
  <w:style w:type="paragraph" w:styleId="6">
    <w:name w:val="Balloon Text"/>
    <w:basedOn w:val="1"/>
    <w:link w:val="19"/>
    <w:qFormat/>
    <w:uiPriority w:val="99"/>
    <w:rPr>
      <w:sz w:val="18"/>
      <w:szCs w:val="18"/>
    </w:rPr>
  </w:style>
  <w:style w:type="paragraph" w:styleId="7">
    <w:name w:val="footer"/>
    <w:basedOn w:val="1"/>
    <w:link w:val="20"/>
    <w:qFormat/>
    <w:uiPriority w:val="99"/>
    <w:pPr>
      <w:tabs>
        <w:tab w:val="center" w:pos="4153"/>
        <w:tab w:val="right" w:pos="8306"/>
      </w:tabs>
      <w:snapToGrid w:val="0"/>
      <w:jc w:val="left"/>
    </w:pPr>
    <w:rPr>
      <w:sz w:val="18"/>
      <w:szCs w:val="18"/>
    </w:rPr>
  </w:style>
  <w:style w:type="paragraph" w:styleId="8">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22"/>
    <w:rPr>
      <w:rFonts w:cs="Times New Roman"/>
      <w:b/>
      <w:bCs/>
    </w:rPr>
  </w:style>
  <w:style w:type="character" w:styleId="13">
    <w:name w:val="page number"/>
    <w:basedOn w:val="11"/>
    <w:qFormat/>
    <w:uiPriority w:val="0"/>
  </w:style>
  <w:style w:type="character" w:styleId="14">
    <w:name w:val="Emphasis"/>
    <w:basedOn w:val="11"/>
    <w:qFormat/>
    <w:uiPriority w:val="99"/>
    <w:rPr>
      <w:rFonts w:cs="Times New Roman"/>
      <w:i/>
      <w:iCs/>
    </w:rPr>
  </w:style>
  <w:style w:type="character" w:styleId="15">
    <w:name w:val="Hyperlink"/>
    <w:basedOn w:val="11"/>
    <w:qFormat/>
    <w:uiPriority w:val="99"/>
    <w:rPr>
      <w:rFonts w:cs="Times New Roman"/>
      <w:color w:val="444444"/>
      <w:u w:val="none"/>
    </w:rPr>
  </w:style>
  <w:style w:type="paragraph" w:customStyle="1" w:styleId="16">
    <w:name w:val="Char Char Char Char Char Char Char"/>
    <w:basedOn w:val="1"/>
    <w:qFormat/>
    <w:uiPriority w:val="0"/>
    <w:pPr>
      <w:widowControl/>
      <w:spacing w:after="160" w:line="240" w:lineRule="exact"/>
      <w:jc w:val="left"/>
    </w:pPr>
  </w:style>
  <w:style w:type="character" w:customStyle="1" w:styleId="17">
    <w:name w:val="标题 1 Char"/>
    <w:basedOn w:val="11"/>
    <w:link w:val="2"/>
    <w:qFormat/>
    <w:locked/>
    <w:uiPriority w:val="99"/>
    <w:rPr>
      <w:rFonts w:ascii="宋体" w:eastAsia="宋体" w:cs="宋体"/>
      <w:b/>
      <w:bCs/>
      <w:kern w:val="36"/>
      <w:sz w:val="48"/>
      <w:szCs w:val="48"/>
    </w:rPr>
  </w:style>
  <w:style w:type="character" w:customStyle="1" w:styleId="18">
    <w:name w:val="文档结构图 Char"/>
    <w:basedOn w:val="11"/>
    <w:link w:val="3"/>
    <w:semiHidden/>
    <w:qFormat/>
    <w:locked/>
    <w:uiPriority w:val="99"/>
    <w:rPr>
      <w:rFonts w:ascii="宋体" w:hAnsi="Calibri" w:cs="宋体"/>
      <w:kern w:val="2"/>
      <w:sz w:val="18"/>
      <w:szCs w:val="18"/>
    </w:rPr>
  </w:style>
  <w:style w:type="character" w:customStyle="1" w:styleId="19">
    <w:name w:val="批注框文本 Char"/>
    <w:basedOn w:val="11"/>
    <w:link w:val="6"/>
    <w:qFormat/>
    <w:locked/>
    <w:uiPriority w:val="99"/>
    <w:rPr>
      <w:rFonts w:ascii="Calibri" w:hAnsi="Calibri" w:eastAsia="宋体" w:cs="宋体"/>
      <w:kern w:val="2"/>
      <w:sz w:val="18"/>
      <w:szCs w:val="18"/>
    </w:rPr>
  </w:style>
  <w:style w:type="character" w:customStyle="1" w:styleId="20">
    <w:name w:val="页脚 Char"/>
    <w:basedOn w:val="11"/>
    <w:link w:val="7"/>
    <w:qFormat/>
    <w:locked/>
    <w:uiPriority w:val="99"/>
    <w:rPr>
      <w:rFonts w:ascii="Calibri" w:hAnsi="Calibri" w:eastAsia="宋体" w:cs="宋体"/>
      <w:kern w:val="2"/>
      <w:sz w:val="18"/>
      <w:szCs w:val="18"/>
    </w:rPr>
  </w:style>
  <w:style w:type="character" w:customStyle="1" w:styleId="21">
    <w:name w:val="页眉 Char"/>
    <w:basedOn w:val="11"/>
    <w:link w:val="8"/>
    <w:qFormat/>
    <w:locked/>
    <w:uiPriority w:val="99"/>
    <w:rPr>
      <w:rFonts w:ascii="Calibri" w:hAnsi="Calibri" w:eastAsia="宋体" w:cs="宋体"/>
      <w:kern w:val="2"/>
      <w:sz w:val="18"/>
      <w:szCs w:val="18"/>
    </w:rPr>
  </w:style>
  <w:style w:type="paragraph" w:styleId="22">
    <w:name w:val="List Paragraph"/>
    <w:basedOn w:val="1"/>
    <w:qFormat/>
    <w:uiPriority w:val="34"/>
    <w:pPr>
      <w:ind w:firstLine="420" w:firstLineChars="200"/>
    </w:pPr>
  </w:style>
  <w:style w:type="paragraph" w:customStyle="1" w:styleId="23">
    <w:name w:val="列出段落1"/>
    <w:basedOn w:val="1"/>
    <w:qFormat/>
    <w:uiPriority w:val="99"/>
    <w:pPr>
      <w:ind w:firstLine="420" w:firstLineChars="200"/>
    </w:pPr>
    <w:rPr>
      <w:rFonts w:cs="Times New Roman"/>
      <w:szCs w:val="22"/>
    </w:rPr>
  </w:style>
  <w:style w:type="character" w:customStyle="1" w:styleId="24">
    <w:name w:val="日期 Char"/>
    <w:basedOn w:val="11"/>
    <w:link w:val="5"/>
    <w:semiHidden/>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019D36-E438-4634-9EC5-E4240FC1D4C6}">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6</Pages>
  <Words>923</Words>
  <Characters>5263</Characters>
  <Lines>43</Lines>
  <Paragraphs>12</Paragraphs>
  <TotalTime>4</TotalTime>
  <ScaleCrop>false</ScaleCrop>
  <LinksUpToDate>false</LinksUpToDate>
  <CharactersWithSpaces>6174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2019-12-03T03:19:00Z</dcterms:created>
  <dc:creator>lenovo</dc:creator>
  <cp:lastModifiedBy>Administrator</cp:lastModifiedBy>
  <cp:lastPrinted>2019-08-01T07:44:00Z</cp:lastPrinted>
  <dcterms:modified xsi:type="dcterms:W3CDTF">2021-02-19T07:46:12Z</dcterms:modified>
  <cp:revision>267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