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248" w:type="dxa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8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248" w:type="dxa"/>
            <w:noWrap/>
            <w:vAlign w:val="center"/>
          </w:tcPr>
          <w:p>
            <w:pPr>
              <w:autoSpaceDE/>
              <w:autoSpaceDN/>
              <w:jc w:val="distribute"/>
              <w:rPr>
                <w:rFonts w:hint="default" w:cs="宋体"/>
                <w:color w:val="FF0000"/>
                <w:sz w:val="70"/>
                <w:szCs w:val="70"/>
              </w:rPr>
            </w:pPr>
            <w:r>
              <w:rPr>
                <w:rFonts w:cs="宋体"/>
                <w:color w:val="FF0000"/>
                <w:sz w:val="70"/>
                <w:szCs w:val="70"/>
              </w:rPr>
              <w:t>中国投资协会</w:t>
            </w:r>
          </w:p>
          <w:p>
            <w:pPr>
              <w:autoSpaceDE/>
              <w:autoSpaceDN/>
              <w:jc w:val="distribute"/>
              <w:rPr>
                <w:rFonts w:hint="default" w:ascii="楷体" w:hAnsi="楷体" w:eastAsia="楷体"/>
                <w:color w:val="FF0000"/>
                <w:sz w:val="70"/>
                <w:szCs w:val="70"/>
              </w:rPr>
            </w:pPr>
            <w:r>
              <w:rPr>
                <w:rFonts w:cs="宋体"/>
                <w:color w:val="FF0000"/>
                <w:sz w:val="70"/>
                <w:szCs w:val="70"/>
              </w:rPr>
              <w:t>项目投融资专业委员会文件</w:t>
            </w:r>
          </w:p>
          <w:p>
            <w:pPr>
              <w:autoSpaceDE/>
              <w:autoSpaceDN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"/>
                <w:sz w:val="32"/>
                <w:szCs w:val="32"/>
              </w:rPr>
              <w:t>投融培〔2021〕3号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asciiTheme="majorEastAsia" w:hAnsiTheme="majorEastAsia" w:eastAsiaTheme="majorEastAsia" w:cstheme="majorEastAsia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Theme="majorEastAsia" w:hAnsiTheme="majorEastAsia" w:eastAsiaTheme="majorEastAsia" w:cstheme="majorEastAsia"/>
          <w:sz w:val="36"/>
          <w:szCs w:val="36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关于举办2021年基建REITs项目申报与“十四五”背景下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华文中宋" w:hAnsi="华文中宋" w:eastAsia="华文中宋" w:cstheme="majorEastAsia"/>
        </w:rPr>
      </w:pPr>
      <w:r>
        <w:rPr>
          <w:rFonts w:asciiTheme="majorEastAsia" w:hAnsiTheme="majorEastAsia" w:eastAsiaTheme="majorEastAsia" w:cstheme="majorEastAsia"/>
          <w:sz w:val="36"/>
          <w:szCs w:val="36"/>
        </w:rPr>
        <w:t>地方政府及城投公司项目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谋</w:t>
      </w:r>
      <w:r>
        <w:rPr>
          <w:rFonts w:asciiTheme="majorEastAsia" w:hAnsiTheme="majorEastAsia" w:eastAsiaTheme="majorEastAsia" w:cstheme="majorEastAsia"/>
          <w:sz w:val="36"/>
          <w:szCs w:val="36"/>
        </w:rPr>
        <w:t>划和投融资实务培训班的通知</w:t>
      </w:r>
    </w:p>
    <w:p>
      <w:pPr>
        <w:autoSpaceDE/>
        <w:autoSpaceDN/>
        <w:adjustRightInd/>
        <w:spacing w:line="360" w:lineRule="exact"/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bCs/>
          <w:kern w:val="2"/>
          <w:sz w:val="30"/>
          <w:szCs w:val="30"/>
        </w:rPr>
      </w:pPr>
      <w:r>
        <w:rPr>
          <w:rFonts w:ascii="仿宋" w:hAnsi="仿宋" w:eastAsia="仿宋" w:cs="仿宋"/>
          <w:bCs/>
          <w:kern w:val="2"/>
          <w:sz w:val="30"/>
          <w:szCs w:val="30"/>
        </w:rPr>
        <w:t>各有关单位: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为贯彻落实“十四五”规划</w:t>
      </w:r>
      <w:r>
        <w:rPr>
          <w:rFonts w:hint="default" w:ascii="仿宋" w:hAnsi="仿宋" w:eastAsia="仿宋"/>
          <w:sz w:val="30"/>
          <w:szCs w:val="30"/>
        </w:rPr>
        <w:t>和2035年远景目标纲</w:t>
      </w:r>
      <w:r>
        <w:rPr>
          <w:rFonts w:hint="eastAsia" w:ascii="仿宋" w:hAnsi="仿宋" w:eastAsia="仿宋"/>
          <w:sz w:val="30"/>
          <w:szCs w:val="30"/>
          <w:lang w:eastAsia="zh-CN"/>
        </w:rPr>
        <w:t>要</w:t>
      </w:r>
      <w:r>
        <w:rPr>
          <w:rFonts w:ascii="仿宋" w:hAnsi="仿宋" w:eastAsia="仿宋"/>
          <w:sz w:val="30"/>
          <w:szCs w:val="30"/>
        </w:rPr>
        <w:t>关于“建立现代财税金融体制”“</w:t>
      </w:r>
      <w:r>
        <w:rPr>
          <w:rFonts w:hint="default" w:ascii="仿宋" w:hAnsi="仿宋" w:eastAsia="仿宋"/>
          <w:sz w:val="30"/>
          <w:szCs w:val="30"/>
        </w:rPr>
        <w:t>深化金融供给侧结构性改革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default" w:ascii="仿宋" w:hAnsi="仿宋" w:eastAsia="仿宋"/>
          <w:sz w:val="30"/>
          <w:szCs w:val="30"/>
        </w:rPr>
        <w:t>健全具有高度适应性、竞争力、普惠性的现代金融体系，构建金融有效支持实体经济的体制机制</w:t>
      </w:r>
      <w:r>
        <w:rPr>
          <w:rFonts w:ascii="仿宋" w:hAnsi="仿宋" w:eastAsia="仿宋"/>
          <w:sz w:val="30"/>
          <w:szCs w:val="30"/>
        </w:rPr>
        <w:t>”的有关要求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ascii="仿宋" w:hAnsi="仿宋" w:eastAsia="仿宋"/>
          <w:sz w:val="30"/>
          <w:szCs w:val="30"/>
        </w:rPr>
        <w:t>以及《国家发展改革委关于加快开展县城城镇化补短板</w:t>
      </w:r>
      <w:r>
        <w:rPr>
          <w:rFonts w:ascii="仿宋" w:hAnsi="仿宋" w:eastAsia="仿宋"/>
          <w:color w:val="000000"/>
          <w:sz w:val="30"/>
          <w:szCs w:val="30"/>
        </w:rPr>
        <w:t>强弱项工作的通知》（发改规划〔2020〕831号）精神，针对县城公共卫生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、</w:t>
      </w:r>
      <w:r>
        <w:rPr>
          <w:rFonts w:ascii="仿宋" w:hAnsi="仿宋" w:eastAsia="仿宋"/>
          <w:color w:val="000000"/>
          <w:sz w:val="30"/>
          <w:szCs w:val="30"/>
        </w:rPr>
        <w:t>人居环境、公共服务、市政设施、产业配套等方面存在短板和薄弱环节，扩大有效投资、释放消费潜力、拓展市场纵深，大力提升县城公共设施和服务能力，</w:t>
      </w:r>
      <w:r>
        <w:rPr>
          <w:rFonts w:ascii="仿宋" w:hAnsi="仿宋" w:eastAsia="仿宋"/>
          <w:sz w:val="30"/>
          <w:szCs w:val="30"/>
        </w:rPr>
        <w:t>中国投资协会项目投融资专</w:t>
      </w:r>
      <w:r>
        <w:rPr>
          <w:rFonts w:ascii="仿宋" w:hAnsi="仿宋" w:eastAsia="仿宋"/>
          <w:color w:val="000000"/>
          <w:sz w:val="30"/>
          <w:szCs w:val="30"/>
        </w:rPr>
        <w:t>业委员会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会</w:t>
      </w:r>
      <w:r>
        <w:rPr>
          <w:rFonts w:ascii="仿宋" w:hAnsi="仿宋" w:eastAsia="仿宋"/>
          <w:color w:val="000000"/>
          <w:sz w:val="30"/>
          <w:szCs w:val="30"/>
        </w:rPr>
        <w:t>同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北京中建科信信息咨询中心</w:t>
      </w:r>
      <w:r>
        <w:rPr>
          <w:rFonts w:ascii="仿宋" w:hAnsi="仿宋" w:eastAsia="仿宋"/>
          <w:color w:val="000000"/>
          <w:sz w:val="30"/>
          <w:szCs w:val="30"/>
        </w:rPr>
        <w:t>联合举办2021年基建REITs项目申报与“十四五”背景下地方政府及城投公司项目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谋</w:t>
      </w:r>
      <w:r>
        <w:rPr>
          <w:rFonts w:ascii="仿宋" w:hAnsi="仿宋" w:eastAsia="仿宋"/>
          <w:color w:val="000000"/>
          <w:sz w:val="30"/>
          <w:szCs w:val="30"/>
        </w:rPr>
        <w:t>划和投融资实务培训班。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left="0" w:right="67" w:rightChars="28" w:firstLine="600" w:firstLineChars="200"/>
        <w:jc w:val="both"/>
        <w:textAlignment w:val="auto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本次培训</w:t>
      </w:r>
      <w:r>
        <w:rPr>
          <w:rFonts w:hint="eastAsia" w:ascii="仿宋" w:hAnsi="仿宋" w:eastAsia="仿宋"/>
          <w:sz w:val="30"/>
          <w:szCs w:val="30"/>
          <w:lang w:eastAsia="zh-CN"/>
        </w:rPr>
        <w:t>旨在</w:t>
      </w:r>
      <w:r>
        <w:rPr>
          <w:rFonts w:ascii="仿宋" w:hAnsi="仿宋" w:eastAsia="仿宋"/>
          <w:sz w:val="30"/>
          <w:szCs w:val="30"/>
        </w:rPr>
        <w:t>帮助有关单位学习领会“十四五”规划</w:t>
      </w:r>
      <w:r>
        <w:rPr>
          <w:rFonts w:hint="default" w:ascii="仿宋" w:hAnsi="仿宋" w:eastAsia="仿宋"/>
          <w:sz w:val="30"/>
          <w:szCs w:val="30"/>
        </w:rPr>
        <w:t>和2035年远景目标纲</w:t>
      </w:r>
      <w:r>
        <w:rPr>
          <w:rFonts w:hint="eastAsia" w:ascii="仿宋" w:hAnsi="仿宋" w:eastAsia="仿宋"/>
          <w:sz w:val="30"/>
          <w:szCs w:val="30"/>
          <w:lang w:eastAsia="zh-CN"/>
        </w:rPr>
        <w:t>要</w:t>
      </w:r>
      <w:r>
        <w:rPr>
          <w:rFonts w:ascii="仿宋" w:hAnsi="仿宋" w:eastAsia="仿宋"/>
          <w:sz w:val="30"/>
          <w:szCs w:val="30"/>
        </w:rPr>
        <w:t>以及县城城镇化工作相关政策重点，深度解析</w:t>
      </w:r>
      <w:r>
        <w:rPr>
          <w:rFonts w:hint="eastAsia" w:ascii="仿宋" w:hAnsi="仿宋" w:eastAsia="仿宋"/>
          <w:sz w:val="30"/>
          <w:szCs w:val="30"/>
          <w:lang w:eastAsia="zh-CN"/>
        </w:rPr>
        <w:t>纲要的</w:t>
      </w:r>
      <w:r>
        <w:rPr>
          <w:rFonts w:ascii="仿宋" w:hAnsi="仿宋" w:eastAsia="仿宋"/>
          <w:sz w:val="30"/>
          <w:szCs w:val="30"/>
        </w:rPr>
        <w:t>主要目标</w:t>
      </w:r>
      <w:r>
        <w:rPr>
          <w:rFonts w:hint="eastAsia" w:ascii="仿宋" w:hAnsi="仿宋" w:eastAsia="仿宋"/>
          <w:sz w:val="30"/>
          <w:szCs w:val="30"/>
          <w:lang w:eastAsia="zh-CN"/>
        </w:rPr>
        <w:t>任务</w:t>
      </w:r>
      <w:r>
        <w:rPr>
          <w:rFonts w:ascii="仿宋" w:hAnsi="仿宋" w:eastAsia="仿宋"/>
          <w:sz w:val="30"/>
          <w:szCs w:val="30"/>
        </w:rPr>
        <w:t>，切实提高基础设施与公共服务项目谋划设计能力，明确项目资金支持的重点和渠道,着力解决基建REITs项目实操中的相关问题。现将有关培训事项通知如下：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主办单位：中国投资协会项目投融资专业委员会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_GB2312"/>
          <w:bCs/>
          <w:color w:val="000000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承办单位：</w:t>
      </w:r>
      <w:r>
        <w:rPr>
          <w:rFonts w:hint="eastAsia" w:ascii="仿宋" w:hAnsi="仿宋" w:eastAsia="仿宋"/>
          <w:color w:val="000000"/>
          <w:sz w:val="30"/>
          <w:szCs w:val="30"/>
          <w:lang w:val="zh-CN"/>
        </w:rPr>
        <w:t>北京中建科信信息咨询中心</w:t>
      </w:r>
      <w:r>
        <w:rPr>
          <w:rFonts w:ascii="仿宋" w:hAnsi="仿宋" w:eastAsia="仿宋"/>
          <w:kern w:val="2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88" w:firstLineChars="196"/>
        <w:textAlignment w:val="auto"/>
        <w:rPr>
          <w:rFonts w:hint="default" w:ascii="仿宋" w:hAnsi="仿宋" w:eastAsia="仿宋" w:cs="楷体"/>
          <w:b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二、培训内容</w:t>
      </w:r>
      <w:r>
        <w:rPr>
          <w:rFonts w:ascii="仿宋" w:hAnsi="仿宋" w:eastAsia="仿宋" w:cs="楷体"/>
          <w:b/>
          <w:kern w:val="2"/>
          <w:sz w:val="30"/>
          <w:szCs w:val="30"/>
        </w:rPr>
        <w:t>（详细内容见附件）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1.基础设施REITs 操作实务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2.“十四五”期间政府与城投的工作目标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3.“十四五”项目谋划实务工作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4.地方政府与城投融资工具解析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5.重点领域案例及实施路径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6.近期热点工作解读分析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196"/>
        <w:jc w:val="both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三、培训对象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1.各地方政府发改、教育、科技、司法、财政、环保、住建、交通、水利、农业、林业、文旅、卫健、能源等部门相关工作人员。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both"/>
        <w:textAlignment w:val="auto"/>
        <w:rPr>
          <w:rFonts w:hint="default" w:ascii="仿宋" w:hAnsi="仿宋" w:eastAsia="仿宋"/>
          <w:kern w:val="2"/>
          <w:sz w:val="30"/>
          <w:szCs w:val="30"/>
        </w:rPr>
      </w:pPr>
      <w:r>
        <w:rPr>
          <w:rFonts w:ascii="仿宋" w:hAnsi="仿宋" w:eastAsia="仿宋"/>
          <w:kern w:val="2"/>
          <w:sz w:val="30"/>
          <w:szCs w:val="30"/>
        </w:rPr>
        <w:t>2.各地污水垃圾处理、固废危废处理、供水供气供热、仓储物流、清洁能源、环境保护、网络信息、园区开发、建筑建材等领域企业管理人员，国有大中型企业、大型民企以及PPP项目SPV等领域企事业单位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银行、证券、基金、信托、资产管理、融资租赁等金融机构和工程咨询、规划设计、财务顾问、法律行业等部门负责人及管理人员。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四、授课专家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拟邀请国家发展改革委、财政部PPP项目相关领域专家授课，培训采用专题讲座、案例分析、政策解读、现场答疑、研讨交流等形式进行讲解。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五、时间地点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2021年5月28日—6月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2"/>
          <w:sz w:val="30"/>
          <w:szCs w:val="30"/>
        </w:rPr>
        <w:t>1日  西安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市</w:t>
      </w:r>
      <w:r>
        <w:rPr>
          <w:rFonts w:hint="eastAsia" w:ascii="仿宋" w:hAnsi="仿宋" w:eastAsia="仿宋" w:cs="仿宋"/>
          <w:kern w:val="2"/>
          <w:sz w:val="30"/>
          <w:szCs w:val="30"/>
        </w:rPr>
        <w:t>（28日全天报到）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长沙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市（1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9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贵阳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9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青岛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17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成都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3日全天报到）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</w:rPr>
        <w:t>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银川</w:t>
      </w:r>
      <w:r>
        <w:rPr>
          <w:rFonts w:hint="eastAsia" w:ascii="仿宋" w:hAnsi="仿宋" w:eastAsia="仿宋" w:cs="仿宋"/>
          <w:kern w:val="2"/>
          <w:sz w:val="30"/>
          <w:szCs w:val="30"/>
        </w:rPr>
        <w:t>市（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 昆明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</w:rPr>
        <w:t>市（14日全天报到）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kern w:val="2"/>
          <w:sz w:val="30"/>
          <w:szCs w:val="30"/>
        </w:rPr>
        <w:t>日—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0"/>
          <w:szCs w:val="30"/>
        </w:rPr>
        <w:t>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 w:cs="仿宋"/>
          <w:kern w:val="2"/>
          <w:sz w:val="30"/>
          <w:szCs w:val="30"/>
        </w:rPr>
        <w:t xml:space="preserve">日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南宁市</w:t>
      </w:r>
      <w:r>
        <w:rPr>
          <w:rFonts w:hint="eastAsia" w:ascii="仿宋" w:hAnsi="仿宋" w:eastAsia="仿宋" w:cs="仿宋"/>
          <w:kern w:val="2"/>
          <w:sz w:val="30"/>
          <w:szCs w:val="30"/>
        </w:rPr>
        <w:t>（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kern w:val="2"/>
          <w:sz w:val="30"/>
          <w:szCs w:val="30"/>
        </w:rPr>
        <w:t>日全天报到</w:t>
      </w:r>
      <w:r>
        <w:rPr>
          <w:rFonts w:hint="eastAsia" w:ascii="仿宋" w:hAnsi="仿宋" w:eastAsia="仿宋" w:cs="仿宋"/>
          <w:kern w:val="2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2"/>
          <w:sz w:val="30"/>
          <w:szCs w:val="30"/>
        </w:rPr>
        <w:t>2021年10月22日—10月26日珠海市（22日全天报到）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黑体" w:hAnsi="黑体" w:eastAsia="黑体" w:cs="黑体"/>
          <w:kern w:val="2"/>
          <w:sz w:val="30"/>
          <w:szCs w:val="30"/>
        </w:rPr>
      </w:pPr>
      <w:r>
        <w:rPr>
          <w:rFonts w:ascii="黑体" w:hAnsi="黑体" w:eastAsia="黑体" w:cs="黑体"/>
          <w:kern w:val="2"/>
          <w:sz w:val="30"/>
          <w:szCs w:val="30"/>
        </w:rPr>
        <w:t>六、相关事宜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450" w:firstLineChars="150"/>
        <w:textAlignment w:val="auto"/>
        <w:rPr>
          <w:rFonts w:hint="default" w:ascii="楷体" w:hAnsi="楷体" w:eastAsia="楷体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（一）培训费用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A.2980元/人（含培训、资料、课件、场地费用及会议期间午餐），住宿统一安排，费用自理。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B.3980元/人（含证书、培训、资料、课件、场地费用及会议期间午餐），住宿统一安排，费用自理。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600" w:firstLineChars="200"/>
        <w:textAlignment w:val="auto"/>
        <w:rPr>
          <w:rFonts w:hint="default"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C.5980元/人（含证书、培训、资料、课件、场地费用及会议期间食宿）。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结束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国家人事人才培训网、北京企业管理咨询协会共同颁发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投融资管理师</w:t>
      </w:r>
      <w:r>
        <w:rPr>
          <w:rFonts w:hint="eastAsia" w:ascii="仿宋" w:hAnsi="仿宋" w:eastAsia="仿宋" w:cs="仿宋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》《投资咨询师》</w:t>
      </w:r>
      <w:r>
        <w:rPr>
          <w:rFonts w:ascii="仿宋" w:hAnsi="仿宋" w:eastAsia="仿宋" w:cs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证书，需提供报名回执表、二寸白底免冠彩色照片（电子版）、身份证（复印件）、学历证书（复印件）各一份。</w:t>
      </w:r>
      <w:r>
        <w:rPr>
          <w:rFonts w:ascii="仿宋" w:hAnsi="仿宋" w:eastAsia="仿宋"/>
          <w:color w:val="000000"/>
          <w:sz w:val="30"/>
          <w:szCs w:val="30"/>
        </w:rPr>
        <w:t>证书查询网址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"http://www.chinanet.gov.cn/" </w:instrText>
      </w:r>
      <w:r>
        <w:rPr>
          <w:sz w:val="30"/>
          <w:szCs w:val="30"/>
        </w:rPr>
        <w:fldChar w:fldCharType="separate"/>
      </w:r>
      <w:r>
        <w:rPr>
          <w:rFonts w:ascii="仿宋" w:hAnsi="仿宋" w:eastAsia="仿宋"/>
          <w:color w:val="000000"/>
          <w:sz w:val="30"/>
          <w:szCs w:val="30"/>
        </w:rPr>
        <w:t>http://www.chinanet.gov.cn</w:t>
      </w:r>
      <w:r>
        <w:rPr>
          <w:rFonts w:ascii="仿宋" w:hAnsi="仿宋" w:eastAsia="仿宋"/>
          <w:color w:val="000000"/>
          <w:sz w:val="30"/>
          <w:szCs w:val="30"/>
        </w:rPr>
        <w:fldChar w:fldCharType="end"/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88" w:firstLineChars="196"/>
        <w:textAlignment w:val="auto"/>
        <w:rPr>
          <w:rFonts w:hint="default" w:ascii="楷体" w:hAnsi="楷体" w:eastAsia="楷体"/>
          <w:color w:val="000000"/>
          <w:sz w:val="30"/>
          <w:szCs w:val="30"/>
        </w:rPr>
      </w:pPr>
      <w:r>
        <w:rPr>
          <w:rFonts w:ascii="楷体" w:hAnsi="楷体" w:eastAsia="楷体" w:cs="楷体"/>
          <w:bCs/>
          <w:color w:val="000000"/>
          <w:kern w:val="2"/>
          <w:sz w:val="30"/>
          <w:szCs w:val="30"/>
        </w:rPr>
        <w:t>（二）联系方式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_GB2312"/>
          <w:bCs/>
          <w:color w:val="000000"/>
          <w:sz w:val="30"/>
          <w:szCs w:val="30"/>
          <w:lang w:val="en-US" w:eastAsia="zh-CN"/>
        </w:rPr>
        <w:t xml:space="preserve">报名负责人：聂红军 主任18211071700（微信）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_GB2312"/>
          <w:bCs/>
          <w:color w:val="000000"/>
          <w:sz w:val="30"/>
          <w:szCs w:val="30"/>
          <w:lang w:val="en-US" w:eastAsia="zh-CN"/>
        </w:rPr>
        <w:t xml:space="preserve">电  话：010-87697580      邮    箱：zqgphwz@126.com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hint="default" w:ascii="仿宋" w:hAnsi="仿宋" w:eastAsia="仿宋" w:cs="仿宋_GB2312"/>
          <w:bCs/>
          <w:color w:val="000000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_GB2312"/>
          <w:bCs/>
          <w:color w:val="000000"/>
          <w:sz w:val="30"/>
          <w:szCs w:val="30"/>
          <w:lang w:val="en-US" w:eastAsia="zh-CN"/>
        </w:rPr>
        <w:t xml:space="preserve">qq咨询：3177524020      网址查询：http://www.zqgpchina.cn/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00" w:firstLineChars="200"/>
        <w:textAlignment w:val="auto"/>
        <w:rPr>
          <w:rFonts w:ascii="仿宋" w:hAnsi="仿宋" w:eastAsia="仿宋" w:cs="黑体"/>
          <w:bCs/>
          <w:color w:val="000000"/>
          <w:kern w:val="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588" w:firstLineChars="196"/>
        <w:textAlignment w:val="auto"/>
        <w:rPr>
          <w:rFonts w:hint="default"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 w:cs="黑体"/>
          <w:b/>
          <w:bCs/>
          <w:color w:val="000000"/>
          <w:kern w:val="2"/>
          <w:sz w:val="30"/>
          <w:szCs w:val="30"/>
        </w:rPr>
        <w:t>附件：</w:t>
      </w:r>
      <w:r>
        <w:rPr>
          <w:rFonts w:ascii="仿宋" w:hAnsi="仿宋" w:eastAsia="仿宋"/>
          <w:color w:val="000000"/>
          <w:sz w:val="30"/>
          <w:szCs w:val="30"/>
        </w:rPr>
        <w:t>1.培训内容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1500" w:firstLineChars="500"/>
        <w:textAlignment w:val="auto"/>
        <w:rPr>
          <w:rFonts w:hint="default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0"/>
          <w:szCs w:val="30"/>
        </w:rPr>
        <w:t>2.报名回执表</w:t>
      </w: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54610</wp:posOffset>
            </wp:positionV>
            <wp:extent cx="1933575" cy="1724025"/>
            <wp:effectExtent l="0" t="0" r="0" b="0"/>
            <wp:wrapNone/>
            <wp:docPr id="1" name="图片 1" descr="f8eb2c80528dd301dc54af18686c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eb2c80528dd301dc54af18686c9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2"/>
          <w:szCs w:val="32"/>
          <w:lang w:bidi="zh-CN"/>
        </w:rPr>
      </w:pPr>
    </w:p>
    <w:p>
      <w:pPr>
        <w:spacing w:line="420" w:lineRule="exact"/>
        <w:ind w:firstLine="3900" w:firstLineChars="1300"/>
        <w:rPr>
          <w:rFonts w:hint="eastAsia"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中国投资协会项目投融资专业委员会</w:t>
      </w:r>
    </w:p>
    <w:p>
      <w:pPr>
        <w:autoSpaceDE/>
        <w:autoSpaceDN/>
        <w:adjustRightInd/>
        <w:spacing w:line="320" w:lineRule="exact"/>
        <w:jc w:val="both"/>
        <w:rPr>
          <w:rFonts w:hint="default" w:ascii="仿宋" w:hAnsi="仿宋" w:eastAsia="仿宋" w:cs="黑体"/>
          <w:b/>
          <w:kern w:val="2"/>
          <w:sz w:val="30"/>
          <w:szCs w:val="30"/>
          <w:lang w:bidi="zh-CN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                      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 xml:space="preserve">   2021年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月2</w:t>
      </w:r>
      <w:r>
        <w:rPr>
          <w:rFonts w:hint="eastAsia" w:ascii="仿宋" w:hAnsi="仿宋" w:eastAsia="仿宋" w:cs="仿宋"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日</w:t>
      </w:r>
    </w:p>
    <w:p>
      <w:pPr>
        <w:autoSpaceDE/>
        <w:autoSpaceDN/>
        <w:adjustRightInd/>
        <w:spacing w:line="320" w:lineRule="exact"/>
        <w:ind w:firstLine="4480" w:firstLineChars="1400"/>
        <w:jc w:val="both"/>
        <w:rPr>
          <w:rFonts w:ascii="仿宋" w:hAnsi="仿宋" w:eastAsia="仿宋" w:cs="仿宋"/>
          <w:bCs/>
          <w:kern w:val="2"/>
          <w:sz w:val="32"/>
          <w:szCs w:val="32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</w:p>
    <w:p>
      <w:pPr>
        <w:autoSpaceDE/>
        <w:autoSpaceDN/>
        <w:adjustRightInd/>
        <w:spacing w:line="270" w:lineRule="exact"/>
        <w:jc w:val="both"/>
        <w:rPr>
          <w:rFonts w:ascii="黑体" w:hAnsi="黑体" w:eastAsia="黑体" w:cs="黑体"/>
          <w:bCs/>
          <w:kern w:val="2"/>
          <w:sz w:val="28"/>
          <w:szCs w:val="28"/>
          <w:lang w:bidi="zh-CN"/>
        </w:rPr>
      </w:pPr>
      <w:r>
        <w:rPr>
          <w:rFonts w:ascii="黑体" w:hAnsi="黑体" w:eastAsia="黑体" w:cs="黑体"/>
          <w:bCs/>
          <w:kern w:val="2"/>
          <w:sz w:val="28"/>
          <w:szCs w:val="28"/>
          <w:lang w:bidi="zh-CN"/>
        </w:rPr>
        <w:t>附件：</w:t>
      </w:r>
      <w:r>
        <w:rPr>
          <w:rFonts w:hint="eastAsia" w:ascii="黑体" w:hAnsi="黑体" w:eastAsia="黑体" w:cs="黑体"/>
          <w:bCs/>
          <w:kern w:val="2"/>
          <w:sz w:val="28"/>
          <w:szCs w:val="28"/>
          <w:lang w:val="en-US" w:bidi="zh-CN"/>
        </w:rPr>
        <w:t>1</w:t>
      </w:r>
    </w:p>
    <w:p>
      <w:pPr>
        <w:autoSpaceDE/>
        <w:autoSpaceDN/>
        <w:adjustRightInd/>
        <w:spacing w:line="270" w:lineRule="exact"/>
        <w:jc w:val="center"/>
        <w:rPr>
          <w:rFonts w:hint="default" w:cs="黑体" w:asciiTheme="minorEastAsia" w:hAnsiTheme="minorEastAsia" w:eastAsiaTheme="minorEastAsia"/>
          <w:b/>
          <w:bCs/>
          <w:kern w:val="2"/>
          <w:sz w:val="28"/>
          <w:szCs w:val="28"/>
          <w:lang w:bidi="zh-CN"/>
        </w:rPr>
      </w:pPr>
      <w:r>
        <w:rPr>
          <w:rFonts w:cs="黑体" w:asciiTheme="minorEastAsia" w:hAnsiTheme="minorEastAsia" w:eastAsiaTheme="minorEastAsia"/>
          <w:b/>
          <w:bCs/>
          <w:kern w:val="2"/>
          <w:sz w:val="28"/>
          <w:szCs w:val="28"/>
          <w:lang w:bidi="zh-CN"/>
        </w:rPr>
        <w:t>培 训 内 容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一、基础设施REITs操作实务</w:t>
      </w:r>
    </w:p>
    <w:p>
      <w:pPr>
        <w:pStyle w:val="4"/>
        <w:spacing w:line="270" w:lineRule="exact"/>
        <w:ind w:left="0" w:firstLine="370" w:firstLineChars="147"/>
        <w:rPr>
          <w:rFonts w:hint="default" w:ascii="楷体" w:hAnsi="楷体" w:eastAsia="楷体" w:cs="仿宋"/>
          <w:bCs/>
          <w:spacing w:val="6"/>
          <w:sz w:val="24"/>
          <w:szCs w:val="24"/>
        </w:rPr>
      </w:pPr>
      <w:r>
        <w:rPr>
          <w:rFonts w:ascii="楷体" w:hAnsi="楷体" w:eastAsia="楷体" w:cs="仿宋"/>
          <w:bCs/>
          <w:spacing w:val="6"/>
          <w:sz w:val="24"/>
          <w:szCs w:val="24"/>
        </w:rPr>
        <w:t>（一）REITs基本内容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1.REITs 的信托原理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2.契约型和公司型 REITs的优缺点 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3.权益型和抵押型 REITs的优缺点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spacing w:val="6"/>
        </w:rPr>
      </w:pPr>
      <w:r>
        <w:rPr>
          <w:rFonts w:hint="eastAsia" w:ascii="仿宋" w:hAnsi="仿宋" w:eastAsia="仿宋" w:cs="仿宋"/>
          <w:color w:val="000000"/>
        </w:rPr>
        <w:t>4.国外REITs发展经验和启发</w:t>
      </w:r>
    </w:p>
    <w:p>
      <w:pPr>
        <w:spacing w:line="270" w:lineRule="exact"/>
        <w:ind w:firstLine="472" w:firstLineChars="197"/>
        <w:rPr>
          <w:rFonts w:hint="default" w:ascii="楷体" w:hAnsi="楷体" w:eastAsia="楷体" w:cs="仿宋"/>
          <w:bCs/>
          <w:color w:val="000000"/>
          <w:szCs w:val="24"/>
        </w:rPr>
      </w:pPr>
      <w:r>
        <w:rPr>
          <w:rFonts w:ascii="楷体" w:hAnsi="楷体" w:eastAsia="楷体" w:cs="仿宋"/>
          <w:bCs/>
          <w:color w:val="000000"/>
          <w:szCs w:val="24"/>
        </w:rPr>
        <w:t>（二）基础设施 REITs 全流程设计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1.基础设施 REITs 的市场参与主体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2.基础设施 REITs 的项目筛选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3.“公募基金+ABS”的交易结构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bCs/>
          <w:spacing w:val="6"/>
          <w:sz w:val="24"/>
          <w:szCs w:val="24"/>
        </w:rPr>
      </w:pPr>
      <w:r>
        <w:rPr>
          <w:rFonts w:ascii="楷体" w:hAnsi="楷体" w:eastAsia="楷体" w:cs="仿宋"/>
          <w:bCs/>
          <w:spacing w:val="6"/>
          <w:sz w:val="24"/>
          <w:szCs w:val="24"/>
        </w:rPr>
        <w:t>(三）基础设施 REITs 与类 REITs 项目比较</w:t>
      </w:r>
    </w:p>
    <w:p>
      <w:pPr>
        <w:pStyle w:val="4"/>
        <w:spacing w:line="270" w:lineRule="exact"/>
        <w:ind w:left="0" w:firstLine="588" w:firstLineChars="245"/>
        <w:rPr>
          <w:rFonts w:hint="default" w:ascii="仿宋" w:hAnsi="仿宋" w:eastAsia="仿宋" w:cs="仿宋"/>
          <w:b/>
          <w:bCs/>
          <w:spacing w:val="6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1.与 PPP+ABS 的产品比较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（1）基础设施 REITs 的独有股权属性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（2）基础设施 REITs 对项目运营期限的要求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（3）基础设施 REITs 投资退出方式的创新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（4）基础设施 REITs 真正实现财务出表</w:t>
      </w:r>
    </w:p>
    <w:p>
      <w:pPr>
        <w:spacing w:line="270" w:lineRule="exact"/>
        <w:ind w:left="559" w:leftChars="233" w:firstLine="120" w:firstLineChars="5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2.</w:t>
      </w:r>
      <w:r>
        <w:rPr>
          <w:rFonts w:ascii="仿宋" w:hAnsi="仿宋" w:eastAsia="仿宋" w:cs="仿宋"/>
          <w:color w:val="000000"/>
          <w:szCs w:val="24"/>
        </w:rPr>
        <w:t>与类REITs 比较（案例解读）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bCs/>
          <w:spacing w:val="6"/>
          <w:sz w:val="24"/>
          <w:szCs w:val="24"/>
        </w:rPr>
      </w:pPr>
      <w:r>
        <w:rPr>
          <w:rFonts w:ascii="楷体" w:hAnsi="楷体" w:eastAsia="楷体" w:cs="仿宋"/>
          <w:bCs/>
          <w:spacing w:val="6"/>
          <w:sz w:val="24"/>
          <w:szCs w:val="24"/>
        </w:rPr>
        <w:t>（四）基础设施 REITs 在 PPP 项目的应用</w:t>
      </w:r>
    </w:p>
    <w:p>
      <w:pPr>
        <w:pStyle w:val="4"/>
        <w:spacing w:line="270" w:lineRule="exact"/>
        <w:ind w:left="0" w:firstLine="588" w:firstLineChars="245"/>
        <w:rPr>
          <w:rFonts w:hint="default" w:ascii="仿宋" w:hAnsi="仿宋" w:eastAsia="仿宋" w:cs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1.REITs 是否能够解决 PPP 项目社会资本方退出的痛点</w:t>
      </w:r>
    </w:p>
    <w:p>
      <w:pPr>
        <w:pStyle w:val="4"/>
        <w:spacing w:line="270" w:lineRule="exact"/>
        <w:ind w:left="0" w:firstLine="600" w:firstLineChars="250"/>
        <w:rPr>
          <w:rFonts w:hint="default" w:ascii="仿宋" w:hAnsi="仿宋" w:eastAsia="仿宋" w:cs="仿宋"/>
          <w:b/>
          <w:bCs/>
          <w:spacing w:val="6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t>2.PPP 项目拟发行REITs存在的障碍</w:t>
      </w:r>
    </w:p>
    <w:p>
      <w:pPr>
        <w:spacing w:line="270" w:lineRule="exact"/>
        <w:ind w:left="559" w:leftChars="233"/>
        <w:rPr>
          <w:rFonts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（1）股权收购的法律和实践障碍</w:t>
      </w:r>
    </w:p>
    <w:p>
      <w:pPr>
        <w:spacing w:line="270" w:lineRule="exact"/>
        <w:ind w:left="559" w:leftChars="233"/>
        <w:rPr>
          <w:rFonts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（2）特许经营权转让的限制</w:t>
      </w:r>
    </w:p>
    <w:p>
      <w:pPr>
        <w:spacing w:line="270" w:lineRule="exact"/>
        <w:ind w:left="559" w:leftChars="233"/>
        <w:rPr>
          <w:rFonts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（3）能否覆盖PPP项目的债务性融资存在不确定性</w:t>
      </w:r>
    </w:p>
    <w:p>
      <w:pPr>
        <w:spacing w:line="270" w:lineRule="exact"/>
        <w:ind w:left="559" w:leftChars="233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（4）基础设施基金REITs流动性问题（投资者偏好）</w:t>
      </w:r>
    </w:p>
    <w:p>
      <w:pPr>
        <w:spacing w:line="270" w:lineRule="exact"/>
        <w:ind w:firstLine="600" w:firstLineChars="25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color w:val="000000"/>
          <w:szCs w:val="24"/>
        </w:rPr>
        <w:t>3.“PPP＋REITs”的发展展望及现行政策解读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（1）《发改办投资〔2020〕586号》要点分析</w:t>
      </w:r>
    </w:p>
    <w:p>
      <w:pPr>
        <w:spacing w:line="270" w:lineRule="exact"/>
        <w:ind w:left="560"/>
        <w:rPr>
          <w:rFonts w:hint="default" w:ascii="仿宋" w:hAnsi="仿宋" w:eastAsia="仿宋" w:cs="仿宋"/>
          <w:szCs w:val="24"/>
        </w:rPr>
      </w:pPr>
      <w:r>
        <w:rPr>
          <w:rFonts w:ascii="仿宋" w:hAnsi="仿宋" w:eastAsia="仿宋" w:cs="仿宋"/>
          <w:szCs w:val="24"/>
        </w:rPr>
        <w:t>（2）《公开公募基础设施证券投资基金指引(试行)》要点分析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二、“十四五”期间政府与城投的工作目标</w:t>
      </w:r>
    </w:p>
    <w:p>
      <w:pPr>
        <w:spacing w:line="270" w:lineRule="exact"/>
        <w:ind w:firstLine="470" w:firstLineChars="196"/>
        <w:rPr>
          <w:rFonts w:hint="default" w:ascii="楷体" w:hAnsi="楷体" w:eastAsia="楷体" w:cs="仿宋"/>
          <w:bCs/>
          <w:color w:val="000000"/>
          <w:szCs w:val="24"/>
        </w:rPr>
      </w:pPr>
      <w:r>
        <w:rPr>
          <w:rFonts w:ascii="楷体" w:hAnsi="楷体" w:eastAsia="楷体" w:cs="仿宋"/>
          <w:bCs/>
          <w:color w:val="000000"/>
          <w:szCs w:val="24"/>
        </w:rPr>
        <w:t>（一）“十四五”规划《建议》目标解读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1.“十四五”的工作重点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2.市场化改革的定位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3.展望财税改革与地方可用财力</w:t>
      </w:r>
    </w:p>
    <w:p>
      <w:pPr>
        <w:pStyle w:val="4"/>
        <w:spacing w:line="270" w:lineRule="exact"/>
        <w:ind w:left="0" w:firstLine="504" w:firstLineChars="200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（二）未来五年的基础设施与公共服务目标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1.统筹推进基础设施建设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2.强化基建与产业的关联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3.通过基建拓展投资空间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4.以基建促进经济内循环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（三）实施的主要方向与亟需解决的问题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1.城投公司兼并与转型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2.培育地方发展新动能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3.规范化融资、防范债务风险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4.化解存量债务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三、“十四五”期间项目谋划实务工作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（一）项目谋划核心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1.优先项目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2.有效现金流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3.可持续模式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4.合规与风险</w:t>
      </w:r>
    </w:p>
    <w:p>
      <w:pPr>
        <w:pStyle w:val="4"/>
        <w:spacing w:line="270" w:lineRule="exact"/>
        <w:ind w:left="0" w:firstLine="504" w:firstLineChars="200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（二）重点领域范围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1.公共服务领域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2.环境卫生领域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3.县级产业培育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4.城镇化与土地</w:t>
      </w:r>
    </w:p>
    <w:p>
      <w:pPr>
        <w:spacing w:line="270" w:lineRule="exact"/>
        <w:ind w:firstLine="493" w:firstLineChars="196"/>
        <w:rPr>
          <w:rFonts w:hint="default" w:ascii="楷体" w:hAnsi="楷体" w:eastAsia="楷体" w:cs="仿宋"/>
          <w:color w:val="000000"/>
          <w:szCs w:val="24"/>
        </w:rPr>
      </w:pPr>
      <w:r>
        <w:rPr>
          <w:rFonts w:ascii="楷体" w:hAnsi="楷体" w:eastAsia="楷体" w:cs="仿宋"/>
          <w:spacing w:val="6"/>
          <w:szCs w:val="24"/>
        </w:rPr>
        <w:t>（三）经营模式安排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1.理顺政企关系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2.引入社会投资人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3.投资与运营的分离</w:t>
      </w:r>
    </w:p>
    <w:p>
      <w:pPr>
        <w:spacing w:line="270" w:lineRule="exact"/>
        <w:ind w:firstLine="480" w:firstLineChars="200"/>
        <w:rPr>
          <w:rFonts w:hint="default" w:ascii="楷体" w:hAnsi="楷体" w:eastAsia="楷体" w:cs="仿宋"/>
          <w:color w:val="000000"/>
          <w:szCs w:val="24"/>
        </w:rPr>
      </w:pPr>
      <w:r>
        <w:rPr>
          <w:rFonts w:ascii="楷体" w:hAnsi="楷体" w:eastAsia="楷体" w:cs="仿宋_GB2312"/>
          <w:bCs/>
          <w:color w:val="000000"/>
          <w:szCs w:val="24"/>
        </w:rPr>
        <w:t>（四）专打好宏观经济账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1.投融资与土地财政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2.县级产业发展要点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3.财政与平台的资金循环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四、地方政府与城投融资工具全解析</w:t>
      </w:r>
    </w:p>
    <w:p>
      <w:pPr>
        <w:widowControl/>
        <w:spacing w:line="270" w:lineRule="exact"/>
        <w:ind w:firstLine="470" w:firstLineChars="196"/>
        <w:rPr>
          <w:rFonts w:hint="default" w:ascii="楷体" w:hAnsi="楷体" w:eastAsia="楷体" w:cs="仿宋_GB2312"/>
          <w:bCs/>
          <w:color w:val="000000"/>
          <w:szCs w:val="24"/>
        </w:rPr>
      </w:pPr>
      <w:r>
        <w:rPr>
          <w:rFonts w:ascii="楷体" w:hAnsi="楷体" w:eastAsia="楷体" w:cs="仿宋_GB2312"/>
          <w:bCs/>
          <w:color w:val="000000"/>
          <w:szCs w:val="24"/>
        </w:rPr>
        <w:t>（一）政府与平台投融资的框架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1.融资平台的整合与改革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2.财务制度与资产规模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3.政企合作的框架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4.政信项目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（二）各类投融资工具详解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1.地方一般债券、专项债券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2.PPP模式、特许经营、ABO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3.EPC+F、商业保理、融资租赁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4.商业银行贷款、政策性银行贷款、基金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5.信托、定融、地方交易所可转债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6.供应链融资、票据融资</w:t>
      </w:r>
    </w:p>
    <w:p>
      <w:pPr>
        <w:pStyle w:val="4"/>
        <w:spacing w:line="270" w:lineRule="exact"/>
        <w:ind w:left="0" w:firstLine="504" w:firstLineChars="200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（三）增信与融资成本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1.融资成本构成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2.债务成本利率展望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3.增信方式与募集规模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4.城投债的营销方式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（四）2021年投融资环境展望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1.政策环境支持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2.信贷与货币市场展望</w:t>
      </w:r>
    </w:p>
    <w:p>
      <w:pPr>
        <w:pStyle w:val="17"/>
        <w:spacing w:line="270" w:lineRule="exact"/>
        <w:ind w:firstLine="720" w:firstLineChars="30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3.“非标转标”的大趋势</w:t>
      </w:r>
    </w:p>
    <w:p>
      <w:pPr>
        <w:pStyle w:val="17"/>
        <w:spacing w:line="270" w:lineRule="exact"/>
        <w:ind w:firstLine="720" w:firstLineChars="30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4.重点领域政策</w:t>
      </w:r>
    </w:p>
    <w:p>
      <w:pPr>
        <w:pStyle w:val="4"/>
        <w:spacing w:line="270" w:lineRule="exact"/>
        <w:ind w:left="0" w:firstLine="493" w:firstLineChars="196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五</w:t>
      </w:r>
      <w:r>
        <w:rPr>
          <w:rFonts w:hint="eastAsia" w:ascii="黑体" w:hAnsi="黑体" w:eastAsia="黑体" w:cs="楷体"/>
          <w:spacing w:val="6"/>
          <w:sz w:val="24"/>
          <w:szCs w:val="24"/>
          <w:lang w:eastAsia="zh-CN"/>
        </w:rPr>
        <w:t>、</w:t>
      </w:r>
      <w:r>
        <w:rPr>
          <w:rFonts w:ascii="黑体" w:hAnsi="黑体" w:eastAsia="黑体" w:cs="楷体"/>
          <w:spacing w:val="6"/>
          <w:sz w:val="24"/>
          <w:szCs w:val="24"/>
        </w:rPr>
        <w:t>重点领域案例及实施路径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（一）新型城镇化领域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（二）环保领域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（三）公共服务领域</w:t>
      </w:r>
    </w:p>
    <w:p>
      <w:pPr>
        <w:pStyle w:val="4"/>
        <w:spacing w:line="270" w:lineRule="exact"/>
        <w:ind w:left="0" w:firstLine="493" w:firstLineChars="196"/>
        <w:rPr>
          <w:rFonts w:hint="default" w:ascii="楷体" w:hAnsi="楷体" w:eastAsia="楷体" w:cs="仿宋"/>
          <w:spacing w:val="6"/>
          <w:sz w:val="24"/>
          <w:szCs w:val="24"/>
        </w:rPr>
      </w:pPr>
      <w:r>
        <w:rPr>
          <w:rFonts w:ascii="楷体" w:hAnsi="楷体" w:eastAsia="楷体" w:cs="仿宋"/>
          <w:spacing w:val="6"/>
          <w:sz w:val="24"/>
          <w:szCs w:val="24"/>
        </w:rPr>
        <w:t>（四）片区开发项目</w:t>
      </w:r>
    </w:p>
    <w:p>
      <w:pPr>
        <w:pStyle w:val="4"/>
        <w:spacing w:line="270" w:lineRule="exact"/>
        <w:ind w:left="0" w:firstLine="504" w:firstLineChars="200"/>
        <w:rPr>
          <w:rFonts w:hint="default" w:ascii="黑体" w:hAnsi="黑体" w:eastAsia="黑体" w:cs="楷体"/>
          <w:spacing w:val="6"/>
          <w:sz w:val="24"/>
          <w:szCs w:val="24"/>
        </w:rPr>
      </w:pPr>
      <w:r>
        <w:rPr>
          <w:rFonts w:ascii="黑体" w:hAnsi="黑体" w:eastAsia="黑体" w:cs="楷体"/>
          <w:spacing w:val="6"/>
          <w:sz w:val="24"/>
          <w:szCs w:val="24"/>
        </w:rPr>
        <w:t>六、近期热点工作解读分析</w:t>
      </w:r>
    </w:p>
    <w:p>
      <w:pPr>
        <w:pStyle w:val="17"/>
        <w:spacing w:line="270" w:lineRule="exact"/>
        <w:ind w:firstLine="470" w:firstLineChars="196"/>
        <w:rPr>
          <w:rFonts w:ascii="楷体" w:hAnsi="楷体" w:eastAsia="楷体" w:cs="仿宋"/>
          <w:bCs/>
          <w:color w:val="000000"/>
        </w:rPr>
      </w:pPr>
      <w:r>
        <w:rPr>
          <w:rFonts w:hint="eastAsia" w:ascii="楷体" w:hAnsi="楷体" w:eastAsia="楷体" w:cs="仿宋"/>
          <w:bCs/>
          <w:color w:val="000000"/>
        </w:rPr>
        <w:t>（一）2021年专项债券申报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1.申报政策解读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2.负面清单制度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3.实务工作指引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4.债券资金管理</w:t>
      </w:r>
    </w:p>
    <w:p>
      <w:pPr>
        <w:spacing w:line="270" w:lineRule="exact"/>
        <w:ind w:firstLine="470" w:firstLineChars="196"/>
        <w:rPr>
          <w:rFonts w:hint="default" w:ascii="楷体" w:hAnsi="楷体" w:eastAsia="楷体" w:cs="仿宋"/>
          <w:bCs/>
          <w:color w:val="000000"/>
          <w:szCs w:val="24"/>
        </w:rPr>
      </w:pPr>
      <w:r>
        <w:rPr>
          <w:rFonts w:ascii="楷体" w:hAnsi="楷体" w:eastAsia="楷体" w:cs="仿宋"/>
          <w:bCs/>
          <w:color w:val="000000"/>
          <w:szCs w:val="24"/>
        </w:rPr>
        <w:t>（二）投融资管理与绩效评价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1.近期投融资焦点问题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2.资本金监管的问题</w:t>
      </w:r>
    </w:p>
    <w:p>
      <w:pPr>
        <w:pStyle w:val="17"/>
        <w:spacing w:line="270" w:lineRule="exact"/>
        <w:ind w:firstLine="600" w:firstLineChars="250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3.投资绩效评价制度</w:t>
      </w:r>
    </w:p>
    <w:p>
      <w:pPr>
        <w:pStyle w:val="17"/>
        <w:spacing w:line="270" w:lineRule="exact"/>
        <w:ind w:firstLine="600" w:firstLineChars="250"/>
        <w:rPr>
          <w:rStyle w:val="12"/>
          <w:rFonts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</w:rPr>
        <w:t>4.投融资压力测试</w:t>
      </w:r>
    </w:p>
    <w:tbl>
      <w:tblPr>
        <w:tblStyle w:val="10"/>
        <w:tblpPr w:leftFromText="180" w:rightFromText="180" w:vertAnchor="page" w:horzAnchor="page" w:tblpX="1192" w:tblpY="2738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7"/>
        <w:gridCol w:w="1294"/>
        <w:gridCol w:w="2002"/>
        <w:gridCol w:w="158"/>
        <w:gridCol w:w="902"/>
        <w:gridCol w:w="103"/>
        <w:gridCol w:w="547"/>
        <w:gridCol w:w="293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单位名称</w:t>
            </w:r>
          </w:p>
        </w:tc>
        <w:tc>
          <w:tcPr>
            <w:tcW w:w="521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650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邮编</w:t>
            </w:r>
          </w:p>
        </w:tc>
        <w:tc>
          <w:tcPr>
            <w:tcW w:w="2296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单位地址</w:t>
            </w:r>
          </w:p>
        </w:tc>
        <w:tc>
          <w:tcPr>
            <w:tcW w:w="8159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联系人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部门职位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办公电话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    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传   真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电子信箱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96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参加培训人员</w:t>
            </w: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职务</w:t>
            </w: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电话</w:t>
            </w: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手机</w:t>
            </w: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857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1294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gridSpan w:val="5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  <w:tc>
          <w:tcPr>
            <w:tcW w:w="2003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是否住宿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□是     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eastAsia="zh-CN"/>
              </w:rPr>
              <w:t>□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否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 w:firstLine="240" w:firstLineChars="1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住宿标准</w:t>
            </w:r>
          </w:p>
        </w:tc>
        <w:tc>
          <w:tcPr>
            <w:tcW w:w="4006" w:type="dxa"/>
            <w:gridSpan w:val="6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Times New Roman" w:hAnsi="Times New Roman"/>
                <w:kern w:val="2"/>
                <w:sz w:val="21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□单住(需另补床位费) 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参会地点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color w:val="FF0000"/>
                <w:kern w:val="2"/>
                <w:szCs w:val="22"/>
              </w:rPr>
            </w:pPr>
          </w:p>
        </w:tc>
        <w:tc>
          <w:tcPr>
            <w:tcW w:w="2002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240" w:firstLineChars="100"/>
              <w:rPr>
                <w:rFonts w:hint="default" w:ascii="仿宋_GB2312" w:hAnsi="Times New Roman" w:eastAsia="仿宋_GB2312"/>
                <w:color w:val="000000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>证书申报</w:t>
            </w:r>
          </w:p>
        </w:tc>
        <w:tc>
          <w:tcPr>
            <w:tcW w:w="4006" w:type="dxa"/>
            <w:gridSpan w:val="6"/>
            <w:vAlign w:val="center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《投融资管理师》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val="en-US" w:eastAsia="zh-CN"/>
              </w:rPr>
              <w:t xml:space="preserve">    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>□</w:t>
            </w:r>
          </w:p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both"/>
              <w:rPr>
                <w:rFonts w:hint="eastAsia" w:ascii="仿宋_GB2312" w:hAnsi="Times New Roman" w:eastAsia="仿宋_GB2312"/>
                <w:color w:val="FF0000"/>
                <w:kern w:val="2"/>
                <w:szCs w:val="22"/>
                <w:lang w:eastAsia="zh-CN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《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eastAsia="zh-CN"/>
              </w:rPr>
              <w:t>投资咨询师</w:t>
            </w: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》  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2"/>
                <w:szCs w:val="22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标准选项</w:t>
            </w:r>
          </w:p>
        </w:tc>
        <w:tc>
          <w:tcPr>
            <w:tcW w:w="8159" w:type="dxa"/>
            <w:gridSpan w:val="9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562" w:firstLineChars="200"/>
              <w:rPr>
                <w:rFonts w:hint="default" w:ascii="仿宋_GB2312" w:hAnsi="Times New Roman" w:eastAsia="仿宋_GB2312"/>
                <w:color w:val="000000"/>
                <w:kern w:val="2"/>
                <w:szCs w:val="22"/>
              </w:rPr>
            </w:pPr>
            <w:r>
              <w:rPr>
                <w:rFonts w:ascii="仿宋_GB2312" w:eastAsia="仿宋_GB2312" w:cs="宋体"/>
                <w:b/>
                <w:color w:val="000000"/>
                <w:sz w:val="28"/>
                <w:szCs w:val="28"/>
              </w:rPr>
              <w:t>A.</w:t>
            </w:r>
            <w:r>
              <w:rPr>
                <w:rFonts w:ascii="仿宋_GB2312" w:eastAsia="仿宋_GB2312" w:cs="宋体"/>
                <w:bCs/>
                <w:color w:val="000000"/>
                <w:sz w:val="28"/>
                <w:szCs w:val="28"/>
              </w:rPr>
              <w:t>2980元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3980元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 xml:space="preserve">□    </w:t>
            </w:r>
            <w:r>
              <w:rPr>
                <w:rFonts w:ascii="仿宋_GB2312" w:eastAsia="仿宋_GB2312" w:cs="宋体"/>
                <w:b/>
                <w:bCs/>
                <w:color w:val="000000"/>
                <w:sz w:val="28"/>
                <w:szCs w:val="28"/>
              </w:rPr>
              <w:t xml:space="preserve"> C</w:t>
            </w:r>
            <w:r>
              <w:rPr>
                <w:rFonts w:ascii="仿宋_GB2312" w:eastAsia="仿宋_GB2312" w:cs="宋体"/>
                <w:color w:val="000000"/>
                <w:sz w:val="28"/>
                <w:szCs w:val="28"/>
              </w:rPr>
              <w:t>.5980元</w:t>
            </w:r>
            <w:r>
              <w:rPr>
                <w:rFonts w:ascii="仿宋_GB2312" w:hAnsi="Times New Roman" w:eastAsia="仿宋_GB2312"/>
                <w:color w:val="000000"/>
                <w:kern w:val="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8" w:type="dxa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付款方式</w:t>
            </w:r>
          </w:p>
        </w:tc>
        <w:tc>
          <w:tcPr>
            <w:tcW w:w="4311" w:type="dxa"/>
            <w:gridSpan w:val="4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 xml:space="preserve">□银行     □网银 </w:t>
            </w:r>
          </w:p>
        </w:tc>
        <w:tc>
          <w:tcPr>
            <w:tcW w:w="1005" w:type="dxa"/>
            <w:gridSpan w:val="2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金额</w:t>
            </w:r>
          </w:p>
        </w:tc>
        <w:tc>
          <w:tcPr>
            <w:tcW w:w="2843" w:type="dxa"/>
            <w:gridSpan w:val="3"/>
          </w:tcPr>
          <w:p>
            <w:pPr>
              <w:widowControl/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需要与专家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沟通的问题</w:t>
            </w:r>
          </w:p>
        </w:tc>
        <w:tc>
          <w:tcPr>
            <w:tcW w:w="8159" w:type="dxa"/>
            <w:gridSpan w:val="9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bCs/>
                <w:kern w:val="2"/>
                <w:szCs w:val="22"/>
              </w:rPr>
              <w:t>收款账户</w:t>
            </w:r>
          </w:p>
        </w:tc>
        <w:tc>
          <w:tcPr>
            <w:tcW w:w="8159" w:type="dxa"/>
            <w:gridSpan w:val="9"/>
            <w:vAlign w:val="center"/>
          </w:tcPr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单位名称：北京中建科信信息咨询中心 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行：北京农村商业银行玉渊潭支行亮甲店分理处 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/>
              <w:rPr>
                <w:rFonts w:hint="default" w:ascii="仿宋_GB2312" w:hAnsi="Times New Roman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号：0405 0401 0300 0007 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678" w:type="dxa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/>
              <w:jc w:val="center"/>
              <w:rPr>
                <w:rFonts w:hint="default" w:ascii="仿宋_GB2312" w:hAnsi="Times New Roman" w:eastAsia="仿宋_GB2312"/>
                <w:b/>
                <w:bCs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备注</w:t>
            </w:r>
          </w:p>
        </w:tc>
        <w:tc>
          <w:tcPr>
            <w:tcW w:w="5213" w:type="dxa"/>
            <w:gridSpan w:val="5"/>
            <w:vAlign w:val="center"/>
          </w:tcPr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请将《报名回执表》发送至会务组，并于报名3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日内将培训费汇至指定账户，会务组确认收到培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训费后即发《参会凭证》，详细说明培训安排具</w:t>
            </w:r>
          </w:p>
          <w:p>
            <w:pPr>
              <w:widowControl/>
              <w:autoSpaceDE/>
              <w:autoSpaceDN/>
              <w:spacing w:line="460" w:lineRule="exact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体事项。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autoSpaceDE/>
              <w:autoSpaceDN/>
              <w:adjustRightInd/>
              <w:spacing w:line="360" w:lineRule="exact"/>
              <w:ind w:right="-168" w:rightChars="-70" w:firstLine="720" w:firstLineChars="30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单位印章</w:t>
            </w:r>
          </w:p>
          <w:p>
            <w:pPr>
              <w:autoSpaceDE/>
              <w:autoSpaceDN/>
              <w:adjustRightInd/>
              <w:spacing w:line="360" w:lineRule="exact"/>
              <w:ind w:right="-168" w:rightChars="-70" w:firstLine="360" w:firstLineChars="150"/>
              <w:jc w:val="both"/>
              <w:rPr>
                <w:rFonts w:hint="default" w:ascii="仿宋_GB2312" w:hAnsi="Times New Roman" w:eastAsia="仿宋_GB2312"/>
                <w:kern w:val="2"/>
                <w:szCs w:val="22"/>
              </w:rPr>
            </w:pPr>
            <w:r>
              <w:rPr>
                <w:rFonts w:ascii="仿宋_GB2312" w:hAnsi="Times New Roman" w:eastAsia="仿宋_GB2312"/>
                <w:kern w:val="2"/>
                <w:szCs w:val="22"/>
              </w:rPr>
              <w:t>2021年  月  日</w:t>
            </w:r>
          </w:p>
        </w:tc>
      </w:tr>
    </w:tbl>
    <w:p>
      <w:pPr>
        <w:pStyle w:val="9"/>
        <w:spacing w:line="440" w:lineRule="exact"/>
        <w:jc w:val="left"/>
        <w:rPr>
          <w:rFonts w:hint="default" w:asciiTheme="majorEastAsia" w:hAnsiTheme="majorEastAsia" w:eastAsiaTheme="majorEastAsia" w:cstheme="majorEastAsia"/>
          <w:b/>
          <w:bCs w:val="0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 w:bidi="ar-SA"/>
        </w:rPr>
        <w:t xml:space="preserve">附件：2   </w:t>
      </w:r>
      <w:r>
        <w:rPr>
          <w:rStyle w:val="12"/>
          <w:rFonts w:cs="黑体" w:asciiTheme="majorEastAsia" w:hAnsiTheme="majorEastAsia" w:eastAsiaTheme="majorEastAsia"/>
          <w:b w:val="0"/>
          <w:bCs/>
          <w:color w:val="000000"/>
          <w:sz w:val="24"/>
          <w:szCs w:val="24"/>
        </w:rPr>
        <w:t xml:space="preserve">      </w:t>
      </w: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28"/>
          <w:lang w:val="en-US" w:eastAsia="zh-CN" w:bidi="ar-SA"/>
        </w:rPr>
        <w:t>2021年基建REITs项目申报与“十四五”背景下</w:t>
      </w:r>
    </w:p>
    <w:p>
      <w:pPr>
        <w:autoSpaceDE/>
        <w:autoSpaceDN/>
        <w:adjustRightInd/>
        <w:spacing w:line="360" w:lineRule="exact"/>
        <w:ind w:right="-168" w:rightChars="-70"/>
        <w:jc w:val="center"/>
        <w:rPr>
          <w:rFonts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 xml:space="preserve">   </w:t>
      </w:r>
      <w:r>
        <w:rPr>
          <w:rFonts w:asciiTheme="majorEastAsia" w:hAnsiTheme="majorEastAsia" w:eastAsiaTheme="majorEastAsia" w:cstheme="majorEastAsia"/>
          <w:b/>
          <w:sz w:val="28"/>
          <w:szCs w:val="28"/>
        </w:rPr>
        <w:t>地方政府及城投公司项目</w:t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eastAsia="zh-CN"/>
        </w:rPr>
        <w:t>谋</w:t>
      </w:r>
      <w:r>
        <w:rPr>
          <w:rFonts w:asciiTheme="majorEastAsia" w:hAnsiTheme="majorEastAsia" w:eastAsiaTheme="majorEastAsia" w:cstheme="majorEastAsia"/>
          <w:b/>
          <w:sz w:val="28"/>
          <w:szCs w:val="28"/>
        </w:rPr>
        <w:t>划和投融资实务培训班报名回执表</w:t>
      </w:r>
    </w:p>
    <w:p>
      <w:pPr>
        <w:autoSpaceDE/>
        <w:autoSpaceDN/>
        <w:adjustRightInd/>
        <w:spacing w:line="360" w:lineRule="exact"/>
        <w:ind w:right="-168" w:rightChars="-70"/>
        <w:jc w:val="center"/>
        <w:rPr>
          <w:rFonts w:hint="default" w:asciiTheme="majorEastAsia" w:hAnsiTheme="majorEastAsia" w:eastAsiaTheme="majorEastAsia" w:cstheme="majorEastAsia"/>
          <w:b/>
          <w:szCs w:val="24"/>
        </w:rPr>
      </w:pPr>
    </w:p>
    <w:p>
      <w:pPr>
        <w:widowControl/>
        <w:autoSpaceDE/>
        <w:autoSpaceDN/>
        <w:spacing w:line="460" w:lineRule="exact"/>
        <w:jc w:val="both"/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  <w:t xml:space="preserve">报名负责人：聂红军 主任18211071700（微信）   </w:t>
      </w:r>
    </w:p>
    <w:p>
      <w:pPr>
        <w:widowControl/>
        <w:autoSpaceDE/>
        <w:autoSpaceDN/>
        <w:spacing w:line="460" w:lineRule="exact"/>
        <w:jc w:val="both"/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  <w:t xml:space="preserve">电  话：010-87697580      邮    箱：zqgphwz@126.com  </w:t>
      </w:r>
    </w:p>
    <w:p>
      <w:pPr>
        <w:widowControl/>
        <w:autoSpaceDE/>
        <w:autoSpaceDN/>
        <w:spacing w:line="460" w:lineRule="exact"/>
        <w:jc w:val="both"/>
        <w:rPr>
          <w:rStyle w:val="12"/>
          <w:rFonts w:hint="default" w:ascii="仿宋" w:hAnsi="仿宋" w:eastAsia="仿宋" w:cs="仿宋"/>
          <w:b w:val="0"/>
          <w:bCs w:val="0"/>
          <w:color w:val="000000"/>
          <w:szCs w:val="24"/>
          <w:lang w:val="en-US" w:eastAsia="zh-CN"/>
        </w:rPr>
      </w:pP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en-US" w:eastAsia="zh-CN"/>
        </w:rPr>
        <w:t xml:space="preserve">qq咨询：3177524020        网址查询：http://www.zqgpchina.cn/    </w:t>
      </w:r>
      <w:r>
        <w:rPr>
          <w:rStyle w:val="12"/>
          <w:rFonts w:hint="eastAsia" w:ascii="仿宋" w:hAnsi="仿宋" w:eastAsia="仿宋" w:cs="仿宋"/>
          <w:b w:val="0"/>
          <w:bCs w:val="0"/>
          <w:color w:val="000000"/>
          <w:szCs w:val="24"/>
          <w:lang w:val="zh-CN"/>
        </w:rPr>
        <w:t xml:space="preserve"> </w:t>
      </w:r>
    </w:p>
    <w:sectPr>
      <w:footerReference r:id="rId3" w:type="default"/>
      <w:pgSz w:w="11906" w:h="16838"/>
      <w:pgMar w:top="1440" w:right="1417" w:bottom="1383" w:left="1417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8"/>
    <w:rsid w:val="000111BB"/>
    <w:rsid w:val="00030303"/>
    <w:rsid w:val="00035C2D"/>
    <w:rsid w:val="00067BD4"/>
    <w:rsid w:val="0009632B"/>
    <w:rsid w:val="000A6BA0"/>
    <w:rsid w:val="000B5CF0"/>
    <w:rsid w:val="000C27B1"/>
    <w:rsid w:val="000E468A"/>
    <w:rsid w:val="000F0735"/>
    <w:rsid w:val="001245BD"/>
    <w:rsid w:val="001320AD"/>
    <w:rsid w:val="0015029E"/>
    <w:rsid w:val="001B15FC"/>
    <w:rsid w:val="001D1B64"/>
    <w:rsid w:val="001D5820"/>
    <w:rsid w:val="001F266D"/>
    <w:rsid w:val="001F2CC6"/>
    <w:rsid w:val="001F5DBA"/>
    <w:rsid w:val="002016D4"/>
    <w:rsid w:val="00221DF0"/>
    <w:rsid w:val="002602E7"/>
    <w:rsid w:val="00262218"/>
    <w:rsid w:val="002733FA"/>
    <w:rsid w:val="0029454A"/>
    <w:rsid w:val="002A5354"/>
    <w:rsid w:val="002D7C2D"/>
    <w:rsid w:val="00303B6C"/>
    <w:rsid w:val="00314004"/>
    <w:rsid w:val="003462A3"/>
    <w:rsid w:val="00360AC6"/>
    <w:rsid w:val="00366D1D"/>
    <w:rsid w:val="00383C52"/>
    <w:rsid w:val="003D3698"/>
    <w:rsid w:val="003F712A"/>
    <w:rsid w:val="004127EC"/>
    <w:rsid w:val="0042016E"/>
    <w:rsid w:val="0042243A"/>
    <w:rsid w:val="00444929"/>
    <w:rsid w:val="0045336B"/>
    <w:rsid w:val="00490AAB"/>
    <w:rsid w:val="00491A3D"/>
    <w:rsid w:val="004B699A"/>
    <w:rsid w:val="004C2C6B"/>
    <w:rsid w:val="00510FDD"/>
    <w:rsid w:val="00523DCC"/>
    <w:rsid w:val="005258A8"/>
    <w:rsid w:val="005674F4"/>
    <w:rsid w:val="005D1C5F"/>
    <w:rsid w:val="005F7916"/>
    <w:rsid w:val="006011E8"/>
    <w:rsid w:val="00601C30"/>
    <w:rsid w:val="00605B40"/>
    <w:rsid w:val="0061237B"/>
    <w:rsid w:val="00616606"/>
    <w:rsid w:val="00657822"/>
    <w:rsid w:val="00663868"/>
    <w:rsid w:val="00670351"/>
    <w:rsid w:val="0068550D"/>
    <w:rsid w:val="00686B1F"/>
    <w:rsid w:val="00697875"/>
    <w:rsid w:val="006A7A4D"/>
    <w:rsid w:val="006D0CB8"/>
    <w:rsid w:val="006E23D4"/>
    <w:rsid w:val="006E7498"/>
    <w:rsid w:val="006F117C"/>
    <w:rsid w:val="006F58F0"/>
    <w:rsid w:val="00724E89"/>
    <w:rsid w:val="00727C3F"/>
    <w:rsid w:val="0073659E"/>
    <w:rsid w:val="00760628"/>
    <w:rsid w:val="0078469F"/>
    <w:rsid w:val="00786656"/>
    <w:rsid w:val="007A06B7"/>
    <w:rsid w:val="007B7767"/>
    <w:rsid w:val="007D0F02"/>
    <w:rsid w:val="007D3887"/>
    <w:rsid w:val="007D54B8"/>
    <w:rsid w:val="007F5FC8"/>
    <w:rsid w:val="00826EB1"/>
    <w:rsid w:val="00832BCD"/>
    <w:rsid w:val="00836D30"/>
    <w:rsid w:val="00860964"/>
    <w:rsid w:val="00880F65"/>
    <w:rsid w:val="00881445"/>
    <w:rsid w:val="00882120"/>
    <w:rsid w:val="008B199B"/>
    <w:rsid w:val="008E378E"/>
    <w:rsid w:val="008E633F"/>
    <w:rsid w:val="008E79C6"/>
    <w:rsid w:val="009176A2"/>
    <w:rsid w:val="00920D6E"/>
    <w:rsid w:val="00925ADE"/>
    <w:rsid w:val="009308F0"/>
    <w:rsid w:val="00930C9B"/>
    <w:rsid w:val="009472B7"/>
    <w:rsid w:val="00951846"/>
    <w:rsid w:val="00957A5B"/>
    <w:rsid w:val="00976A99"/>
    <w:rsid w:val="00981D3A"/>
    <w:rsid w:val="009A4718"/>
    <w:rsid w:val="00A142B6"/>
    <w:rsid w:val="00A17C72"/>
    <w:rsid w:val="00A21947"/>
    <w:rsid w:val="00A35324"/>
    <w:rsid w:val="00A55121"/>
    <w:rsid w:val="00A6651E"/>
    <w:rsid w:val="00A76A48"/>
    <w:rsid w:val="00A86C57"/>
    <w:rsid w:val="00AB4C35"/>
    <w:rsid w:val="00AF6597"/>
    <w:rsid w:val="00B02BFC"/>
    <w:rsid w:val="00B70ABC"/>
    <w:rsid w:val="00B70B38"/>
    <w:rsid w:val="00B865F7"/>
    <w:rsid w:val="00B87A6C"/>
    <w:rsid w:val="00B953A2"/>
    <w:rsid w:val="00BC37A5"/>
    <w:rsid w:val="00BE0FB0"/>
    <w:rsid w:val="00BF320B"/>
    <w:rsid w:val="00C0639B"/>
    <w:rsid w:val="00C10B2E"/>
    <w:rsid w:val="00C44BC1"/>
    <w:rsid w:val="00C54ECB"/>
    <w:rsid w:val="00C5747F"/>
    <w:rsid w:val="00C7524A"/>
    <w:rsid w:val="00C75E85"/>
    <w:rsid w:val="00C96EFB"/>
    <w:rsid w:val="00CE67E2"/>
    <w:rsid w:val="00CF1181"/>
    <w:rsid w:val="00D13A42"/>
    <w:rsid w:val="00D47982"/>
    <w:rsid w:val="00D52AF1"/>
    <w:rsid w:val="00D74547"/>
    <w:rsid w:val="00D90A10"/>
    <w:rsid w:val="00DA154B"/>
    <w:rsid w:val="00DB288E"/>
    <w:rsid w:val="00DB62D4"/>
    <w:rsid w:val="00DC5B74"/>
    <w:rsid w:val="00E23AA1"/>
    <w:rsid w:val="00E24129"/>
    <w:rsid w:val="00E364AD"/>
    <w:rsid w:val="00E40FB3"/>
    <w:rsid w:val="00E51A5B"/>
    <w:rsid w:val="00E5371C"/>
    <w:rsid w:val="00E54A37"/>
    <w:rsid w:val="00E63145"/>
    <w:rsid w:val="00E73D9A"/>
    <w:rsid w:val="00E92B4E"/>
    <w:rsid w:val="00EB3F9D"/>
    <w:rsid w:val="00EC2070"/>
    <w:rsid w:val="00F2027E"/>
    <w:rsid w:val="00F31608"/>
    <w:rsid w:val="00F34C88"/>
    <w:rsid w:val="00F505C9"/>
    <w:rsid w:val="00F52CD5"/>
    <w:rsid w:val="00F75886"/>
    <w:rsid w:val="00F847DA"/>
    <w:rsid w:val="00FA52FE"/>
    <w:rsid w:val="00FA5D57"/>
    <w:rsid w:val="00FD7D45"/>
    <w:rsid w:val="0115065C"/>
    <w:rsid w:val="0147575C"/>
    <w:rsid w:val="01873FBC"/>
    <w:rsid w:val="01DF42FA"/>
    <w:rsid w:val="023A3914"/>
    <w:rsid w:val="024758F8"/>
    <w:rsid w:val="02801BA8"/>
    <w:rsid w:val="02A04903"/>
    <w:rsid w:val="02B35ADF"/>
    <w:rsid w:val="02B56ADF"/>
    <w:rsid w:val="02BA162B"/>
    <w:rsid w:val="02CA6FC8"/>
    <w:rsid w:val="02F32A9F"/>
    <w:rsid w:val="038337B4"/>
    <w:rsid w:val="03BD2A1A"/>
    <w:rsid w:val="03BF1326"/>
    <w:rsid w:val="040D66F7"/>
    <w:rsid w:val="042B0EF9"/>
    <w:rsid w:val="04FA6554"/>
    <w:rsid w:val="050C3BC6"/>
    <w:rsid w:val="051136E4"/>
    <w:rsid w:val="052303BB"/>
    <w:rsid w:val="055F0F75"/>
    <w:rsid w:val="059A2F73"/>
    <w:rsid w:val="05C74530"/>
    <w:rsid w:val="05EC4AEA"/>
    <w:rsid w:val="063F355E"/>
    <w:rsid w:val="065D27E9"/>
    <w:rsid w:val="068F73BE"/>
    <w:rsid w:val="06A1358A"/>
    <w:rsid w:val="06A76AC5"/>
    <w:rsid w:val="06CB4A13"/>
    <w:rsid w:val="07C72DF2"/>
    <w:rsid w:val="07DD1D97"/>
    <w:rsid w:val="08112C52"/>
    <w:rsid w:val="08B577EC"/>
    <w:rsid w:val="09B80BCF"/>
    <w:rsid w:val="09D006F9"/>
    <w:rsid w:val="0AB961BC"/>
    <w:rsid w:val="0AC45ADA"/>
    <w:rsid w:val="0AE00BC8"/>
    <w:rsid w:val="0B026759"/>
    <w:rsid w:val="0B1556CE"/>
    <w:rsid w:val="0B1663EE"/>
    <w:rsid w:val="0B240C02"/>
    <w:rsid w:val="0B694DA2"/>
    <w:rsid w:val="0B9C5FED"/>
    <w:rsid w:val="0BB460D0"/>
    <w:rsid w:val="0BBB489C"/>
    <w:rsid w:val="0BD31815"/>
    <w:rsid w:val="0C275820"/>
    <w:rsid w:val="0C425833"/>
    <w:rsid w:val="0C556936"/>
    <w:rsid w:val="0C757B9B"/>
    <w:rsid w:val="0C91247E"/>
    <w:rsid w:val="0CC94096"/>
    <w:rsid w:val="0D076619"/>
    <w:rsid w:val="0DA135C5"/>
    <w:rsid w:val="0DC7149B"/>
    <w:rsid w:val="0E6A7443"/>
    <w:rsid w:val="0E906E72"/>
    <w:rsid w:val="0ED45BB5"/>
    <w:rsid w:val="0EFD0426"/>
    <w:rsid w:val="0F055BA7"/>
    <w:rsid w:val="0F0A04CA"/>
    <w:rsid w:val="0F1F3329"/>
    <w:rsid w:val="0F816F20"/>
    <w:rsid w:val="1006617B"/>
    <w:rsid w:val="10270C42"/>
    <w:rsid w:val="107100E2"/>
    <w:rsid w:val="108965B9"/>
    <w:rsid w:val="10AD08D4"/>
    <w:rsid w:val="11211B62"/>
    <w:rsid w:val="115E0DC8"/>
    <w:rsid w:val="117A6954"/>
    <w:rsid w:val="11963A6B"/>
    <w:rsid w:val="11AB1900"/>
    <w:rsid w:val="12116CF5"/>
    <w:rsid w:val="122C0F37"/>
    <w:rsid w:val="125B567F"/>
    <w:rsid w:val="125C71B0"/>
    <w:rsid w:val="12985556"/>
    <w:rsid w:val="13230F8E"/>
    <w:rsid w:val="14246519"/>
    <w:rsid w:val="147010CE"/>
    <w:rsid w:val="14813515"/>
    <w:rsid w:val="14E562F6"/>
    <w:rsid w:val="154711A8"/>
    <w:rsid w:val="155C0CB5"/>
    <w:rsid w:val="15603A65"/>
    <w:rsid w:val="158B3A6D"/>
    <w:rsid w:val="15AB2D48"/>
    <w:rsid w:val="160908F9"/>
    <w:rsid w:val="16607AFB"/>
    <w:rsid w:val="16624CCA"/>
    <w:rsid w:val="16700151"/>
    <w:rsid w:val="16816EC6"/>
    <w:rsid w:val="16D42978"/>
    <w:rsid w:val="16DB376C"/>
    <w:rsid w:val="16EA222E"/>
    <w:rsid w:val="1709458F"/>
    <w:rsid w:val="1714344D"/>
    <w:rsid w:val="17583523"/>
    <w:rsid w:val="17897BCC"/>
    <w:rsid w:val="178E353B"/>
    <w:rsid w:val="17945192"/>
    <w:rsid w:val="179861FD"/>
    <w:rsid w:val="17AB7598"/>
    <w:rsid w:val="17E562F3"/>
    <w:rsid w:val="18180676"/>
    <w:rsid w:val="181D1FE8"/>
    <w:rsid w:val="18372402"/>
    <w:rsid w:val="189509C3"/>
    <w:rsid w:val="18C061DF"/>
    <w:rsid w:val="19032617"/>
    <w:rsid w:val="19A44506"/>
    <w:rsid w:val="19A673FA"/>
    <w:rsid w:val="19DB6AAB"/>
    <w:rsid w:val="1AAB1962"/>
    <w:rsid w:val="1AAC6346"/>
    <w:rsid w:val="1ABD7CBF"/>
    <w:rsid w:val="1AD704D4"/>
    <w:rsid w:val="1B1B4BB1"/>
    <w:rsid w:val="1C303806"/>
    <w:rsid w:val="1C334F28"/>
    <w:rsid w:val="1C4117B3"/>
    <w:rsid w:val="1C526433"/>
    <w:rsid w:val="1C641BFC"/>
    <w:rsid w:val="1C886101"/>
    <w:rsid w:val="1D0E3A53"/>
    <w:rsid w:val="1D305B94"/>
    <w:rsid w:val="1D8E4419"/>
    <w:rsid w:val="1DAC0DCE"/>
    <w:rsid w:val="1DE91CFE"/>
    <w:rsid w:val="1DF56E00"/>
    <w:rsid w:val="1E206933"/>
    <w:rsid w:val="1EFB798D"/>
    <w:rsid w:val="1F481CF3"/>
    <w:rsid w:val="1FB764A9"/>
    <w:rsid w:val="1FD141D1"/>
    <w:rsid w:val="20287051"/>
    <w:rsid w:val="20453B95"/>
    <w:rsid w:val="20533F67"/>
    <w:rsid w:val="206565AA"/>
    <w:rsid w:val="20BA1790"/>
    <w:rsid w:val="20E53D47"/>
    <w:rsid w:val="218528ED"/>
    <w:rsid w:val="21F056D4"/>
    <w:rsid w:val="22072402"/>
    <w:rsid w:val="22247E99"/>
    <w:rsid w:val="222F5538"/>
    <w:rsid w:val="22467BA5"/>
    <w:rsid w:val="22BC1795"/>
    <w:rsid w:val="232C6A66"/>
    <w:rsid w:val="2370144E"/>
    <w:rsid w:val="23A41F80"/>
    <w:rsid w:val="23A91961"/>
    <w:rsid w:val="23D26740"/>
    <w:rsid w:val="24C15DA9"/>
    <w:rsid w:val="25123D82"/>
    <w:rsid w:val="253F234B"/>
    <w:rsid w:val="255B3710"/>
    <w:rsid w:val="25A2303B"/>
    <w:rsid w:val="25C16AB4"/>
    <w:rsid w:val="26165AAD"/>
    <w:rsid w:val="261B5D29"/>
    <w:rsid w:val="262354A3"/>
    <w:rsid w:val="262F7D65"/>
    <w:rsid w:val="26347916"/>
    <w:rsid w:val="26366DB7"/>
    <w:rsid w:val="26877902"/>
    <w:rsid w:val="26981D75"/>
    <w:rsid w:val="272D0CE9"/>
    <w:rsid w:val="27375592"/>
    <w:rsid w:val="27514693"/>
    <w:rsid w:val="27641A88"/>
    <w:rsid w:val="27B462B4"/>
    <w:rsid w:val="27F45FB8"/>
    <w:rsid w:val="28131E0B"/>
    <w:rsid w:val="286710C0"/>
    <w:rsid w:val="28776FA4"/>
    <w:rsid w:val="288E3409"/>
    <w:rsid w:val="28FA5525"/>
    <w:rsid w:val="29765048"/>
    <w:rsid w:val="29A967FC"/>
    <w:rsid w:val="29B878A9"/>
    <w:rsid w:val="29CB5978"/>
    <w:rsid w:val="29D575C6"/>
    <w:rsid w:val="2A2C1423"/>
    <w:rsid w:val="2A3D5FFC"/>
    <w:rsid w:val="2A753D5F"/>
    <w:rsid w:val="2AA30AB8"/>
    <w:rsid w:val="2ADE4A98"/>
    <w:rsid w:val="2B060562"/>
    <w:rsid w:val="2B2D4EA7"/>
    <w:rsid w:val="2B350720"/>
    <w:rsid w:val="2BE223D4"/>
    <w:rsid w:val="2C262837"/>
    <w:rsid w:val="2C5D22DE"/>
    <w:rsid w:val="2C9D3898"/>
    <w:rsid w:val="2CA40883"/>
    <w:rsid w:val="2CE20DD7"/>
    <w:rsid w:val="2CF371F2"/>
    <w:rsid w:val="2D007188"/>
    <w:rsid w:val="2D0E42D8"/>
    <w:rsid w:val="2D792CFD"/>
    <w:rsid w:val="2E15352A"/>
    <w:rsid w:val="2E4612FC"/>
    <w:rsid w:val="2E7A788D"/>
    <w:rsid w:val="2E9040A3"/>
    <w:rsid w:val="2E9442DC"/>
    <w:rsid w:val="2EE240BD"/>
    <w:rsid w:val="2F1F5AA2"/>
    <w:rsid w:val="2F7F175C"/>
    <w:rsid w:val="2FC958C9"/>
    <w:rsid w:val="2FDA21C9"/>
    <w:rsid w:val="2FF3794E"/>
    <w:rsid w:val="30027676"/>
    <w:rsid w:val="301227BA"/>
    <w:rsid w:val="30487EC8"/>
    <w:rsid w:val="307636E7"/>
    <w:rsid w:val="30B6182D"/>
    <w:rsid w:val="30BF02BC"/>
    <w:rsid w:val="318E7FC4"/>
    <w:rsid w:val="31E73373"/>
    <w:rsid w:val="320E3755"/>
    <w:rsid w:val="324D4047"/>
    <w:rsid w:val="326F69DE"/>
    <w:rsid w:val="32814461"/>
    <w:rsid w:val="339318A6"/>
    <w:rsid w:val="33AF1082"/>
    <w:rsid w:val="33B30C4F"/>
    <w:rsid w:val="33DD0BD9"/>
    <w:rsid w:val="33F10499"/>
    <w:rsid w:val="33F643A0"/>
    <w:rsid w:val="34672D65"/>
    <w:rsid w:val="349C765D"/>
    <w:rsid w:val="34E178CF"/>
    <w:rsid w:val="34EF28C5"/>
    <w:rsid w:val="34F1012D"/>
    <w:rsid w:val="35045D6D"/>
    <w:rsid w:val="35416C6E"/>
    <w:rsid w:val="35A16777"/>
    <w:rsid w:val="35BF1843"/>
    <w:rsid w:val="35C9302D"/>
    <w:rsid w:val="35C968DF"/>
    <w:rsid w:val="362B3AC2"/>
    <w:rsid w:val="363707F1"/>
    <w:rsid w:val="363979E8"/>
    <w:rsid w:val="36505182"/>
    <w:rsid w:val="36602527"/>
    <w:rsid w:val="3661655B"/>
    <w:rsid w:val="37196775"/>
    <w:rsid w:val="3726410C"/>
    <w:rsid w:val="378866B9"/>
    <w:rsid w:val="379721ED"/>
    <w:rsid w:val="37C24B91"/>
    <w:rsid w:val="38723749"/>
    <w:rsid w:val="387D61C3"/>
    <w:rsid w:val="38B06C76"/>
    <w:rsid w:val="38B761EC"/>
    <w:rsid w:val="38C659E0"/>
    <w:rsid w:val="38EE7DAE"/>
    <w:rsid w:val="39364DEF"/>
    <w:rsid w:val="39B96CC3"/>
    <w:rsid w:val="39F239E4"/>
    <w:rsid w:val="3A095C2B"/>
    <w:rsid w:val="3A86626A"/>
    <w:rsid w:val="3AA74822"/>
    <w:rsid w:val="3AE72644"/>
    <w:rsid w:val="3AEB02EC"/>
    <w:rsid w:val="3B144F00"/>
    <w:rsid w:val="3B346A17"/>
    <w:rsid w:val="3B6B0985"/>
    <w:rsid w:val="3BAD02E8"/>
    <w:rsid w:val="3BC94FF7"/>
    <w:rsid w:val="3BFC3B48"/>
    <w:rsid w:val="3C0744A0"/>
    <w:rsid w:val="3C110232"/>
    <w:rsid w:val="3C496D89"/>
    <w:rsid w:val="3C9830FC"/>
    <w:rsid w:val="3CC3605F"/>
    <w:rsid w:val="3D157866"/>
    <w:rsid w:val="3D6F02C3"/>
    <w:rsid w:val="3D966787"/>
    <w:rsid w:val="3EA465AA"/>
    <w:rsid w:val="3F274A15"/>
    <w:rsid w:val="3F3221DC"/>
    <w:rsid w:val="3F7E6842"/>
    <w:rsid w:val="3F811929"/>
    <w:rsid w:val="40046C8E"/>
    <w:rsid w:val="407D1848"/>
    <w:rsid w:val="407F250F"/>
    <w:rsid w:val="40AC2E0A"/>
    <w:rsid w:val="40BA06ED"/>
    <w:rsid w:val="40DB7E8A"/>
    <w:rsid w:val="4109464D"/>
    <w:rsid w:val="41D26947"/>
    <w:rsid w:val="42140462"/>
    <w:rsid w:val="422D6A78"/>
    <w:rsid w:val="430223AE"/>
    <w:rsid w:val="4314703B"/>
    <w:rsid w:val="437F3ADB"/>
    <w:rsid w:val="438A0138"/>
    <w:rsid w:val="44100B82"/>
    <w:rsid w:val="441A2873"/>
    <w:rsid w:val="44457118"/>
    <w:rsid w:val="448F3BCD"/>
    <w:rsid w:val="44950C6F"/>
    <w:rsid w:val="44A76F50"/>
    <w:rsid w:val="44CA4883"/>
    <w:rsid w:val="45041B70"/>
    <w:rsid w:val="451E0702"/>
    <w:rsid w:val="4586464B"/>
    <w:rsid w:val="45B20357"/>
    <w:rsid w:val="45BC102D"/>
    <w:rsid w:val="45CE048D"/>
    <w:rsid w:val="45DC4AB6"/>
    <w:rsid w:val="45F129FF"/>
    <w:rsid w:val="4600519A"/>
    <w:rsid w:val="460B7276"/>
    <w:rsid w:val="46376642"/>
    <w:rsid w:val="464F625B"/>
    <w:rsid w:val="468E45FA"/>
    <w:rsid w:val="46CF32C5"/>
    <w:rsid w:val="470023DB"/>
    <w:rsid w:val="475261D3"/>
    <w:rsid w:val="47AE7D34"/>
    <w:rsid w:val="47C976EA"/>
    <w:rsid w:val="47D21823"/>
    <w:rsid w:val="47FA1E48"/>
    <w:rsid w:val="480D477A"/>
    <w:rsid w:val="48157DDD"/>
    <w:rsid w:val="48213110"/>
    <w:rsid w:val="4821332C"/>
    <w:rsid w:val="486B37E9"/>
    <w:rsid w:val="48A82B51"/>
    <w:rsid w:val="48A84B51"/>
    <w:rsid w:val="48C96181"/>
    <w:rsid w:val="49317517"/>
    <w:rsid w:val="49481EDB"/>
    <w:rsid w:val="49565824"/>
    <w:rsid w:val="49866167"/>
    <w:rsid w:val="49C222D2"/>
    <w:rsid w:val="49F178D6"/>
    <w:rsid w:val="4A120D51"/>
    <w:rsid w:val="4A4831FD"/>
    <w:rsid w:val="4A5C7628"/>
    <w:rsid w:val="4A6452CB"/>
    <w:rsid w:val="4A8F7B79"/>
    <w:rsid w:val="4A9D0A10"/>
    <w:rsid w:val="4B0A0426"/>
    <w:rsid w:val="4B1A2ACF"/>
    <w:rsid w:val="4B635BA7"/>
    <w:rsid w:val="4BF90E00"/>
    <w:rsid w:val="4C1E23D7"/>
    <w:rsid w:val="4C382B9D"/>
    <w:rsid w:val="4C4946D3"/>
    <w:rsid w:val="4C5154C2"/>
    <w:rsid w:val="4C7701B1"/>
    <w:rsid w:val="4D0E7FB6"/>
    <w:rsid w:val="4D4A186F"/>
    <w:rsid w:val="4DA30970"/>
    <w:rsid w:val="4DA33D1A"/>
    <w:rsid w:val="4DEC12CD"/>
    <w:rsid w:val="4E0118DB"/>
    <w:rsid w:val="4E025B04"/>
    <w:rsid w:val="4E5D3EC5"/>
    <w:rsid w:val="4E776548"/>
    <w:rsid w:val="4E870B39"/>
    <w:rsid w:val="4F2310A3"/>
    <w:rsid w:val="4F2B4E2C"/>
    <w:rsid w:val="4F3867AD"/>
    <w:rsid w:val="4F6439C3"/>
    <w:rsid w:val="4F645671"/>
    <w:rsid w:val="4FDB312C"/>
    <w:rsid w:val="4FEF45A3"/>
    <w:rsid w:val="505E5D0C"/>
    <w:rsid w:val="50736840"/>
    <w:rsid w:val="507738B4"/>
    <w:rsid w:val="507D26F0"/>
    <w:rsid w:val="50976453"/>
    <w:rsid w:val="50A01A83"/>
    <w:rsid w:val="50D10461"/>
    <w:rsid w:val="50FA54B1"/>
    <w:rsid w:val="510B1C36"/>
    <w:rsid w:val="516375CA"/>
    <w:rsid w:val="51C67432"/>
    <w:rsid w:val="52025812"/>
    <w:rsid w:val="52915F02"/>
    <w:rsid w:val="52FB6642"/>
    <w:rsid w:val="535E2ACD"/>
    <w:rsid w:val="536F0923"/>
    <w:rsid w:val="537C7F93"/>
    <w:rsid w:val="53C87612"/>
    <w:rsid w:val="53DB0E1C"/>
    <w:rsid w:val="53DC6599"/>
    <w:rsid w:val="54445BE2"/>
    <w:rsid w:val="544F0AA9"/>
    <w:rsid w:val="54577AE9"/>
    <w:rsid w:val="545D58BD"/>
    <w:rsid w:val="54704E89"/>
    <w:rsid w:val="550601BE"/>
    <w:rsid w:val="553A3F22"/>
    <w:rsid w:val="5576584F"/>
    <w:rsid w:val="55822B8C"/>
    <w:rsid w:val="55921102"/>
    <w:rsid w:val="55F23315"/>
    <w:rsid w:val="567F5104"/>
    <w:rsid w:val="5685733F"/>
    <w:rsid w:val="56B55F92"/>
    <w:rsid w:val="574771F4"/>
    <w:rsid w:val="57764AFC"/>
    <w:rsid w:val="57E56288"/>
    <w:rsid w:val="57F227C1"/>
    <w:rsid w:val="584E7013"/>
    <w:rsid w:val="58A5481F"/>
    <w:rsid w:val="593E3CFE"/>
    <w:rsid w:val="59650B56"/>
    <w:rsid w:val="59D55AC8"/>
    <w:rsid w:val="59EB787F"/>
    <w:rsid w:val="5A1A230B"/>
    <w:rsid w:val="5A504202"/>
    <w:rsid w:val="5A746B77"/>
    <w:rsid w:val="5A9B1BCA"/>
    <w:rsid w:val="5A9F29EB"/>
    <w:rsid w:val="5AAB2A2A"/>
    <w:rsid w:val="5B082961"/>
    <w:rsid w:val="5B0A0F3F"/>
    <w:rsid w:val="5B560229"/>
    <w:rsid w:val="5B80366A"/>
    <w:rsid w:val="5BB6599F"/>
    <w:rsid w:val="5C1C7827"/>
    <w:rsid w:val="5C1E2162"/>
    <w:rsid w:val="5C974BDA"/>
    <w:rsid w:val="5C9C727F"/>
    <w:rsid w:val="5CA22AC0"/>
    <w:rsid w:val="5CD91E7E"/>
    <w:rsid w:val="5CF5417B"/>
    <w:rsid w:val="5D0D5D27"/>
    <w:rsid w:val="5D125496"/>
    <w:rsid w:val="5D8064B1"/>
    <w:rsid w:val="5DBC4F9A"/>
    <w:rsid w:val="5DFB6A06"/>
    <w:rsid w:val="5E08413C"/>
    <w:rsid w:val="5E0A1A43"/>
    <w:rsid w:val="5E151132"/>
    <w:rsid w:val="5E5B7C10"/>
    <w:rsid w:val="5E7D081B"/>
    <w:rsid w:val="5E834FCF"/>
    <w:rsid w:val="5F112445"/>
    <w:rsid w:val="5F2E4758"/>
    <w:rsid w:val="5F9F436E"/>
    <w:rsid w:val="5FA21376"/>
    <w:rsid w:val="5FA27331"/>
    <w:rsid w:val="5FD513B4"/>
    <w:rsid w:val="5FF47B26"/>
    <w:rsid w:val="60175720"/>
    <w:rsid w:val="602E7496"/>
    <w:rsid w:val="6137158E"/>
    <w:rsid w:val="61D74FCE"/>
    <w:rsid w:val="62070461"/>
    <w:rsid w:val="62244D2D"/>
    <w:rsid w:val="62803516"/>
    <w:rsid w:val="63034AA9"/>
    <w:rsid w:val="63052B47"/>
    <w:rsid w:val="6332194F"/>
    <w:rsid w:val="6416365B"/>
    <w:rsid w:val="64957861"/>
    <w:rsid w:val="64CF1BF3"/>
    <w:rsid w:val="65281737"/>
    <w:rsid w:val="65635310"/>
    <w:rsid w:val="657C0323"/>
    <w:rsid w:val="659521A5"/>
    <w:rsid w:val="65A87644"/>
    <w:rsid w:val="6607320A"/>
    <w:rsid w:val="664F2AFE"/>
    <w:rsid w:val="66534741"/>
    <w:rsid w:val="668750DD"/>
    <w:rsid w:val="66BC4B36"/>
    <w:rsid w:val="66FE550D"/>
    <w:rsid w:val="67627CD9"/>
    <w:rsid w:val="67DD33BA"/>
    <w:rsid w:val="682517F2"/>
    <w:rsid w:val="683F6B42"/>
    <w:rsid w:val="6842399F"/>
    <w:rsid w:val="68426149"/>
    <w:rsid w:val="68F811CC"/>
    <w:rsid w:val="69115685"/>
    <w:rsid w:val="692305A4"/>
    <w:rsid w:val="693F58D0"/>
    <w:rsid w:val="6977160B"/>
    <w:rsid w:val="69AB37A4"/>
    <w:rsid w:val="69E83C2C"/>
    <w:rsid w:val="6A1F1DCE"/>
    <w:rsid w:val="6A311533"/>
    <w:rsid w:val="6A34700B"/>
    <w:rsid w:val="6A35099F"/>
    <w:rsid w:val="6A476277"/>
    <w:rsid w:val="6A881BC4"/>
    <w:rsid w:val="6A8A682E"/>
    <w:rsid w:val="6A9725B7"/>
    <w:rsid w:val="6B210905"/>
    <w:rsid w:val="6B37644B"/>
    <w:rsid w:val="6B4216B7"/>
    <w:rsid w:val="6B990934"/>
    <w:rsid w:val="6BC67A3E"/>
    <w:rsid w:val="6BD31665"/>
    <w:rsid w:val="6BDF4F70"/>
    <w:rsid w:val="6C6421C5"/>
    <w:rsid w:val="6CF36FE2"/>
    <w:rsid w:val="6D2828CF"/>
    <w:rsid w:val="6D381E96"/>
    <w:rsid w:val="6D892F8A"/>
    <w:rsid w:val="6E493106"/>
    <w:rsid w:val="6E8320E2"/>
    <w:rsid w:val="6E8B0C57"/>
    <w:rsid w:val="6EC11EC9"/>
    <w:rsid w:val="6ED03579"/>
    <w:rsid w:val="6ED645B3"/>
    <w:rsid w:val="6EE741E3"/>
    <w:rsid w:val="6EF913CD"/>
    <w:rsid w:val="6F036810"/>
    <w:rsid w:val="6F1116E2"/>
    <w:rsid w:val="6F7955F4"/>
    <w:rsid w:val="6FA943CE"/>
    <w:rsid w:val="6FD10CBE"/>
    <w:rsid w:val="6FFC7753"/>
    <w:rsid w:val="70113C49"/>
    <w:rsid w:val="70CB3A8A"/>
    <w:rsid w:val="70CE4924"/>
    <w:rsid w:val="70D7078F"/>
    <w:rsid w:val="70F50F31"/>
    <w:rsid w:val="714D2D9E"/>
    <w:rsid w:val="715058B1"/>
    <w:rsid w:val="71A15634"/>
    <w:rsid w:val="71A963C4"/>
    <w:rsid w:val="71CC59C1"/>
    <w:rsid w:val="71E63ABA"/>
    <w:rsid w:val="721B0BB0"/>
    <w:rsid w:val="728A72A8"/>
    <w:rsid w:val="72964D25"/>
    <w:rsid w:val="72B23BA1"/>
    <w:rsid w:val="731973F5"/>
    <w:rsid w:val="736F0FCE"/>
    <w:rsid w:val="73B52DB2"/>
    <w:rsid w:val="73CF0918"/>
    <w:rsid w:val="74137A31"/>
    <w:rsid w:val="747B36FA"/>
    <w:rsid w:val="74E90082"/>
    <w:rsid w:val="750637F0"/>
    <w:rsid w:val="75654176"/>
    <w:rsid w:val="756F2C98"/>
    <w:rsid w:val="759608A8"/>
    <w:rsid w:val="75BF2F6F"/>
    <w:rsid w:val="75DA7911"/>
    <w:rsid w:val="760C02F6"/>
    <w:rsid w:val="760F046F"/>
    <w:rsid w:val="765078DB"/>
    <w:rsid w:val="76697649"/>
    <w:rsid w:val="76D44FD5"/>
    <w:rsid w:val="774752AE"/>
    <w:rsid w:val="776F4FCC"/>
    <w:rsid w:val="77733156"/>
    <w:rsid w:val="7796460A"/>
    <w:rsid w:val="77C86B5E"/>
    <w:rsid w:val="77EA036A"/>
    <w:rsid w:val="77EC56A9"/>
    <w:rsid w:val="78016D42"/>
    <w:rsid w:val="785D1EBF"/>
    <w:rsid w:val="78607772"/>
    <w:rsid w:val="78EE134D"/>
    <w:rsid w:val="78F26179"/>
    <w:rsid w:val="790365DA"/>
    <w:rsid w:val="790D2B37"/>
    <w:rsid w:val="79295367"/>
    <w:rsid w:val="792E378B"/>
    <w:rsid w:val="794E4160"/>
    <w:rsid w:val="795729E2"/>
    <w:rsid w:val="797669EC"/>
    <w:rsid w:val="7998384C"/>
    <w:rsid w:val="79EF5628"/>
    <w:rsid w:val="79F906C9"/>
    <w:rsid w:val="7A375511"/>
    <w:rsid w:val="7A3F404A"/>
    <w:rsid w:val="7A4805B8"/>
    <w:rsid w:val="7A504395"/>
    <w:rsid w:val="7B800831"/>
    <w:rsid w:val="7B8119D0"/>
    <w:rsid w:val="7BD400D4"/>
    <w:rsid w:val="7BDE019B"/>
    <w:rsid w:val="7BF12208"/>
    <w:rsid w:val="7C4A2CE0"/>
    <w:rsid w:val="7C4B1DF3"/>
    <w:rsid w:val="7C682145"/>
    <w:rsid w:val="7CBE4DF9"/>
    <w:rsid w:val="7CF53CB4"/>
    <w:rsid w:val="7D0B5F4B"/>
    <w:rsid w:val="7D3C16A1"/>
    <w:rsid w:val="7D3C3079"/>
    <w:rsid w:val="7D6219CD"/>
    <w:rsid w:val="7D9D63EB"/>
    <w:rsid w:val="7DA408BF"/>
    <w:rsid w:val="7DAC0D04"/>
    <w:rsid w:val="7E324E80"/>
    <w:rsid w:val="7ED47C49"/>
    <w:rsid w:val="7ED94FE8"/>
    <w:rsid w:val="7F301A67"/>
    <w:rsid w:val="7F4151BA"/>
    <w:rsid w:val="7F4236C9"/>
    <w:rsid w:val="7F880762"/>
    <w:rsid w:val="7F971DB4"/>
    <w:rsid w:val="7F982189"/>
    <w:rsid w:val="7FD726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b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hint="default" w:cs="宋体"/>
      <w:szCs w:val="24"/>
    </w:rPr>
  </w:style>
  <w:style w:type="paragraph" w:styleId="9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autoSpaceDE/>
      <w:autoSpaceDN/>
      <w:adjustRightInd/>
      <w:ind w:firstLine="420" w:firstLineChars="200"/>
    </w:pPr>
    <w:rPr>
      <w:rFonts w:hint="default" w:cs="宋体"/>
      <w:szCs w:val="24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20">
    <w:name w:val="标题 Char"/>
    <w:basedOn w:val="11"/>
    <w:link w:val="9"/>
    <w:qFormat/>
    <w:uiPriority w:val="1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3E617-928A-4A27-926A-FFBE1524B3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2804</Words>
  <Characters>1221</Characters>
  <Lines>10</Lines>
  <Paragraphs>8</Paragraphs>
  <TotalTime>5</TotalTime>
  <ScaleCrop>false</ScaleCrop>
  <LinksUpToDate>false</LinksUpToDate>
  <CharactersWithSpaces>4017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2021-01-02T08:16:00Z</dcterms:created>
  <dc:creator>微软用户</dc:creator>
  <cp:lastModifiedBy>Administrator</cp:lastModifiedBy>
  <cp:lastPrinted>2021-04-27T07:38:00Z</cp:lastPrinted>
  <dcterms:modified xsi:type="dcterms:W3CDTF">2021-05-18T09:26:46Z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3EC0062BBA364B8D86E5578C55C16410</vt:lpwstr>
  </property>
</Properties>
</file>