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48"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1" w:hRule="atLeast"/>
          <w:jc w:val="center"/>
        </w:trPr>
        <w:tc>
          <w:tcPr>
            <w:tcW w:w="9248" w:type="dxa"/>
            <w:vAlign w:val="center"/>
          </w:tcPr>
          <w:p>
            <w:pPr>
              <w:autoSpaceDE/>
              <w:autoSpaceDN/>
              <w:jc w:val="distribute"/>
              <w:rPr>
                <w:rFonts w:hint="default" w:cs="宋体"/>
                <w:color w:val="FF0000"/>
                <w:sz w:val="70"/>
                <w:szCs w:val="70"/>
              </w:rPr>
            </w:pPr>
            <w:r>
              <w:rPr>
                <w:rFonts w:ascii="楷体" w:hAnsi="楷体" w:eastAsia="楷体" w:cs="宋体"/>
                <w:color w:val="000000"/>
                <w:szCs w:val="24"/>
                <w:lang w:val="zh-CN"/>
              </w:rPr>
              <w:t xml:space="preserve"> </w:t>
            </w:r>
            <w:r>
              <w:rPr>
                <w:rFonts w:cs="宋体"/>
                <w:color w:val="FF0000"/>
                <w:sz w:val="70"/>
                <w:szCs w:val="70"/>
              </w:rPr>
              <w:t>中 国 投 资 协 会</w:t>
            </w:r>
          </w:p>
          <w:p>
            <w:pPr>
              <w:autoSpaceDE/>
              <w:autoSpaceDN/>
              <w:jc w:val="distribute"/>
              <w:rPr>
                <w:rFonts w:hint="default" w:ascii="楷体" w:hAnsi="楷体" w:eastAsia="楷体"/>
                <w:color w:val="FF0000"/>
                <w:sz w:val="70"/>
                <w:szCs w:val="70"/>
              </w:rPr>
            </w:pPr>
            <w:r>
              <w:rPr>
                <w:rFonts w:cs="宋体"/>
                <w:color w:val="FF0000"/>
                <w:sz w:val="70"/>
                <w:szCs w:val="70"/>
              </w:rPr>
              <w:t>项目投融资专业委员会文件</w:t>
            </w:r>
          </w:p>
          <w:p>
            <w:pPr>
              <w:autoSpaceDE/>
              <w:autoSpaceDN/>
              <w:jc w:val="center"/>
              <w:rPr>
                <w:rFonts w:hint="default" w:ascii="楷体" w:hAnsi="楷体" w:eastAsia="楷体"/>
                <w:color w:val="000000"/>
                <w:sz w:val="66"/>
                <w:szCs w:val="66"/>
              </w:rPr>
            </w:pPr>
            <w:r>
              <w:rPr>
                <w:rFonts w:cs="宋体"/>
                <w:sz w:val="30"/>
                <w:szCs w:val="30"/>
              </w:rPr>
              <w:t>投融培〔202</w:t>
            </w:r>
            <w:r>
              <w:rPr>
                <w:rFonts w:hint="eastAsia" w:cs="宋体"/>
                <w:sz w:val="30"/>
                <w:szCs w:val="30"/>
                <w:lang w:val="en-US" w:eastAsia="zh-CN"/>
              </w:rPr>
              <w:t>1</w:t>
            </w:r>
            <w:r>
              <w:rPr>
                <w:rFonts w:cs="宋体"/>
                <w:sz w:val="30"/>
                <w:szCs w:val="30"/>
              </w:rPr>
              <w:t>〕</w:t>
            </w:r>
            <w:r>
              <w:rPr>
                <w:rFonts w:hint="eastAsia" w:cs="宋体"/>
                <w:sz w:val="30"/>
                <w:szCs w:val="30"/>
                <w:lang w:val="en-US" w:eastAsia="zh-CN"/>
              </w:rPr>
              <w:t>15</w:t>
            </w:r>
            <w:r>
              <w:rPr>
                <w:rFonts w:cs="宋体"/>
                <w:sz w:val="30"/>
                <w:szCs w:val="30"/>
              </w:rPr>
              <w:t>号</w:t>
            </w:r>
          </w:p>
        </w:tc>
      </w:tr>
    </w:tbl>
    <w:p>
      <w:pPr>
        <w:widowControl/>
        <w:autoSpaceDE/>
        <w:autoSpaceDN/>
        <w:adjustRightInd/>
        <w:spacing w:line="440" w:lineRule="exact"/>
        <w:ind w:left="721" w:hanging="721" w:hangingChars="200"/>
        <w:jc w:val="center"/>
        <w:rPr>
          <w:rFonts w:hint="default" w:ascii="华文中宋" w:hAnsi="华文中宋" w:eastAsia="华文中宋" w:cs="宋体"/>
          <w:b/>
          <w:color w:val="000000"/>
          <w:sz w:val="36"/>
          <w:szCs w:val="36"/>
        </w:rPr>
      </w:pPr>
    </w:p>
    <w:p>
      <w:pPr>
        <w:widowControl/>
        <w:autoSpaceDE/>
        <w:autoSpaceDN/>
        <w:adjustRightInd/>
        <w:spacing w:line="440" w:lineRule="exact"/>
        <w:ind w:left="721" w:hanging="721" w:hangingChars="200"/>
        <w:jc w:val="center"/>
        <w:rPr>
          <w:rFonts w:ascii="华文中宋" w:hAnsi="华文中宋" w:eastAsia="华文中宋" w:cs="宋体"/>
          <w:b/>
          <w:color w:val="000000"/>
          <w:sz w:val="36"/>
          <w:szCs w:val="36"/>
        </w:rPr>
      </w:pPr>
      <w:r>
        <w:rPr>
          <w:rFonts w:ascii="华文中宋" w:hAnsi="华文中宋" w:eastAsia="华文中宋" w:cs="宋体"/>
          <w:b/>
          <w:color w:val="000000"/>
          <w:sz w:val="36"/>
          <w:szCs w:val="36"/>
        </w:rPr>
        <w:t>关于举办新形势下产业新城综合片区开发项目</w:t>
      </w:r>
    </w:p>
    <w:p>
      <w:pPr>
        <w:widowControl/>
        <w:autoSpaceDE/>
        <w:autoSpaceDN/>
        <w:adjustRightInd/>
        <w:spacing w:line="440" w:lineRule="exact"/>
        <w:ind w:left="721" w:hanging="721" w:hangingChars="200"/>
        <w:jc w:val="center"/>
        <w:rPr>
          <w:rFonts w:hint="default" w:ascii="华文中宋" w:hAnsi="华文中宋" w:eastAsia="华文中宋" w:cstheme="majorEastAsia"/>
          <w:sz w:val="36"/>
          <w:szCs w:val="36"/>
        </w:rPr>
      </w:pPr>
      <w:r>
        <w:rPr>
          <w:rFonts w:ascii="华文中宋" w:hAnsi="华文中宋" w:eastAsia="华文中宋" w:cs="宋体"/>
          <w:b/>
          <w:color w:val="000000"/>
          <w:sz w:val="36"/>
          <w:szCs w:val="36"/>
        </w:rPr>
        <w:t>投融资模式创新实务与</w:t>
      </w:r>
      <w:r>
        <w:rPr>
          <w:rFonts w:hint="eastAsia" w:ascii="华文中宋" w:hAnsi="华文中宋" w:eastAsia="华文中宋" w:cs="宋体"/>
          <w:b/>
          <w:color w:val="000000"/>
          <w:sz w:val="36"/>
          <w:szCs w:val="36"/>
          <w:lang w:val="en-US" w:eastAsia="zh-CN"/>
        </w:rPr>
        <w:t>典型</w:t>
      </w:r>
      <w:r>
        <w:rPr>
          <w:rFonts w:ascii="华文中宋" w:hAnsi="华文中宋" w:eastAsia="华文中宋" w:cs="宋体"/>
          <w:b/>
          <w:color w:val="000000"/>
          <w:sz w:val="36"/>
          <w:szCs w:val="36"/>
        </w:rPr>
        <w:t>案例</w:t>
      </w:r>
      <w:r>
        <w:rPr>
          <w:rFonts w:hint="eastAsia" w:ascii="华文中宋" w:hAnsi="华文中宋" w:eastAsia="华文中宋" w:cs="宋体"/>
          <w:b/>
          <w:color w:val="000000"/>
          <w:sz w:val="36"/>
          <w:szCs w:val="36"/>
          <w:lang w:val="en-US" w:eastAsia="zh-CN"/>
        </w:rPr>
        <w:t>解析专题培训班</w:t>
      </w:r>
      <w:r>
        <w:rPr>
          <w:rFonts w:ascii="华文中宋" w:hAnsi="华文中宋" w:eastAsia="华文中宋" w:cs="宋体"/>
          <w:b/>
          <w:color w:val="000000"/>
          <w:sz w:val="36"/>
          <w:szCs w:val="36"/>
        </w:rPr>
        <w:t>的通知</w:t>
      </w:r>
    </w:p>
    <w:p>
      <w:pPr>
        <w:pStyle w:val="8"/>
        <w:spacing w:line="440" w:lineRule="exact"/>
        <w:jc w:val="left"/>
        <w:rPr>
          <w:rFonts w:hint="default" w:ascii="仿宋" w:hAnsi="仿宋" w:eastAsia="仿宋" w:cs="仿宋"/>
          <w:b w:val="0"/>
          <w:kern w:val="2"/>
          <w:sz w:val="30"/>
          <w:szCs w:val="30"/>
        </w:rPr>
      </w:pPr>
      <w:r>
        <w:rPr>
          <w:rFonts w:ascii="仿宋" w:hAnsi="仿宋" w:eastAsia="仿宋" w:cs="仿宋"/>
          <w:kern w:val="2"/>
          <w:sz w:val="30"/>
          <w:szCs w:val="30"/>
        </w:rPr>
        <w:t>各有关单位:</w:t>
      </w:r>
    </w:p>
    <w:p>
      <w:pPr>
        <w:autoSpaceDE/>
        <w:autoSpaceDN/>
        <w:adjustRightInd/>
        <w:spacing w:line="312" w:lineRule="exact"/>
        <w:ind w:firstLine="600" w:firstLineChars="200"/>
        <w:jc w:val="both"/>
        <w:rPr>
          <w:rFonts w:hint="default" w:ascii="仿宋" w:hAnsi="仿宋" w:eastAsia="仿宋" w:cs="仿宋"/>
          <w:bCs/>
          <w:kern w:val="2"/>
          <w:sz w:val="30"/>
          <w:szCs w:val="30"/>
        </w:rPr>
      </w:pPr>
      <w:r>
        <w:rPr>
          <w:rFonts w:hint="eastAsia" w:ascii="仿宋" w:hAnsi="仿宋" w:eastAsia="仿宋" w:cs="仿宋"/>
          <w:bCs/>
          <w:kern w:val="2"/>
          <w:sz w:val="30"/>
          <w:szCs w:val="30"/>
        </w:rPr>
        <w:t>开发区建设是我国改革开放的成功实践，对促进体制改革、改善投资环境、引导产业集聚、发展开放型经济发挥了不可替代的作用，开发区已成为推动我国工业化、城镇化快速发展和对外开放的重要平台。以土地、产业、税收、基础设施、公共服务、财政、金融、项目等综合性</w:t>
      </w:r>
      <w:r>
        <w:rPr>
          <w:rFonts w:hint="eastAsia" w:ascii="仿宋" w:hAnsi="仿宋" w:eastAsia="仿宋" w:cs="仿宋"/>
          <w:bCs/>
          <w:kern w:val="2"/>
          <w:sz w:val="30"/>
          <w:szCs w:val="30"/>
          <w:lang w:eastAsia="zh-CN"/>
        </w:rPr>
        <w:t>的</w:t>
      </w:r>
      <w:r>
        <w:rPr>
          <w:rFonts w:hint="eastAsia" w:ascii="仿宋" w:hAnsi="仿宋" w:eastAsia="仿宋" w:cs="仿宋"/>
          <w:bCs/>
          <w:kern w:val="2"/>
          <w:sz w:val="30"/>
          <w:szCs w:val="30"/>
        </w:rPr>
        <w:t>投资开发建设（即片区综合开发）正在逐步成为推动新型城镇化建设的重要开发模式，也成为城市更新发展升级的重要途径。</w:t>
      </w:r>
    </w:p>
    <w:p>
      <w:pPr>
        <w:autoSpaceDE/>
        <w:autoSpaceDN/>
        <w:adjustRightInd/>
        <w:spacing w:line="312" w:lineRule="exact"/>
        <w:ind w:firstLine="600" w:firstLineChars="200"/>
        <w:jc w:val="both"/>
        <w:rPr>
          <w:rFonts w:hint="default" w:ascii="仿宋" w:hAnsi="仿宋" w:eastAsia="仿宋" w:cs="仿宋"/>
          <w:bCs/>
          <w:kern w:val="2"/>
          <w:sz w:val="30"/>
          <w:szCs w:val="30"/>
        </w:rPr>
      </w:pPr>
      <w:r>
        <w:rPr>
          <w:rFonts w:hint="eastAsia" w:ascii="仿宋" w:hAnsi="仿宋" w:eastAsia="仿宋" w:cs="仿宋"/>
          <w:bCs/>
          <w:kern w:val="2"/>
          <w:sz w:val="30"/>
          <w:szCs w:val="30"/>
        </w:rPr>
        <w:t>为贯彻落实《国务院办公厅关于促进开发区改革和创新发展的若干意见》(国办发〔2017〕7号)《国务院关于推进国家级经济技术开发区创新提升打造改革开放新高地的意见》（国发〔2019〕11号）《关于促进具备条件的开发区向城市综合功能区转型的指导意见》（发改规划〔2015〕2832号）</w:t>
      </w:r>
      <w:r>
        <w:rPr>
          <w:rFonts w:hint="eastAsia" w:ascii="仿宋" w:hAnsi="仿宋" w:eastAsia="仿宋" w:cs="仿宋"/>
          <w:bCs/>
          <w:kern w:val="2"/>
          <w:sz w:val="30"/>
          <w:szCs w:val="30"/>
          <w:lang w:eastAsia="zh-CN"/>
        </w:rPr>
        <w:t>等文件精神，</w:t>
      </w:r>
      <w:r>
        <w:rPr>
          <w:rFonts w:hint="eastAsia" w:ascii="仿宋" w:hAnsi="仿宋" w:eastAsia="仿宋" w:cs="仿宋"/>
          <w:bCs/>
          <w:kern w:val="2"/>
          <w:sz w:val="30"/>
          <w:szCs w:val="30"/>
        </w:rPr>
        <w:t>按照国家有关规定推进各开发建设主体开发运营，引导社会资本参与开发区投资建设</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促进开发区改革和创新发展，中国投资协会项目投融资专业委员会会同北京中科善若教育咨询有限公司举办新形势下产业新城综合片区开发项目投融资模式创新实务与</w:t>
      </w:r>
      <w:r>
        <w:rPr>
          <w:rFonts w:hint="eastAsia" w:ascii="仿宋" w:hAnsi="仿宋" w:eastAsia="仿宋" w:cs="仿宋"/>
          <w:bCs/>
          <w:kern w:val="2"/>
          <w:sz w:val="30"/>
          <w:szCs w:val="30"/>
          <w:lang w:val="en-US" w:eastAsia="zh-CN"/>
        </w:rPr>
        <w:t>典型</w:t>
      </w:r>
      <w:r>
        <w:rPr>
          <w:rFonts w:hint="eastAsia" w:ascii="仿宋" w:hAnsi="仿宋" w:eastAsia="仿宋" w:cs="仿宋"/>
          <w:bCs/>
          <w:kern w:val="2"/>
          <w:sz w:val="30"/>
          <w:szCs w:val="30"/>
        </w:rPr>
        <w:t>案例</w:t>
      </w:r>
      <w:r>
        <w:rPr>
          <w:rFonts w:hint="eastAsia" w:ascii="仿宋" w:hAnsi="仿宋" w:eastAsia="仿宋" w:cs="仿宋"/>
          <w:bCs/>
          <w:kern w:val="2"/>
          <w:sz w:val="30"/>
          <w:szCs w:val="30"/>
          <w:lang w:val="en-US" w:eastAsia="zh-CN"/>
        </w:rPr>
        <w:t>解析专题培训班</w:t>
      </w:r>
      <w:r>
        <w:rPr>
          <w:rFonts w:hint="eastAsia" w:ascii="仿宋" w:hAnsi="仿宋" w:eastAsia="仿宋" w:cs="仿宋"/>
          <w:bCs/>
          <w:kern w:val="2"/>
          <w:sz w:val="30"/>
          <w:szCs w:val="30"/>
        </w:rPr>
        <w:t>。现将具体事项通知如下：</w:t>
      </w:r>
    </w:p>
    <w:p>
      <w:pPr>
        <w:autoSpaceDE/>
        <w:autoSpaceDN/>
        <w:adjustRightInd/>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一、组织机构</w:t>
      </w:r>
    </w:p>
    <w:p>
      <w:pPr>
        <w:autoSpaceDE/>
        <w:autoSpaceDN/>
        <w:adjustRightInd/>
        <w:spacing w:line="312" w:lineRule="exact"/>
        <w:ind w:firstLine="600" w:firstLineChars="200"/>
        <w:jc w:val="both"/>
        <w:rPr>
          <w:rFonts w:hint="default" w:ascii="仿宋" w:hAnsi="仿宋" w:eastAsia="仿宋"/>
          <w:kern w:val="2"/>
          <w:sz w:val="30"/>
          <w:szCs w:val="30"/>
        </w:rPr>
      </w:pPr>
      <w:r>
        <w:rPr>
          <w:rFonts w:ascii="仿宋" w:hAnsi="仿宋" w:eastAsia="仿宋"/>
          <w:kern w:val="2"/>
          <w:sz w:val="30"/>
          <w:szCs w:val="30"/>
        </w:rPr>
        <w:t>主办单位：中国投资协会项目投融资专业委员会</w:t>
      </w:r>
    </w:p>
    <w:p>
      <w:pPr>
        <w:autoSpaceDE/>
        <w:autoSpaceDN/>
        <w:spacing w:line="312" w:lineRule="exact"/>
        <w:ind w:firstLine="600" w:firstLineChars="200"/>
        <w:rPr>
          <w:rFonts w:hint="default" w:ascii="仿宋_GB2312" w:hAnsi="仿宋_GB2312" w:eastAsia="仿宋_GB2312" w:cs="仿宋_GB2312"/>
          <w:bCs/>
          <w:color w:val="000000"/>
          <w:kern w:val="2"/>
          <w:sz w:val="30"/>
          <w:szCs w:val="30"/>
        </w:rPr>
      </w:pPr>
      <w:r>
        <w:rPr>
          <w:rFonts w:ascii="仿宋" w:hAnsi="仿宋" w:eastAsia="仿宋"/>
          <w:kern w:val="2"/>
          <w:sz w:val="30"/>
          <w:szCs w:val="30"/>
        </w:rPr>
        <w:t>承办单位：</w:t>
      </w:r>
      <w:r>
        <w:rPr>
          <w:rFonts w:ascii="仿宋" w:hAnsi="仿宋" w:eastAsia="仿宋" w:cs="仿宋"/>
          <w:bCs/>
          <w:kern w:val="2"/>
          <w:sz w:val="30"/>
          <w:szCs w:val="30"/>
        </w:rPr>
        <w:t>北京中科善若教育咨询有限公司</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二、培训内容（详细内容见附件）</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1.园区开发相关政策要点解读</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2.片区开发的主要模式分析</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3.产业勾地模式介绍及操作要点分析</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4.开发型</w:t>
      </w:r>
      <w:r>
        <w:rPr>
          <w:rFonts w:hint="default" w:ascii="仿宋" w:hAnsi="仿宋" w:eastAsia="仿宋"/>
          <w:kern w:val="2"/>
          <w:sz w:val="30"/>
          <w:szCs w:val="30"/>
        </w:rPr>
        <w:t>PPP模式的应用与案例分享</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5.</w:t>
      </w:r>
      <w:r>
        <w:rPr>
          <w:rFonts w:hint="default" w:ascii="仿宋" w:hAnsi="仿宋" w:eastAsia="仿宋"/>
          <w:kern w:val="2"/>
          <w:sz w:val="30"/>
          <w:szCs w:val="30"/>
        </w:rPr>
        <w:t>“管委会+平台”模式实施片区开发项目的应用</w:t>
      </w:r>
    </w:p>
    <w:p>
      <w:pPr>
        <w:spacing w:line="312" w:lineRule="exact"/>
        <w:ind w:firstLine="600" w:firstLineChars="200"/>
        <w:rPr>
          <w:rFonts w:hint="default" w:ascii="仿宋" w:hAnsi="仿宋" w:eastAsia="仿宋"/>
          <w:kern w:val="2"/>
          <w:sz w:val="30"/>
          <w:szCs w:val="30"/>
        </w:rPr>
      </w:pPr>
      <w:r>
        <w:rPr>
          <w:rFonts w:ascii="仿宋" w:hAnsi="仿宋" w:eastAsia="仿宋"/>
          <w:kern w:val="2"/>
          <w:sz w:val="30"/>
          <w:szCs w:val="30"/>
        </w:rPr>
        <w:t>6.园区开发建设公司市场化投资片区开发项目的应用</w:t>
      </w:r>
    </w:p>
    <w:p>
      <w:pPr>
        <w:spacing w:line="312" w:lineRule="exact"/>
        <w:ind w:firstLine="600" w:firstLineChars="200"/>
        <w:rPr>
          <w:rFonts w:ascii="仿宋" w:hAnsi="仿宋" w:eastAsia="仿宋"/>
          <w:kern w:val="2"/>
          <w:sz w:val="30"/>
          <w:szCs w:val="30"/>
        </w:rPr>
      </w:pPr>
      <w:r>
        <w:rPr>
          <w:rFonts w:ascii="仿宋" w:hAnsi="仿宋" w:eastAsia="仿宋"/>
          <w:kern w:val="2"/>
          <w:sz w:val="30"/>
          <w:szCs w:val="30"/>
        </w:rPr>
        <w:t>7.片区开发项目的融资分析</w:t>
      </w:r>
    </w:p>
    <w:p>
      <w:pPr>
        <w:spacing w:line="312" w:lineRule="exact"/>
        <w:ind w:firstLine="600" w:firstLineChars="200"/>
        <w:rPr>
          <w:rFonts w:hint="default" w:ascii="仿宋" w:hAnsi="仿宋" w:eastAsia="仿宋"/>
          <w:kern w:val="2"/>
          <w:sz w:val="30"/>
          <w:szCs w:val="30"/>
        </w:rPr>
      </w:pPr>
      <w:r>
        <w:rPr>
          <w:rFonts w:hint="eastAsia" w:ascii="仿宋" w:hAnsi="仿宋" w:eastAsia="仿宋"/>
          <w:kern w:val="2"/>
          <w:sz w:val="30"/>
          <w:szCs w:val="30"/>
          <w:lang w:val="en-US" w:eastAsia="zh-CN"/>
        </w:rPr>
        <w:t>8</w:t>
      </w:r>
      <w:r>
        <w:rPr>
          <w:rFonts w:hint="eastAsia" w:ascii="仿宋" w:hAnsi="仿宋" w:eastAsia="仿宋"/>
          <w:kern w:val="2"/>
          <w:sz w:val="30"/>
          <w:szCs w:val="30"/>
          <w:lang w:eastAsia="zh-CN"/>
        </w:rPr>
        <w:t>.</w:t>
      </w:r>
      <w:r>
        <w:rPr>
          <w:rFonts w:hint="default" w:ascii="仿宋" w:hAnsi="仿宋" w:eastAsia="仿宋"/>
          <w:kern w:val="2"/>
          <w:sz w:val="30"/>
          <w:szCs w:val="30"/>
        </w:rPr>
        <w:t>操盘片区开发的要点</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三、培训对象</w:t>
      </w:r>
    </w:p>
    <w:p>
      <w:pPr>
        <w:autoSpaceDE/>
        <w:autoSpaceDN/>
        <w:adjustRightInd/>
        <w:spacing w:line="312" w:lineRule="exact"/>
        <w:ind w:firstLine="600" w:firstLineChars="200"/>
        <w:jc w:val="both"/>
        <w:rPr>
          <w:rFonts w:hint="eastAsia" w:ascii="仿宋" w:hAnsi="仿宋" w:eastAsia="仿宋" w:cs="仿宋"/>
          <w:bCs/>
          <w:kern w:val="2"/>
          <w:sz w:val="30"/>
          <w:szCs w:val="30"/>
          <w:lang w:eastAsia="zh-CN"/>
        </w:rPr>
      </w:pPr>
      <w:r>
        <w:rPr>
          <w:rFonts w:ascii="仿宋" w:hAnsi="仿宋" w:eastAsia="仿宋" w:cs="仿宋"/>
          <w:bCs/>
          <w:kern w:val="2"/>
          <w:sz w:val="30"/>
          <w:szCs w:val="30"/>
        </w:rPr>
        <w:t>1.各地住建、财政</w:t>
      </w:r>
      <w:r>
        <w:rPr>
          <w:rFonts w:hint="default" w:ascii="仿宋" w:hAnsi="仿宋" w:eastAsia="仿宋" w:cs="仿宋"/>
          <w:bCs/>
          <w:kern w:val="2"/>
          <w:sz w:val="30"/>
          <w:szCs w:val="30"/>
        </w:rPr>
        <w:t>、审计部门有关工作人员</w:t>
      </w:r>
      <w:r>
        <w:rPr>
          <w:rFonts w:hint="eastAsia" w:ascii="仿宋" w:hAnsi="仿宋" w:eastAsia="仿宋" w:cs="仿宋"/>
          <w:bCs/>
          <w:kern w:val="2"/>
          <w:sz w:val="30"/>
          <w:szCs w:val="30"/>
          <w:lang w:eastAsia="zh-CN"/>
        </w:rPr>
        <w:t>。</w:t>
      </w:r>
    </w:p>
    <w:p>
      <w:pPr>
        <w:autoSpaceDE/>
        <w:autoSpaceDN/>
        <w:adjustRightInd/>
        <w:spacing w:line="312" w:lineRule="exact"/>
        <w:ind w:firstLine="600" w:firstLineChars="200"/>
        <w:jc w:val="both"/>
        <w:rPr>
          <w:rFonts w:hint="default" w:ascii="仿宋" w:hAnsi="仿宋" w:eastAsia="仿宋"/>
          <w:kern w:val="2"/>
          <w:sz w:val="30"/>
          <w:szCs w:val="30"/>
        </w:rPr>
      </w:pPr>
      <w:r>
        <w:rPr>
          <w:rFonts w:ascii="仿宋" w:hAnsi="仿宋" w:eastAsia="仿宋" w:cs="仿宋"/>
          <w:bCs/>
          <w:kern w:val="2"/>
          <w:sz w:val="30"/>
          <w:szCs w:val="30"/>
        </w:rPr>
        <w:t>2.</w:t>
      </w:r>
      <w:r>
        <w:rPr>
          <w:rFonts w:hint="default" w:ascii="仿宋" w:hAnsi="仿宋" w:eastAsia="仿宋" w:cs="仿宋"/>
          <w:bCs/>
          <w:kern w:val="2"/>
          <w:sz w:val="30"/>
          <w:szCs w:val="30"/>
        </w:rPr>
        <w:t>基建管理</w:t>
      </w:r>
      <w:r>
        <w:rPr>
          <w:rFonts w:hint="eastAsia" w:ascii="仿宋" w:hAnsi="仿宋" w:eastAsia="仿宋" w:cs="仿宋"/>
          <w:bCs/>
          <w:kern w:val="2"/>
          <w:sz w:val="30"/>
          <w:szCs w:val="30"/>
          <w:lang w:eastAsia="zh-CN"/>
        </w:rPr>
        <w:t>、</w:t>
      </w:r>
      <w:r>
        <w:rPr>
          <w:rFonts w:ascii="仿宋" w:hAnsi="仿宋" w:eastAsia="仿宋" w:cs="仿宋"/>
          <w:bCs/>
          <w:kern w:val="2"/>
          <w:sz w:val="30"/>
          <w:szCs w:val="30"/>
        </w:rPr>
        <w:t>交通能源、生态环境、产业园区、融资平台、科研院所、建投施工、资产管理、资本经营、</w:t>
      </w:r>
      <w:r>
        <w:rPr>
          <w:rFonts w:hint="default" w:ascii="仿宋" w:hAnsi="仿宋" w:eastAsia="仿宋" w:cs="仿宋"/>
          <w:bCs/>
          <w:kern w:val="2"/>
          <w:sz w:val="30"/>
          <w:szCs w:val="30"/>
        </w:rPr>
        <w:t>SPV公司</w:t>
      </w:r>
      <w:r>
        <w:rPr>
          <w:rFonts w:ascii="仿宋" w:hAnsi="仿宋" w:eastAsia="仿宋" w:cs="仿宋"/>
          <w:bCs/>
          <w:kern w:val="2"/>
          <w:sz w:val="30"/>
          <w:szCs w:val="30"/>
        </w:rPr>
        <w:t>等</w:t>
      </w:r>
      <w:r>
        <w:rPr>
          <w:rFonts w:hint="default" w:ascii="仿宋" w:hAnsi="仿宋" w:eastAsia="仿宋" w:cs="仿宋"/>
          <w:bCs/>
          <w:kern w:val="2"/>
          <w:sz w:val="30"/>
          <w:szCs w:val="30"/>
        </w:rPr>
        <w:t>单位</w:t>
      </w:r>
      <w:r>
        <w:rPr>
          <w:rFonts w:hint="eastAsia" w:ascii="仿宋" w:hAnsi="仿宋" w:eastAsia="仿宋" w:cs="仿宋"/>
          <w:bCs/>
          <w:kern w:val="2"/>
          <w:sz w:val="30"/>
          <w:szCs w:val="30"/>
          <w:lang w:eastAsia="zh-CN"/>
        </w:rPr>
        <w:t>相关部门</w:t>
      </w:r>
      <w:r>
        <w:rPr>
          <w:rFonts w:ascii="仿宋" w:hAnsi="仿宋" w:eastAsia="仿宋" w:cs="仿宋"/>
          <w:bCs/>
          <w:kern w:val="2"/>
          <w:sz w:val="30"/>
          <w:szCs w:val="30"/>
        </w:rPr>
        <w:t>负责人。</w:t>
      </w:r>
    </w:p>
    <w:p>
      <w:pPr>
        <w:spacing w:line="312" w:lineRule="exact"/>
        <w:ind w:firstLine="600" w:firstLineChars="200"/>
        <w:rPr>
          <w:rFonts w:hint="default" w:ascii="仿宋" w:hAnsi="仿宋" w:eastAsia="仿宋"/>
          <w:color w:val="000000"/>
          <w:sz w:val="30"/>
          <w:szCs w:val="30"/>
        </w:rPr>
      </w:pPr>
      <w:r>
        <w:rPr>
          <w:rFonts w:ascii="黑体" w:hAnsi="黑体" w:eastAsia="黑体" w:cs="黑体"/>
          <w:kern w:val="2"/>
          <w:sz w:val="30"/>
          <w:szCs w:val="30"/>
        </w:rPr>
        <w:t>四、授课专家</w:t>
      </w:r>
      <w:r>
        <w:rPr>
          <w:rFonts w:ascii="仿宋" w:hAnsi="仿宋" w:eastAsia="仿宋"/>
          <w:color w:val="000000"/>
          <w:sz w:val="30"/>
          <w:szCs w:val="30"/>
        </w:rPr>
        <w:t xml:space="preserve">                </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拟邀请国家</w:t>
      </w:r>
      <w:r>
        <w:rPr>
          <w:rFonts w:hint="eastAsia" w:ascii="仿宋" w:hAnsi="仿宋" w:eastAsia="仿宋"/>
          <w:color w:val="000000"/>
          <w:sz w:val="30"/>
          <w:szCs w:val="30"/>
          <w:lang w:eastAsia="zh-CN"/>
        </w:rPr>
        <w:t>部</w:t>
      </w:r>
      <w:r>
        <w:rPr>
          <w:rFonts w:ascii="仿宋" w:hAnsi="仿宋" w:eastAsia="仿宋"/>
          <w:color w:val="000000"/>
          <w:sz w:val="30"/>
          <w:szCs w:val="30"/>
        </w:rPr>
        <w:t>委、</w:t>
      </w:r>
      <w:r>
        <w:rPr>
          <w:rFonts w:hint="eastAsia" w:ascii="仿宋" w:hAnsi="仿宋" w:eastAsia="仿宋"/>
          <w:color w:val="000000"/>
          <w:sz w:val="30"/>
          <w:szCs w:val="30"/>
          <w:lang w:eastAsia="zh-CN"/>
        </w:rPr>
        <w:t>科研院所</w:t>
      </w:r>
      <w:r>
        <w:rPr>
          <w:rFonts w:ascii="仿宋" w:hAnsi="仿宋" w:eastAsia="仿宋"/>
          <w:color w:val="000000"/>
          <w:sz w:val="30"/>
          <w:szCs w:val="30"/>
        </w:rPr>
        <w:t>、</w:t>
      </w:r>
      <w:r>
        <w:rPr>
          <w:rFonts w:hint="eastAsia" w:ascii="仿宋" w:hAnsi="仿宋" w:eastAsia="仿宋"/>
          <w:color w:val="000000"/>
          <w:sz w:val="30"/>
          <w:szCs w:val="30"/>
          <w:lang w:eastAsia="zh-CN"/>
        </w:rPr>
        <w:t>高等院校、金融机构、咨询服务等</w:t>
      </w:r>
      <w:r>
        <w:rPr>
          <w:rFonts w:ascii="仿宋" w:hAnsi="仿宋" w:eastAsia="仿宋"/>
          <w:color w:val="000000"/>
          <w:sz w:val="30"/>
          <w:szCs w:val="30"/>
        </w:rPr>
        <w:t>相关领域专家</w:t>
      </w:r>
      <w:r>
        <w:rPr>
          <w:rFonts w:hint="eastAsia" w:ascii="仿宋" w:hAnsi="仿宋" w:eastAsia="仿宋"/>
          <w:color w:val="000000"/>
          <w:sz w:val="30"/>
          <w:szCs w:val="30"/>
          <w:lang w:eastAsia="zh-CN"/>
        </w:rPr>
        <w:t>学者</w:t>
      </w:r>
      <w:r>
        <w:rPr>
          <w:rFonts w:ascii="仿宋" w:hAnsi="仿宋" w:eastAsia="仿宋"/>
          <w:color w:val="000000"/>
          <w:sz w:val="30"/>
          <w:szCs w:val="30"/>
        </w:rPr>
        <w:t>授课以专题讲座、案例分析、方案咨询、研讨交流等形式进行讲解。</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五、时间地点</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2021年</w:t>
      </w:r>
      <w:r>
        <w:rPr>
          <w:rFonts w:hint="eastAsia" w:ascii="仿宋" w:hAnsi="仿宋" w:eastAsia="仿宋" w:cs="仿宋"/>
          <w:bCs/>
          <w:kern w:val="2"/>
          <w:sz w:val="30"/>
          <w:szCs w:val="30"/>
          <w:lang w:val="en-US" w:eastAsia="zh-CN"/>
        </w:rPr>
        <w:t>0</w:t>
      </w:r>
      <w:r>
        <w:rPr>
          <w:rFonts w:hint="eastAsia" w:ascii="仿宋" w:hAnsi="仿宋" w:eastAsia="仿宋" w:cs="仿宋"/>
          <w:bCs/>
          <w:kern w:val="2"/>
          <w:sz w:val="30"/>
          <w:szCs w:val="30"/>
        </w:rPr>
        <w:t>5月28日—</w:t>
      </w:r>
      <w:r>
        <w:rPr>
          <w:rFonts w:hint="eastAsia" w:ascii="仿宋" w:hAnsi="仿宋" w:eastAsia="仿宋" w:cs="仿宋"/>
          <w:bCs/>
          <w:kern w:val="2"/>
          <w:sz w:val="30"/>
          <w:szCs w:val="30"/>
          <w:lang w:val="en-US" w:eastAsia="zh-CN"/>
        </w:rPr>
        <w:t>0</w:t>
      </w:r>
      <w:r>
        <w:rPr>
          <w:rFonts w:hint="eastAsia" w:ascii="仿宋" w:hAnsi="仿宋" w:eastAsia="仿宋" w:cs="仿宋"/>
          <w:bCs/>
          <w:kern w:val="2"/>
          <w:sz w:val="30"/>
          <w:szCs w:val="30"/>
        </w:rPr>
        <w:t>6月</w:t>
      </w:r>
      <w:r>
        <w:rPr>
          <w:rFonts w:hint="eastAsia" w:ascii="仿宋" w:hAnsi="仿宋" w:eastAsia="仿宋" w:cs="仿宋"/>
          <w:bCs/>
          <w:color w:val="FFFFFF" w:themeColor="background1"/>
          <w:kern w:val="2"/>
          <w:sz w:val="30"/>
          <w:szCs w:val="30"/>
          <w:lang w:val="en-US" w:eastAsia="zh-CN"/>
          <w14:textFill>
            <w14:solidFill>
              <w14:schemeClr w14:val="bg1"/>
            </w14:solidFill>
          </w14:textFill>
        </w:rPr>
        <w:t>1</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日  西安</w:t>
      </w:r>
      <w:r>
        <w:rPr>
          <w:rFonts w:hint="eastAsia" w:ascii="仿宋" w:hAnsi="仿宋" w:eastAsia="仿宋" w:cs="仿宋"/>
          <w:bCs/>
          <w:kern w:val="2"/>
          <w:sz w:val="30"/>
          <w:szCs w:val="30"/>
          <w:lang w:val="en-US" w:eastAsia="zh-CN"/>
        </w:rPr>
        <w:t>市</w:t>
      </w:r>
      <w:r>
        <w:rPr>
          <w:rFonts w:hint="eastAsia" w:ascii="仿宋" w:hAnsi="仿宋" w:eastAsia="仿宋" w:cs="仿宋"/>
          <w:bCs/>
          <w:kern w:val="2"/>
          <w:sz w:val="30"/>
          <w:szCs w:val="30"/>
        </w:rPr>
        <w:t>（28日全天报到）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年</w:t>
      </w:r>
      <w:r>
        <w:rPr>
          <w:rFonts w:hint="eastAsia" w:ascii="仿宋" w:hAnsi="仿宋" w:eastAsia="仿宋" w:cs="仿宋"/>
          <w:bCs/>
          <w:kern w:val="2"/>
          <w:sz w:val="30"/>
          <w:szCs w:val="30"/>
          <w:lang w:val="en-US" w:eastAsia="zh-CN"/>
        </w:rPr>
        <w:t>06</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18</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06</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22</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长沙</w:t>
      </w:r>
      <w:r>
        <w:rPr>
          <w:rFonts w:hint="eastAsia" w:ascii="仿宋" w:hAnsi="仿宋" w:eastAsia="仿宋" w:cs="仿宋"/>
          <w:bCs/>
          <w:kern w:val="2"/>
          <w:sz w:val="30"/>
          <w:szCs w:val="30"/>
        </w:rPr>
        <w:t>市（1</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rPr>
        <w:t>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年</w:t>
      </w:r>
      <w:r>
        <w:rPr>
          <w:rFonts w:hint="eastAsia" w:ascii="仿宋" w:hAnsi="仿宋" w:eastAsia="仿宋" w:cs="仿宋"/>
          <w:bCs/>
          <w:kern w:val="2"/>
          <w:sz w:val="30"/>
          <w:szCs w:val="30"/>
          <w:lang w:val="en-US" w:eastAsia="zh-CN"/>
        </w:rPr>
        <w:t>07</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09</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07</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13</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贵阳</w:t>
      </w:r>
      <w:r>
        <w:rPr>
          <w:rFonts w:hint="eastAsia" w:ascii="仿宋" w:hAnsi="仿宋" w:eastAsia="仿宋" w:cs="仿宋"/>
          <w:bCs/>
          <w:kern w:val="2"/>
          <w:sz w:val="30"/>
          <w:szCs w:val="30"/>
        </w:rPr>
        <w:t>市（</w:t>
      </w:r>
      <w:r>
        <w:rPr>
          <w:rFonts w:hint="eastAsia" w:ascii="仿宋" w:hAnsi="仿宋" w:eastAsia="仿宋" w:cs="仿宋"/>
          <w:bCs/>
          <w:kern w:val="2"/>
          <w:sz w:val="30"/>
          <w:szCs w:val="30"/>
          <w:lang w:val="en-US" w:eastAsia="zh-CN"/>
        </w:rPr>
        <w:t>09</w:t>
      </w:r>
      <w:r>
        <w:rPr>
          <w:rFonts w:hint="eastAsia" w:ascii="仿宋" w:hAnsi="仿宋" w:eastAsia="仿宋" w:cs="仿宋"/>
          <w:bCs/>
          <w:kern w:val="2"/>
          <w:sz w:val="30"/>
          <w:szCs w:val="30"/>
        </w:rPr>
        <w:t>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2021年</w:t>
      </w:r>
      <w:r>
        <w:rPr>
          <w:rFonts w:hint="eastAsia" w:ascii="仿宋" w:hAnsi="仿宋" w:eastAsia="仿宋" w:cs="仿宋"/>
          <w:bCs/>
          <w:kern w:val="2"/>
          <w:sz w:val="30"/>
          <w:szCs w:val="30"/>
          <w:lang w:val="en-US" w:eastAsia="zh-CN"/>
        </w:rPr>
        <w:t>07</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24</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07</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28</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青岛</w:t>
      </w:r>
      <w:r>
        <w:rPr>
          <w:rFonts w:hint="eastAsia" w:ascii="仿宋" w:hAnsi="仿宋" w:eastAsia="仿宋" w:cs="仿宋"/>
          <w:bCs/>
          <w:kern w:val="2"/>
          <w:sz w:val="30"/>
          <w:szCs w:val="30"/>
        </w:rPr>
        <w:t>市（</w:t>
      </w:r>
      <w:r>
        <w:rPr>
          <w:rFonts w:hint="eastAsia" w:ascii="仿宋" w:hAnsi="仿宋" w:eastAsia="仿宋" w:cs="仿宋"/>
          <w:bCs/>
          <w:kern w:val="2"/>
          <w:sz w:val="30"/>
          <w:szCs w:val="30"/>
          <w:lang w:val="en-US" w:eastAsia="zh-CN"/>
        </w:rPr>
        <w:t>24</w:t>
      </w:r>
      <w:r>
        <w:rPr>
          <w:rFonts w:hint="eastAsia" w:ascii="仿宋" w:hAnsi="仿宋" w:eastAsia="仿宋" w:cs="仿宋"/>
          <w:bCs/>
          <w:kern w:val="2"/>
          <w:sz w:val="30"/>
          <w:szCs w:val="30"/>
        </w:rPr>
        <w:t>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年</w:t>
      </w:r>
      <w:r>
        <w:rPr>
          <w:rFonts w:hint="eastAsia" w:ascii="仿宋" w:hAnsi="仿宋" w:eastAsia="仿宋" w:cs="仿宋"/>
          <w:bCs/>
          <w:kern w:val="2"/>
          <w:sz w:val="30"/>
          <w:szCs w:val="30"/>
          <w:lang w:val="en-US" w:eastAsia="zh-CN"/>
        </w:rPr>
        <w:t>08</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13</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08</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17</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 xml:space="preserve"> 成都</w:t>
      </w:r>
      <w:r>
        <w:rPr>
          <w:rFonts w:hint="eastAsia" w:ascii="仿宋" w:hAnsi="仿宋" w:eastAsia="仿宋" w:cs="仿宋"/>
          <w:bCs/>
          <w:kern w:val="2"/>
          <w:sz w:val="30"/>
          <w:szCs w:val="30"/>
        </w:rPr>
        <w:t>市（</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3日全天报到）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年</w:t>
      </w:r>
      <w:r>
        <w:rPr>
          <w:rFonts w:hint="eastAsia" w:ascii="仿宋" w:hAnsi="仿宋" w:eastAsia="仿宋" w:cs="仿宋"/>
          <w:bCs/>
          <w:kern w:val="2"/>
          <w:sz w:val="30"/>
          <w:szCs w:val="30"/>
          <w:lang w:val="en-US" w:eastAsia="zh-CN"/>
        </w:rPr>
        <w:t>08</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20</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08</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24</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 xml:space="preserve"> 银川</w:t>
      </w:r>
      <w:r>
        <w:rPr>
          <w:rFonts w:hint="eastAsia" w:ascii="仿宋" w:hAnsi="仿宋" w:eastAsia="仿宋" w:cs="仿宋"/>
          <w:bCs/>
          <w:kern w:val="2"/>
          <w:sz w:val="30"/>
          <w:szCs w:val="30"/>
        </w:rPr>
        <w:t>市（</w:t>
      </w:r>
      <w:r>
        <w:rPr>
          <w:rFonts w:hint="eastAsia" w:ascii="仿宋" w:hAnsi="仿宋" w:eastAsia="仿宋" w:cs="仿宋"/>
          <w:bCs/>
          <w:kern w:val="2"/>
          <w:sz w:val="30"/>
          <w:szCs w:val="30"/>
          <w:lang w:val="en-US" w:eastAsia="zh-CN"/>
        </w:rPr>
        <w:t>20</w:t>
      </w:r>
      <w:r>
        <w:rPr>
          <w:rFonts w:hint="eastAsia" w:ascii="仿宋" w:hAnsi="仿宋" w:eastAsia="仿宋" w:cs="仿宋"/>
          <w:bCs/>
          <w:kern w:val="2"/>
          <w:sz w:val="30"/>
          <w:szCs w:val="30"/>
        </w:rPr>
        <w:t>日全天报到）</w:t>
      </w:r>
    </w:p>
    <w:p>
      <w:pPr>
        <w:autoSpaceDE/>
        <w:autoSpaceDN/>
        <w:adjustRightInd/>
        <w:spacing w:line="312" w:lineRule="exact"/>
        <w:ind w:firstLine="600" w:firstLineChars="200"/>
        <w:jc w:val="left"/>
        <w:rPr>
          <w:rFonts w:hint="eastAsia" w:ascii="仿宋" w:hAnsi="仿宋" w:eastAsia="仿宋" w:cs="仿宋"/>
          <w:bCs/>
          <w:kern w:val="2"/>
          <w:sz w:val="30"/>
          <w:szCs w:val="30"/>
        </w:rPr>
      </w:pPr>
      <w:r>
        <w:rPr>
          <w:rFonts w:hint="eastAsia" w:ascii="仿宋" w:hAnsi="仿宋" w:eastAsia="仿宋" w:cs="仿宋"/>
          <w:bCs/>
          <w:kern w:val="2"/>
          <w:sz w:val="30"/>
          <w:szCs w:val="30"/>
        </w:rPr>
        <w:t>2021年</w:t>
      </w:r>
      <w:r>
        <w:rPr>
          <w:rFonts w:hint="eastAsia" w:ascii="仿宋" w:hAnsi="仿宋" w:eastAsia="仿宋" w:cs="仿宋"/>
          <w:bCs/>
          <w:kern w:val="2"/>
          <w:sz w:val="30"/>
          <w:szCs w:val="30"/>
          <w:lang w:val="en-US" w:eastAsia="zh-CN"/>
        </w:rPr>
        <w:t>09</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10</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09</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14</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 xml:space="preserve"> 昆明</w:t>
      </w:r>
      <w:bookmarkStart w:id="0" w:name="_GoBack"/>
      <w:bookmarkEnd w:id="0"/>
      <w:r>
        <w:rPr>
          <w:rFonts w:hint="eastAsia" w:ascii="仿宋" w:hAnsi="仿宋" w:eastAsia="仿宋" w:cs="仿宋"/>
          <w:bCs/>
          <w:kern w:val="2"/>
          <w:sz w:val="30"/>
          <w:szCs w:val="30"/>
        </w:rPr>
        <w:t>市（14日全天报到）</w:t>
      </w:r>
    </w:p>
    <w:p>
      <w:pPr>
        <w:autoSpaceDE/>
        <w:autoSpaceDN/>
        <w:adjustRightInd/>
        <w:spacing w:line="312" w:lineRule="exact"/>
        <w:ind w:firstLine="600" w:firstLineChars="200"/>
        <w:jc w:val="left"/>
        <w:rPr>
          <w:rFonts w:hint="eastAsia" w:ascii="仿宋" w:hAnsi="仿宋" w:eastAsia="仿宋" w:cs="仿宋"/>
          <w:bCs/>
          <w:kern w:val="2"/>
          <w:sz w:val="30"/>
          <w:szCs w:val="30"/>
          <w:lang w:eastAsia="zh-CN"/>
        </w:rPr>
      </w:pPr>
      <w:r>
        <w:rPr>
          <w:rFonts w:hint="eastAsia" w:ascii="仿宋" w:hAnsi="仿宋" w:eastAsia="仿宋" w:cs="仿宋"/>
          <w:bCs/>
          <w:kern w:val="2"/>
          <w:sz w:val="30"/>
          <w:szCs w:val="30"/>
        </w:rPr>
        <w:t>2021年</w:t>
      </w:r>
      <w:r>
        <w:rPr>
          <w:rFonts w:hint="eastAsia" w:ascii="仿宋" w:hAnsi="仿宋" w:eastAsia="仿宋" w:cs="仿宋"/>
          <w:bCs/>
          <w:kern w:val="2"/>
          <w:sz w:val="30"/>
          <w:szCs w:val="30"/>
          <w:lang w:val="en-US" w:eastAsia="zh-CN"/>
        </w:rPr>
        <w:t>09</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25</w:t>
      </w:r>
      <w:r>
        <w:rPr>
          <w:rFonts w:hint="eastAsia" w:ascii="仿宋" w:hAnsi="仿宋" w:eastAsia="仿宋" w:cs="仿宋"/>
          <w:bCs/>
          <w:kern w:val="2"/>
          <w:sz w:val="30"/>
          <w:szCs w:val="30"/>
        </w:rPr>
        <w:t>日—</w:t>
      </w:r>
      <w:r>
        <w:rPr>
          <w:rFonts w:hint="eastAsia" w:ascii="仿宋" w:hAnsi="仿宋" w:eastAsia="仿宋" w:cs="仿宋"/>
          <w:bCs/>
          <w:kern w:val="2"/>
          <w:sz w:val="30"/>
          <w:szCs w:val="30"/>
          <w:lang w:val="en-US" w:eastAsia="zh-CN"/>
        </w:rPr>
        <w:t>09</w:t>
      </w:r>
      <w:r>
        <w:rPr>
          <w:rFonts w:hint="eastAsia" w:ascii="仿宋" w:hAnsi="仿宋" w:eastAsia="仿宋" w:cs="仿宋"/>
          <w:bCs/>
          <w:kern w:val="2"/>
          <w:sz w:val="30"/>
          <w:szCs w:val="30"/>
        </w:rPr>
        <w:t>月</w:t>
      </w:r>
      <w:r>
        <w:rPr>
          <w:rFonts w:hint="eastAsia" w:ascii="仿宋" w:hAnsi="仿宋" w:eastAsia="仿宋" w:cs="仿宋"/>
          <w:bCs/>
          <w:kern w:val="2"/>
          <w:sz w:val="30"/>
          <w:szCs w:val="30"/>
          <w:lang w:val="en-US" w:eastAsia="zh-CN"/>
        </w:rPr>
        <w:t>29</w:t>
      </w:r>
      <w:r>
        <w:rPr>
          <w:rFonts w:hint="eastAsia" w:ascii="仿宋" w:hAnsi="仿宋" w:eastAsia="仿宋" w:cs="仿宋"/>
          <w:bCs/>
          <w:kern w:val="2"/>
          <w:sz w:val="30"/>
          <w:szCs w:val="30"/>
        </w:rPr>
        <w:t xml:space="preserve">日  </w:t>
      </w:r>
      <w:r>
        <w:rPr>
          <w:rFonts w:hint="eastAsia" w:ascii="仿宋" w:hAnsi="仿宋" w:eastAsia="仿宋" w:cs="仿宋"/>
          <w:bCs/>
          <w:kern w:val="2"/>
          <w:sz w:val="30"/>
          <w:szCs w:val="30"/>
          <w:lang w:val="en-US" w:eastAsia="zh-CN"/>
        </w:rPr>
        <w:t>南宁市</w:t>
      </w:r>
      <w:r>
        <w:rPr>
          <w:rFonts w:hint="eastAsia" w:ascii="仿宋" w:hAnsi="仿宋" w:eastAsia="仿宋" w:cs="仿宋"/>
          <w:bCs/>
          <w:kern w:val="2"/>
          <w:sz w:val="30"/>
          <w:szCs w:val="30"/>
        </w:rPr>
        <w:t>（</w:t>
      </w:r>
      <w:r>
        <w:rPr>
          <w:rFonts w:hint="eastAsia" w:ascii="仿宋" w:hAnsi="仿宋" w:eastAsia="仿宋" w:cs="仿宋"/>
          <w:bCs/>
          <w:kern w:val="2"/>
          <w:sz w:val="30"/>
          <w:szCs w:val="30"/>
          <w:lang w:val="en-US" w:eastAsia="zh-CN"/>
        </w:rPr>
        <w:t>25</w:t>
      </w:r>
      <w:r>
        <w:rPr>
          <w:rFonts w:hint="eastAsia" w:ascii="仿宋" w:hAnsi="仿宋" w:eastAsia="仿宋" w:cs="仿宋"/>
          <w:bCs/>
          <w:kern w:val="2"/>
          <w:sz w:val="30"/>
          <w:szCs w:val="30"/>
        </w:rPr>
        <w:t>日全天报到</w:t>
      </w:r>
      <w:r>
        <w:rPr>
          <w:rFonts w:hint="eastAsia" w:ascii="仿宋" w:hAnsi="仿宋" w:eastAsia="仿宋" w:cs="仿宋"/>
          <w:bCs/>
          <w:kern w:val="2"/>
          <w:sz w:val="30"/>
          <w:szCs w:val="30"/>
          <w:lang w:eastAsia="zh-CN"/>
        </w:rPr>
        <w:t>）</w:t>
      </w:r>
    </w:p>
    <w:p>
      <w:pPr>
        <w:autoSpaceDE/>
        <w:autoSpaceDN/>
        <w:adjustRightInd/>
        <w:spacing w:line="312" w:lineRule="exact"/>
        <w:ind w:firstLine="600" w:firstLineChars="200"/>
        <w:jc w:val="left"/>
        <w:rPr>
          <w:rFonts w:hint="eastAsia" w:ascii="仿宋" w:hAnsi="仿宋" w:eastAsia="仿宋" w:cs="仿宋"/>
          <w:bCs/>
          <w:kern w:val="2"/>
          <w:sz w:val="30"/>
          <w:szCs w:val="30"/>
          <w:lang w:val="en-US" w:eastAsia="zh-CN"/>
        </w:rPr>
      </w:pPr>
      <w:r>
        <w:rPr>
          <w:rFonts w:hint="eastAsia" w:ascii="仿宋" w:hAnsi="仿宋" w:eastAsia="仿宋" w:cs="仿宋"/>
          <w:bCs/>
          <w:kern w:val="2"/>
          <w:sz w:val="30"/>
          <w:szCs w:val="30"/>
          <w:lang w:val="en-US" w:eastAsia="zh-CN"/>
        </w:rPr>
        <w:t>2021年10月22日</w:t>
      </w:r>
      <w:r>
        <w:rPr>
          <w:rFonts w:hint="eastAsia" w:ascii="仿宋" w:hAnsi="仿宋" w:eastAsia="仿宋" w:cs="仿宋"/>
          <w:bCs/>
          <w:kern w:val="2"/>
          <w:sz w:val="30"/>
          <w:szCs w:val="30"/>
        </w:rPr>
        <w:t>—</w:t>
      </w:r>
      <w:r>
        <w:rPr>
          <w:rFonts w:hint="eastAsia" w:ascii="仿宋" w:hAnsi="仿宋" w:eastAsia="仿宋" w:cs="仿宋"/>
          <w:bCs/>
          <w:kern w:val="2"/>
          <w:sz w:val="30"/>
          <w:szCs w:val="30"/>
          <w:lang w:val="en-US" w:eastAsia="zh-CN"/>
        </w:rPr>
        <w:t>10月26日  珠海市（22日全天报到）</w:t>
      </w:r>
    </w:p>
    <w:p>
      <w:pPr>
        <w:spacing w:line="312" w:lineRule="exact"/>
        <w:ind w:firstLine="600" w:firstLineChars="200"/>
        <w:rPr>
          <w:rFonts w:hint="default" w:ascii="黑体" w:hAnsi="黑体" w:eastAsia="黑体" w:cs="黑体"/>
          <w:kern w:val="2"/>
          <w:sz w:val="30"/>
          <w:szCs w:val="30"/>
        </w:rPr>
      </w:pPr>
      <w:r>
        <w:rPr>
          <w:rFonts w:ascii="黑体" w:hAnsi="黑体" w:eastAsia="黑体" w:cs="黑体"/>
          <w:kern w:val="2"/>
          <w:sz w:val="30"/>
          <w:szCs w:val="30"/>
        </w:rPr>
        <w:t>六、相关事宜</w:t>
      </w:r>
    </w:p>
    <w:p>
      <w:pPr>
        <w:spacing w:line="312" w:lineRule="exact"/>
        <w:ind w:firstLine="600" w:firstLineChars="200"/>
        <w:rPr>
          <w:rFonts w:hint="default" w:ascii="仿宋" w:hAnsi="仿宋" w:eastAsia="仿宋"/>
          <w:b/>
          <w:color w:val="000000"/>
          <w:sz w:val="30"/>
          <w:szCs w:val="30"/>
        </w:rPr>
      </w:pPr>
      <w:r>
        <w:rPr>
          <w:rFonts w:ascii="仿宋" w:hAnsi="仿宋" w:eastAsia="仿宋"/>
          <w:b/>
          <w:color w:val="000000"/>
          <w:sz w:val="30"/>
          <w:szCs w:val="30"/>
        </w:rPr>
        <w:t>（一）培训费用</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A.2980元/人（含培训、资料、课件、场地、会议期间午餐），住宿统一安排，费用自理。</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B.3980元/人（含证书、培训、资料、课件、场地、会议期间午餐），住宿统一安排，费用自理。</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C.5980元/人（含证书、培训、资料、课件、场地、会议期间食宿）。</w:t>
      </w:r>
    </w:p>
    <w:p>
      <w:pPr>
        <w:spacing w:line="312" w:lineRule="exact"/>
        <w:ind w:firstLine="600" w:firstLineChars="200"/>
        <w:rPr>
          <w:rFonts w:ascii="仿宋" w:hAnsi="仿宋" w:eastAsia="仿宋"/>
          <w:color w:val="000000"/>
          <w:sz w:val="30"/>
          <w:szCs w:val="30"/>
        </w:rPr>
      </w:pPr>
      <w:r>
        <w:rPr>
          <w:rFonts w:ascii="仿宋" w:hAnsi="仿宋" w:eastAsia="仿宋"/>
          <w:color w:val="000000"/>
          <w:sz w:val="30"/>
          <w:szCs w:val="30"/>
        </w:rPr>
        <w:t>备注：证书由中国国家人事人才培训网、北京企业管理咨询协会共同颁发《投融资管理师》《金融风险管理师》，证书可在国培网网站人才数据库查询。</w:t>
      </w:r>
    </w:p>
    <w:p>
      <w:pPr>
        <w:spacing w:line="312" w:lineRule="exact"/>
        <w:ind w:firstLine="600" w:firstLineChars="200"/>
        <w:rPr>
          <w:rFonts w:hint="default" w:ascii="仿宋" w:hAnsi="仿宋" w:eastAsia="仿宋"/>
          <w:color w:val="000000"/>
          <w:sz w:val="30"/>
          <w:szCs w:val="30"/>
        </w:rPr>
      </w:pPr>
      <w:r>
        <w:rPr>
          <w:rFonts w:ascii="仿宋" w:hAnsi="仿宋" w:eastAsia="仿宋"/>
          <w:color w:val="000000"/>
          <w:sz w:val="30"/>
          <w:szCs w:val="30"/>
        </w:rPr>
        <w:t>需提供报名材料：报名表、</w:t>
      </w:r>
      <w:r>
        <w:rPr>
          <w:rFonts w:hint="default" w:ascii="仿宋" w:hAnsi="仿宋" w:eastAsia="仿宋"/>
          <w:color w:val="000000"/>
          <w:sz w:val="30"/>
          <w:szCs w:val="30"/>
        </w:rPr>
        <w:t>2寸电子照片（白底免冠彩照）、身份证复印件、学历证书复印件各一份。</w:t>
      </w:r>
    </w:p>
    <w:p>
      <w:pPr>
        <w:spacing w:line="312" w:lineRule="exact"/>
        <w:ind w:firstLine="600" w:firstLineChars="200"/>
        <w:rPr>
          <w:rFonts w:hint="default" w:ascii="仿宋" w:hAnsi="仿宋" w:eastAsia="仿宋"/>
          <w:b/>
          <w:color w:val="000000"/>
          <w:sz w:val="30"/>
          <w:szCs w:val="30"/>
        </w:rPr>
      </w:pPr>
      <w:r>
        <w:rPr>
          <w:rFonts w:ascii="仿宋" w:hAnsi="仿宋" w:eastAsia="仿宋"/>
          <w:b/>
          <w:color w:val="000000"/>
          <w:sz w:val="30"/>
          <w:szCs w:val="30"/>
        </w:rPr>
        <w:t>（二）联系方式</w:t>
      </w:r>
    </w:p>
    <w:p>
      <w:pPr>
        <w:spacing w:line="312" w:lineRule="exact"/>
        <w:ind w:firstLine="600" w:firstLineChars="200"/>
        <w:rPr>
          <w:rFonts w:hint="default" w:ascii="仿宋" w:hAnsi="仿宋" w:eastAsia="仿宋"/>
          <w:color w:val="000000"/>
          <w:sz w:val="30"/>
          <w:szCs w:val="30"/>
          <w:lang w:val="en-US" w:eastAsia="zh-CN"/>
        </w:rPr>
      </w:pPr>
      <w:r>
        <w:rPr>
          <w:rFonts w:hint="default" w:ascii="仿宋" w:hAnsi="仿宋" w:eastAsia="仿宋"/>
          <w:color w:val="000000"/>
          <w:sz w:val="30"/>
          <w:szCs w:val="30"/>
          <w:lang w:val="en-US" w:eastAsia="zh-CN"/>
        </w:rPr>
        <w:t xml:space="preserve">报名负责人：聂红军 主任18211071700（微信）   </w:t>
      </w:r>
    </w:p>
    <w:p>
      <w:pPr>
        <w:spacing w:line="312" w:lineRule="exact"/>
        <w:ind w:firstLine="600" w:firstLineChars="200"/>
        <w:rPr>
          <w:rFonts w:hint="default" w:ascii="仿宋" w:hAnsi="仿宋" w:eastAsia="仿宋"/>
          <w:color w:val="000000"/>
          <w:sz w:val="30"/>
          <w:szCs w:val="30"/>
          <w:lang w:val="en-US" w:eastAsia="zh-CN"/>
        </w:rPr>
      </w:pPr>
      <w:r>
        <w:rPr>
          <w:rFonts w:hint="default" w:ascii="仿宋" w:hAnsi="仿宋" w:eastAsia="仿宋"/>
          <w:color w:val="000000"/>
          <w:sz w:val="30"/>
          <w:szCs w:val="30"/>
          <w:lang w:val="en-US" w:eastAsia="zh-CN"/>
        </w:rPr>
        <w:t xml:space="preserve">电  话：010-87697580      邮    箱：zqgphwz@126.com  </w:t>
      </w:r>
    </w:p>
    <w:p>
      <w:pPr>
        <w:spacing w:line="312" w:lineRule="exact"/>
        <w:ind w:firstLine="600" w:firstLineChars="200"/>
        <w:rPr>
          <w:rFonts w:hint="default" w:ascii="仿宋" w:hAnsi="仿宋" w:eastAsia="仿宋"/>
          <w:color w:val="000000"/>
          <w:sz w:val="30"/>
          <w:szCs w:val="30"/>
          <w:lang w:val="en-US" w:eastAsia="zh-CN"/>
        </w:rPr>
      </w:pPr>
      <w:r>
        <w:rPr>
          <w:rFonts w:hint="default" w:ascii="仿宋" w:hAnsi="仿宋" w:eastAsia="仿宋"/>
          <w:color w:val="000000"/>
          <w:sz w:val="30"/>
          <w:szCs w:val="30"/>
          <w:lang w:val="en-US" w:eastAsia="zh-CN"/>
        </w:rPr>
        <w:t>qq咨询：3177524020    网址查询：http://www.zqgpchina.cn/</w:t>
      </w:r>
    </w:p>
    <w:p>
      <w:pPr>
        <w:spacing w:line="312" w:lineRule="exact"/>
        <w:ind w:firstLine="600" w:firstLineChars="200"/>
        <w:rPr>
          <w:rFonts w:ascii="黑体" w:hAnsi="黑体" w:eastAsia="黑体" w:cs="黑体"/>
          <w:color w:val="000000"/>
          <w:sz w:val="30"/>
          <w:szCs w:val="30"/>
        </w:rPr>
      </w:pPr>
      <w:r>
        <w:rPr>
          <w:rFonts w:hint="eastAsia" w:ascii="仿宋" w:hAnsi="仿宋" w:eastAsia="仿宋"/>
          <w:color w:val="000000"/>
          <w:sz w:val="30"/>
          <w:szCs w:val="30"/>
          <w:lang w:eastAsia="zh-CN"/>
        </w:rPr>
        <w:drawing>
          <wp:anchor distT="0" distB="0" distL="114300" distR="114300" simplePos="0" relativeHeight="251659264" behindDoc="1" locked="0" layoutInCell="1" allowOverlap="1">
            <wp:simplePos x="0" y="0"/>
            <wp:positionH relativeFrom="column">
              <wp:posOffset>3286125</wp:posOffset>
            </wp:positionH>
            <wp:positionV relativeFrom="paragraph">
              <wp:posOffset>57785</wp:posOffset>
            </wp:positionV>
            <wp:extent cx="1581150" cy="1533525"/>
            <wp:effectExtent l="0" t="0" r="0" b="9525"/>
            <wp:wrapNone/>
            <wp:docPr id="2" name="图片 2" descr="288a57bcfb369726d42e830d5999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8a57bcfb369726d42e830d59996b0"/>
                    <pic:cNvPicPr>
                      <a:picLocks noChangeAspect="1"/>
                    </pic:cNvPicPr>
                  </pic:nvPicPr>
                  <pic:blipFill>
                    <a:blip r:embed="rId5"/>
                    <a:stretch>
                      <a:fillRect/>
                    </a:stretch>
                  </pic:blipFill>
                  <pic:spPr>
                    <a:xfrm>
                      <a:off x="0" y="0"/>
                      <a:ext cx="1581150" cy="1533525"/>
                    </a:xfrm>
                    <a:prstGeom prst="rect">
                      <a:avLst/>
                    </a:prstGeom>
                  </pic:spPr>
                </pic:pic>
              </a:graphicData>
            </a:graphic>
          </wp:anchor>
        </w:drawing>
      </w:r>
    </w:p>
    <w:p>
      <w:pPr>
        <w:spacing w:line="312" w:lineRule="exact"/>
        <w:ind w:firstLine="600" w:firstLineChars="200"/>
        <w:rPr>
          <w:rFonts w:hint="default" w:ascii="仿宋" w:hAnsi="仿宋" w:eastAsia="仿宋"/>
          <w:color w:val="000000"/>
          <w:sz w:val="30"/>
          <w:szCs w:val="30"/>
        </w:rPr>
      </w:pPr>
      <w:r>
        <w:rPr>
          <w:rFonts w:ascii="黑体" w:hAnsi="黑体" w:eastAsia="黑体" w:cs="黑体"/>
          <w:color w:val="000000"/>
          <w:sz w:val="30"/>
          <w:szCs w:val="30"/>
        </w:rPr>
        <w:t>附件</w:t>
      </w:r>
      <w:r>
        <w:rPr>
          <w:rFonts w:ascii="黑体" w:hAnsi="黑体" w:eastAsia="黑体" w:cs="黑体"/>
          <w:bCs/>
          <w:color w:val="000000"/>
          <w:kern w:val="2"/>
          <w:sz w:val="30"/>
          <w:szCs w:val="30"/>
        </w:rPr>
        <w:t>：</w:t>
      </w:r>
      <w:r>
        <w:rPr>
          <w:rFonts w:ascii="仿宋" w:hAnsi="仿宋" w:eastAsia="仿宋"/>
          <w:color w:val="000000"/>
          <w:sz w:val="30"/>
          <w:szCs w:val="30"/>
        </w:rPr>
        <w:t>1.培训内容</w:t>
      </w:r>
    </w:p>
    <w:p>
      <w:pPr>
        <w:spacing w:line="312" w:lineRule="exact"/>
        <w:ind w:firstLine="1500" w:firstLineChars="500"/>
        <w:rPr>
          <w:rFonts w:ascii="仿宋" w:hAnsi="仿宋" w:eastAsia="仿宋"/>
          <w:color w:val="000000"/>
          <w:sz w:val="30"/>
          <w:szCs w:val="30"/>
        </w:rPr>
      </w:pPr>
      <w:r>
        <w:rPr>
          <w:rFonts w:ascii="仿宋" w:hAnsi="仿宋" w:eastAsia="仿宋"/>
          <w:color w:val="000000"/>
          <w:sz w:val="30"/>
          <w:szCs w:val="30"/>
        </w:rPr>
        <w:t>2.报名回执表</w:t>
      </w:r>
    </w:p>
    <w:p>
      <w:pPr>
        <w:spacing w:line="312" w:lineRule="exact"/>
        <w:ind w:firstLine="600" w:firstLineChars="200"/>
        <w:rPr>
          <w:rFonts w:hint="eastAsia" w:ascii="仿宋" w:hAnsi="仿宋" w:eastAsia="仿宋"/>
          <w:color w:val="000000"/>
          <w:sz w:val="30"/>
          <w:szCs w:val="30"/>
          <w:lang w:eastAsia="zh-CN"/>
        </w:rPr>
      </w:pPr>
    </w:p>
    <w:p>
      <w:pPr>
        <w:spacing w:line="312" w:lineRule="exact"/>
        <w:ind w:firstLine="300" w:firstLineChars="100"/>
        <w:jc w:val="right"/>
        <w:rPr>
          <w:rFonts w:ascii="仿宋" w:hAnsi="仿宋" w:eastAsia="仿宋" w:cs="Times New Roman"/>
          <w:color w:val="000000"/>
          <w:sz w:val="30"/>
          <w:szCs w:val="30"/>
        </w:rPr>
      </w:pPr>
      <w:r>
        <w:rPr>
          <w:rFonts w:hint="eastAsia" w:ascii="仿宋" w:hAnsi="仿宋" w:eastAsia="仿宋" w:cs="Times New Roman"/>
          <w:color w:val="000000"/>
          <w:sz w:val="30"/>
          <w:szCs w:val="30"/>
        </w:rPr>
        <w:t>中国投资协会项目投融资专业委员会</w:t>
      </w:r>
    </w:p>
    <w:p>
      <w:pPr>
        <w:spacing w:line="312" w:lineRule="exact"/>
        <w:ind w:firstLine="600" w:firstLineChars="200"/>
        <w:rPr>
          <w:rFonts w:hint="eastAsia" w:ascii="仿宋" w:hAnsi="仿宋" w:eastAsia="仿宋" w:cs="Times New Roman"/>
          <w:color w:val="000000"/>
          <w:sz w:val="30"/>
          <w:szCs w:val="30"/>
        </w:rPr>
      </w:pPr>
      <w:r>
        <w:rPr>
          <w:rFonts w:hint="eastAsia" w:ascii="仿宋" w:hAnsi="仿宋" w:eastAsia="仿宋" w:cs="Times New Roman"/>
          <w:color w:val="000000"/>
          <w:sz w:val="30"/>
          <w:szCs w:val="30"/>
        </w:rPr>
        <w:t xml:space="preserve">                       </w:t>
      </w:r>
      <w:r>
        <w:rPr>
          <w:rFonts w:hint="eastAsia" w:ascii="仿宋" w:hAnsi="仿宋" w:eastAsia="仿宋" w:cs="Times New Roman"/>
          <w:color w:val="000000"/>
          <w:sz w:val="30"/>
          <w:szCs w:val="30"/>
          <w:lang w:val="en-US" w:eastAsia="zh-CN"/>
        </w:rPr>
        <w:t xml:space="preserve">     </w:t>
      </w:r>
      <w:r>
        <w:rPr>
          <w:rFonts w:hint="eastAsia" w:ascii="仿宋" w:hAnsi="仿宋" w:eastAsia="仿宋" w:cs="Times New Roman"/>
          <w:color w:val="000000"/>
          <w:sz w:val="30"/>
          <w:szCs w:val="30"/>
        </w:rPr>
        <w:t xml:space="preserve">     2021年</w:t>
      </w:r>
      <w:r>
        <w:rPr>
          <w:rFonts w:hint="eastAsia" w:ascii="仿宋" w:hAnsi="仿宋" w:eastAsia="仿宋" w:cs="Times New Roman"/>
          <w:color w:val="000000"/>
          <w:sz w:val="30"/>
          <w:szCs w:val="30"/>
          <w:lang w:val="en-US" w:eastAsia="zh-CN"/>
        </w:rPr>
        <w:t>4</w:t>
      </w:r>
      <w:r>
        <w:rPr>
          <w:rFonts w:hint="eastAsia" w:ascii="仿宋" w:hAnsi="仿宋" w:eastAsia="仿宋" w:cs="Times New Roman"/>
          <w:color w:val="000000"/>
          <w:sz w:val="30"/>
          <w:szCs w:val="30"/>
        </w:rPr>
        <w:t>月2</w:t>
      </w:r>
      <w:r>
        <w:rPr>
          <w:rFonts w:hint="eastAsia" w:ascii="仿宋" w:hAnsi="仿宋" w:eastAsia="仿宋" w:cs="Times New Roman"/>
          <w:color w:val="000000"/>
          <w:sz w:val="30"/>
          <w:szCs w:val="30"/>
          <w:lang w:val="en-US" w:eastAsia="zh-CN"/>
        </w:rPr>
        <w:t>1</w:t>
      </w:r>
      <w:r>
        <w:rPr>
          <w:rFonts w:hint="eastAsia" w:ascii="仿宋" w:hAnsi="仿宋" w:eastAsia="仿宋" w:cs="Times New Roman"/>
          <w:color w:val="000000"/>
          <w:sz w:val="30"/>
          <w:szCs w:val="30"/>
        </w:rPr>
        <w:t>日</w:t>
      </w:r>
    </w:p>
    <w:p>
      <w:pPr>
        <w:keepNext w:val="0"/>
        <w:keepLines w:val="0"/>
        <w:pageBreakBefore w:val="0"/>
        <w:widowControl w:val="0"/>
        <w:kinsoku/>
        <w:wordWrap/>
        <w:overflowPunct/>
        <w:topLinePunct w:val="0"/>
        <w:autoSpaceDE/>
        <w:autoSpaceDN/>
        <w:bidi w:val="0"/>
        <w:adjustRightInd/>
        <w:snapToGrid/>
        <w:spacing w:line="356" w:lineRule="exact"/>
        <w:jc w:val="both"/>
        <w:textAlignment w:val="auto"/>
        <w:rPr>
          <w:rFonts w:cs="黑体" w:asciiTheme="majorEastAsia" w:hAnsiTheme="majorEastAsia" w:eastAsiaTheme="majorEastAsia"/>
          <w:b/>
          <w:kern w:val="2"/>
          <w:sz w:val="28"/>
          <w:szCs w:val="28"/>
          <w:lang w:bidi="zh-CN"/>
        </w:rPr>
      </w:pPr>
    </w:p>
    <w:p>
      <w:pPr>
        <w:keepNext w:val="0"/>
        <w:keepLines w:val="0"/>
        <w:pageBreakBefore w:val="0"/>
        <w:widowControl w:val="0"/>
        <w:kinsoku/>
        <w:wordWrap/>
        <w:overflowPunct/>
        <w:topLinePunct w:val="0"/>
        <w:autoSpaceDE/>
        <w:autoSpaceDN/>
        <w:bidi w:val="0"/>
        <w:adjustRightInd/>
        <w:snapToGrid/>
        <w:spacing w:line="356" w:lineRule="exact"/>
        <w:jc w:val="both"/>
        <w:textAlignment w:val="auto"/>
        <w:rPr>
          <w:rFonts w:cs="黑体" w:asciiTheme="majorEastAsia" w:hAnsiTheme="majorEastAsia" w:eastAsiaTheme="majorEastAsia"/>
          <w:b/>
          <w:kern w:val="2"/>
          <w:sz w:val="28"/>
          <w:szCs w:val="28"/>
          <w:lang w:bidi="zh-CN"/>
        </w:rPr>
      </w:pPr>
    </w:p>
    <w:p>
      <w:pPr>
        <w:keepNext w:val="0"/>
        <w:keepLines w:val="0"/>
        <w:pageBreakBefore w:val="0"/>
        <w:widowControl w:val="0"/>
        <w:kinsoku/>
        <w:wordWrap/>
        <w:overflowPunct/>
        <w:topLinePunct w:val="0"/>
        <w:autoSpaceDE/>
        <w:autoSpaceDN/>
        <w:bidi w:val="0"/>
        <w:adjustRightInd/>
        <w:snapToGrid/>
        <w:spacing w:line="356" w:lineRule="exact"/>
        <w:jc w:val="both"/>
        <w:textAlignment w:val="auto"/>
        <w:rPr>
          <w:rFonts w:hint="eastAsia" w:cs="黑体" w:asciiTheme="majorEastAsia" w:hAnsiTheme="majorEastAsia" w:eastAsiaTheme="majorEastAsia"/>
          <w:b/>
          <w:kern w:val="2"/>
          <w:sz w:val="28"/>
          <w:szCs w:val="28"/>
          <w:lang w:val="en-US" w:bidi="zh-CN"/>
        </w:rPr>
      </w:pPr>
      <w:r>
        <w:rPr>
          <w:rFonts w:cs="黑体" w:asciiTheme="majorEastAsia" w:hAnsiTheme="majorEastAsia" w:eastAsiaTheme="majorEastAsia"/>
          <w:b/>
          <w:kern w:val="2"/>
          <w:sz w:val="28"/>
          <w:szCs w:val="28"/>
          <w:lang w:bidi="zh-CN"/>
        </w:rPr>
        <w:t>附件</w:t>
      </w:r>
      <w:r>
        <w:rPr>
          <w:rFonts w:hint="eastAsia" w:cs="黑体" w:asciiTheme="majorEastAsia" w:hAnsiTheme="majorEastAsia" w:eastAsiaTheme="majorEastAsia"/>
          <w:b/>
          <w:kern w:val="2"/>
          <w:sz w:val="28"/>
          <w:szCs w:val="28"/>
          <w:lang w:val="en-US" w:bidi="zh-CN"/>
        </w:rPr>
        <w:t xml:space="preserve">:1                   </w:t>
      </w:r>
    </w:p>
    <w:p>
      <w:pPr>
        <w:keepNext w:val="0"/>
        <w:keepLines w:val="0"/>
        <w:pageBreakBefore w:val="0"/>
        <w:widowControl w:val="0"/>
        <w:kinsoku/>
        <w:wordWrap/>
        <w:overflowPunct/>
        <w:topLinePunct w:val="0"/>
        <w:autoSpaceDE/>
        <w:autoSpaceDN/>
        <w:bidi w:val="0"/>
        <w:adjustRightInd/>
        <w:snapToGrid/>
        <w:spacing w:line="356" w:lineRule="exact"/>
        <w:jc w:val="center"/>
        <w:textAlignment w:val="auto"/>
        <w:rPr>
          <w:rFonts w:hint="default" w:cs="黑体" w:asciiTheme="majorEastAsia" w:hAnsiTheme="majorEastAsia" w:eastAsiaTheme="majorEastAsia"/>
          <w:b/>
          <w:kern w:val="2"/>
          <w:sz w:val="28"/>
          <w:szCs w:val="28"/>
          <w:lang w:bidi="zh-CN"/>
        </w:rPr>
      </w:pPr>
      <w:r>
        <w:rPr>
          <w:rFonts w:cs="黑体" w:asciiTheme="majorEastAsia" w:hAnsiTheme="majorEastAsia" w:eastAsiaTheme="majorEastAsia"/>
          <w:b/>
          <w:kern w:val="2"/>
          <w:sz w:val="32"/>
          <w:szCs w:val="32"/>
          <w:lang w:bidi="zh-CN"/>
        </w:rPr>
        <w:t>培</w:t>
      </w:r>
      <w:r>
        <w:rPr>
          <w:rFonts w:hint="eastAsia" w:cs="黑体" w:asciiTheme="majorEastAsia" w:hAnsiTheme="majorEastAsia" w:eastAsiaTheme="majorEastAsia"/>
          <w:b/>
          <w:kern w:val="2"/>
          <w:sz w:val="32"/>
          <w:szCs w:val="32"/>
          <w:lang w:val="en-US" w:bidi="zh-CN"/>
        </w:rPr>
        <w:t xml:space="preserve"> </w:t>
      </w:r>
      <w:r>
        <w:rPr>
          <w:rFonts w:cs="黑体" w:asciiTheme="majorEastAsia" w:hAnsiTheme="majorEastAsia" w:eastAsiaTheme="majorEastAsia"/>
          <w:b/>
          <w:kern w:val="2"/>
          <w:sz w:val="32"/>
          <w:szCs w:val="32"/>
          <w:lang w:bidi="zh-CN"/>
        </w:rPr>
        <w:t>训</w:t>
      </w:r>
      <w:r>
        <w:rPr>
          <w:rFonts w:hint="eastAsia" w:cs="黑体" w:asciiTheme="majorEastAsia" w:hAnsiTheme="majorEastAsia" w:eastAsiaTheme="majorEastAsia"/>
          <w:b/>
          <w:kern w:val="2"/>
          <w:sz w:val="32"/>
          <w:szCs w:val="32"/>
          <w:lang w:val="en-US" w:bidi="zh-CN"/>
        </w:rPr>
        <w:t xml:space="preserve"> </w:t>
      </w:r>
      <w:r>
        <w:rPr>
          <w:rFonts w:cs="黑体" w:asciiTheme="majorEastAsia" w:hAnsiTheme="majorEastAsia" w:eastAsiaTheme="majorEastAsia"/>
          <w:b/>
          <w:kern w:val="2"/>
          <w:sz w:val="32"/>
          <w:szCs w:val="32"/>
          <w:lang w:bidi="zh-CN"/>
        </w:rPr>
        <w:t>内</w:t>
      </w:r>
      <w:r>
        <w:rPr>
          <w:rFonts w:hint="eastAsia" w:cs="黑体" w:asciiTheme="majorEastAsia" w:hAnsiTheme="majorEastAsia" w:eastAsiaTheme="majorEastAsia"/>
          <w:b/>
          <w:kern w:val="2"/>
          <w:sz w:val="32"/>
          <w:szCs w:val="32"/>
          <w:lang w:val="en-US" w:bidi="zh-CN"/>
        </w:rPr>
        <w:t xml:space="preserve"> </w:t>
      </w:r>
      <w:r>
        <w:rPr>
          <w:rFonts w:cs="黑体" w:asciiTheme="majorEastAsia" w:hAnsiTheme="majorEastAsia" w:eastAsiaTheme="majorEastAsia"/>
          <w:b/>
          <w:kern w:val="2"/>
          <w:sz w:val="32"/>
          <w:szCs w:val="32"/>
          <w:lang w:bidi="zh-CN"/>
        </w:rPr>
        <w:t>容</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一、</w:t>
      </w:r>
      <w:r>
        <w:rPr>
          <w:rFonts w:hint="eastAsia" w:ascii="黑体" w:hAnsi="黑体" w:eastAsia="黑体" w:cs="黑体"/>
          <w:b w:val="0"/>
          <w:bCs w:val="0"/>
          <w:kern w:val="2"/>
          <w:sz w:val="28"/>
          <w:szCs w:val="28"/>
        </w:rPr>
        <w:t>园区开发相关政策要点解读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1.《国务院办公厅关于促进开发区改革和创新发展的若干意见》(国办发〔2017〕7号)要点解读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2.《国务院关于推进国家级经济技术开发区创新提升打造改革开放新高地的意见》（国发〔2019〕11号）要点解读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3.《关于促进具备条件的开发区向城市综合功能区转型的指导意见》《关于深入推进新型工业化产业示范基地建设的指导意见》等要点解读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4.政府债务、隐性债务监管与处置相关政策解读</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5.土储新政解读</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kern w:val="2"/>
          <w:sz w:val="28"/>
          <w:szCs w:val="28"/>
          <w:lang w:eastAsia="zh-CN"/>
        </w:rPr>
      </w:pPr>
      <w:r>
        <w:rPr>
          <w:rFonts w:hint="eastAsia" w:ascii="黑体" w:hAnsi="黑体" w:eastAsia="黑体" w:cs="黑体"/>
          <w:b w:val="0"/>
          <w:bCs w:val="0"/>
          <w:kern w:val="2"/>
          <w:sz w:val="28"/>
          <w:szCs w:val="28"/>
          <w:lang w:eastAsia="zh-CN"/>
        </w:rPr>
        <w:t>二、片区开发的主要模式分析</w:t>
      </w:r>
      <w:r>
        <w:rPr>
          <w:rFonts w:hint="default" w:ascii="黑体" w:hAnsi="黑体" w:eastAsia="黑体" w:cs="黑体"/>
          <w:b w:val="0"/>
          <w:bCs w:val="0"/>
          <w:kern w:val="2"/>
          <w:sz w:val="28"/>
          <w:szCs w:val="28"/>
          <w:lang w:eastAsia="zh-CN"/>
        </w:rPr>
        <w:t xml:space="preserve"> </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1.产业地产的开发环境及市场机遇分析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2.地产开发模式及典型案例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3.产业新城开发模式及典型案例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4.产业基金投资模式及典型案例</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kern w:val="2"/>
          <w:sz w:val="28"/>
          <w:szCs w:val="28"/>
          <w:lang w:eastAsia="zh-CN"/>
        </w:rPr>
      </w:pPr>
      <w:r>
        <w:rPr>
          <w:rFonts w:hint="eastAsia" w:ascii="黑体" w:hAnsi="黑体" w:eastAsia="黑体" w:cs="黑体"/>
          <w:b w:val="0"/>
          <w:bCs w:val="0"/>
          <w:kern w:val="2"/>
          <w:sz w:val="28"/>
          <w:szCs w:val="28"/>
          <w:lang w:eastAsia="zh-CN"/>
        </w:rPr>
        <w:t>三、产业勾地模式介绍及操作要点分析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1.产业勾地的概念及其特点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2.产业勾地的历史见现状</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3.当前产业勾地主流模式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（1）产业新城勾地模式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（2）产业小镇勾地模式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（3）商业综合体勾地模式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（4）文旅勾地模式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（5）工业地产勾地模式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4.勾地各个阶段的操作要点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5.关于城市能级与勾地难易程度的分析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6.产业勾地的设条件及控地问题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7.产业勾地的发展趋势</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四、</w:t>
      </w:r>
      <w:r>
        <w:rPr>
          <w:rFonts w:hint="eastAsia" w:ascii="黑体" w:hAnsi="黑体" w:eastAsia="黑体" w:cs="黑体"/>
          <w:b w:val="0"/>
          <w:bCs w:val="0"/>
          <w:kern w:val="2"/>
          <w:sz w:val="28"/>
          <w:szCs w:val="28"/>
        </w:rPr>
        <w:t xml:space="preserve">开发型PPP模式的应用与案例分享 </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1.经营性项目的深入分析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（1）经营性项目的性质特点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（2）经营性项目的融资分析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（3）片区开发PPP项目采用使用者付费模式的操作特点分析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2.政府付费PPP项目的落地要点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（1）政府财政付费PPP项目的合规性要求</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（2）合规性兜底与违规性兜底的特征与区别</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（3）不同政府及园区状况下政府付费项目落地的难度分析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3.资源补偿模式PPP项目的落地要点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（1）如何处理土地招拍挂问题（尤其涉及商业地产的合规性问题）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（2）片区开发类项目如何充分利用土地资源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（3）深入分析资源补偿类项目的融资难点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4.财政补贴模式的落地要点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（1）实质性运营与PPP 模式挂钩问题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（2）使用者付费在PPP项目中的占比问题</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（3）金融机构的关注点分析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5.产业新城PPP项目的关注点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（1）“土地一二级联动开发”事宜</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（2）土地规划、指标、开发计划等对产业新城PPP项目的影响分析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（3）产业新城PPP项目回报机制设计以及与土地利用的相关性分析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6.产业新城PPP项目实务案例</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（1）项目投融资结构设计及资金来源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（2）项目回报机制设计要点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（3）实务操作中项目绩效考核体系的搭建要点分析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（4）项目风险分配</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s="仿宋"/>
          <w:bCs/>
          <w:kern w:val="2"/>
          <w:sz w:val="28"/>
          <w:szCs w:val="28"/>
        </w:rPr>
      </w:pPr>
      <w:r>
        <w:rPr>
          <w:rFonts w:hint="default" w:ascii="仿宋" w:hAnsi="仿宋" w:eastAsia="仿宋"/>
          <w:color w:val="000000"/>
          <w:sz w:val="28"/>
          <w:szCs w:val="28"/>
        </w:rPr>
        <w:t>（5）产业新城PPP项目难点分析及案例分享</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五、</w:t>
      </w:r>
      <w:r>
        <w:rPr>
          <w:rFonts w:hint="eastAsia" w:ascii="黑体" w:hAnsi="黑体" w:eastAsia="黑体" w:cs="黑体"/>
          <w:b w:val="0"/>
          <w:bCs w:val="0"/>
          <w:kern w:val="2"/>
          <w:sz w:val="28"/>
          <w:szCs w:val="28"/>
        </w:rPr>
        <w:t>“管委会+平台”模式实施片区开发项目的应用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1.“管委会+平台”操作模式简述</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2.“管委会+平台”模式中管委会与平台公司的核心权责界定</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3.平台公司的转型与重组</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4.平台公司如何介入园区一二级开发从而实现上市的目标</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5.相关案例分享</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六、</w:t>
      </w:r>
      <w:r>
        <w:rPr>
          <w:rFonts w:hint="eastAsia" w:ascii="黑体" w:hAnsi="黑体" w:eastAsia="黑体" w:cs="黑体"/>
          <w:b w:val="0"/>
          <w:bCs w:val="0"/>
          <w:kern w:val="2"/>
          <w:sz w:val="28"/>
          <w:szCs w:val="28"/>
        </w:rPr>
        <w:t>园区开发建设公司市场化投资片区开发项目的应用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1.《政府投资条例》的配套安排</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2.政府投资与企业投资在基建项目中的比较与应用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3.如何运用企业投资模式市场化承接片区开发项目</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4.平台公司市场化投资模式下资源补偿的应用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5.案例分享（平台公司投资片区开发项目自身盈利能力和社会资本的资金筹集能力）</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lang w:eastAsia="zh-CN"/>
        </w:rPr>
        <w:t>七、</w:t>
      </w:r>
      <w:r>
        <w:rPr>
          <w:rFonts w:hint="eastAsia" w:ascii="黑体" w:hAnsi="黑体" w:eastAsia="黑体" w:cs="黑体"/>
          <w:b w:val="0"/>
          <w:bCs w:val="0"/>
          <w:kern w:val="2"/>
          <w:sz w:val="28"/>
          <w:szCs w:val="28"/>
        </w:rPr>
        <w:t>片区开发项目的融资分析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1.片区开发项目融资的主要特点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2.项目资本金的难点与解决思路</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3.土储基金在片区开发项目的创新运作模式</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4.片区开发之产业基金运作案例解析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5.片区开发项目采用综合实施模式的案例解析</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kern w:val="2"/>
          <w:sz w:val="28"/>
          <w:szCs w:val="28"/>
          <w:lang w:eastAsia="zh-CN"/>
        </w:rPr>
      </w:pPr>
      <w:r>
        <w:rPr>
          <w:rFonts w:hint="eastAsia" w:ascii="黑体" w:hAnsi="黑体" w:eastAsia="黑体" w:cs="黑体"/>
          <w:b w:val="0"/>
          <w:bCs w:val="0"/>
          <w:kern w:val="2"/>
          <w:sz w:val="28"/>
          <w:szCs w:val="28"/>
          <w:lang w:eastAsia="zh-CN"/>
        </w:rPr>
        <w:t>八、</w:t>
      </w:r>
      <w:r>
        <w:rPr>
          <w:rFonts w:hint="default" w:ascii="黑体" w:hAnsi="黑体" w:eastAsia="黑体" w:cs="黑体"/>
          <w:b w:val="0"/>
          <w:bCs w:val="0"/>
          <w:kern w:val="2"/>
          <w:sz w:val="28"/>
          <w:szCs w:val="28"/>
          <w:lang w:eastAsia="zh-CN"/>
        </w:rPr>
        <w:t>操盘片区开发的要点</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1.ABO模式的合规性分析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2.TOD模式在片区开发中的应用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3.土地一级开发的合规性问题分析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4.专项债模式在片区开发中的应用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5.企业债券在片区开发中的应用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6</w:t>
      </w:r>
      <w:r>
        <w:rPr>
          <w:rFonts w:hint="eastAsia" w:ascii="仿宋" w:hAnsi="仿宋" w:eastAsia="仿宋"/>
          <w:color w:val="000000"/>
          <w:sz w:val="28"/>
          <w:szCs w:val="28"/>
          <w:lang w:eastAsia="zh-CN"/>
        </w:rPr>
        <w:t>.</w:t>
      </w:r>
      <w:r>
        <w:rPr>
          <w:rFonts w:hint="default" w:ascii="仿宋" w:hAnsi="仿宋" w:eastAsia="仿宋"/>
          <w:color w:val="000000"/>
          <w:sz w:val="28"/>
          <w:szCs w:val="28"/>
        </w:rPr>
        <w:t>城市更新中的银行贷款问题分析</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7.地方国有企业如何开展片区开发</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8.社会投资人在片区开发中的应用</w:t>
      </w:r>
    </w:p>
    <w:p>
      <w:pPr>
        <w:keepNext w:val="0"/>
        <w:keepLines w:val="0"/>
        <w:pageBreakBefore w:val="0"/>
        <w:widowControl w:val="0"/>
        <w:kinsoku/>
        <w:wordWrap/>
        <w:overflowPunct/>
        <w:topLinePunct w:val="0"/>
        <w:bidi w:val="0"/>
        <w:snapToGrid/>
        <w:spacing w:line="32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9.土地储备的融资问题</w:t>
      </w:r>
    </w:p>
    <w:p>
      <w:pPr>
        <w:keepNext w:val="0"/>
        <w:keepLines w:val="0"/>
        <w:pageBreakBefore w:val="0"/>
        <w:widowControl w:val="0"/>
        <w:kinsoku/>
        <w:wordWrap/>
        <w:overflowPunct/>
        <w:topLinePunct w:val="0"/>
        <w:bidi w:val="0"/>
        <w:snapToGrid/>
        <w:spacing w:line="340" w:lineRule="exact"/>
        <w:ind w:firstLine="560" w:firstLineChars="200"/>
        <w:textAlignment w:val="auto"/>
        <w:rPr>
          <w:rFonts w:hint="default" w:ascii="仿宋" w:hAnsi="仿宋" w:eastAsia="仿宋"/>
          <w:color w:val="000000"/>
          <w:sz w:val="28"/>
          <w:szCs w:val="28"/>
        </w:rPr>
      </w:pPr>
      <w:r>
        <w:rPr>
          <w:rFonts w:hint="default" w:ascii="仿宋" w:hAnsi="仿宋" w:eastAsia="仿宋"/>
          <w:color w:val="000000"/>
          <w:sz w:val="28"/>
          <w:szCs w:val="28"/>
        </w:rPr>
        <w:t>10.土地出让金在片区开发中的合规性问题</w:t>
      </w:r>
    </w:p>
    <w:p>
      <w:pPr>
        <w:widowControl/>
        <w:autoSpaceDE/>
        <w:autoSpaceDN/>
        <w:spacing w:line="360" w:lineRule="exact"/>
        <w:jc w:val="both"/>
        <w:rPr>
          <w:rStyle w:val="11"/>
          <w:rFonts w:hint="eastAsia" w:ascii="黑体" w:hAnsi="黑体" w:eastAsia="黑体" w:cs="黑体"/>
          <w:b w:val="0"/>
          <w:bCs w:val="0"/>
          <w:color w:val="000000"/>
          <w:sz w:val="28"/>
          <w:szCs w:val="28"/>
          <w:lang w:val="en-US" w:eastAsia="zh-CN"/>
        </w:rPr>
      </w:pPr>
      <w:r>
        <w:rPr>
          <w:rStyle w:val="11"/>
          <w:rFonts w:ascii="黑体" w:hAnsi="黑体" w:eastAsia="黑体" w:cs="黑体"/>
          <w:b w:val="0"/>
          <w:bCs w:val="0"/>
          <w:color w:val="000000"/>
          <w:sz w:val="28"/>
          <w:szCs w:val="28"/>
        </w:rPr>
        <w:t>附件</w:t>
      </w:r>
      <w:r>
        <w:rPr>
          <w:rStyle w:val="11"/>
          <w:rFonts w:hint="eastAsia" w:ascii="黑体" w:hAnsi="黑体" w:eastAsia="黑体" w:cs="黑体"/>
          <w:b w:val="0"/>
          <w:bCs w:val="0"/>
          <w:color w:val="000000"/>
          <w:sz w:val="28"/>
          <w:szCs w:val="28"/>
          <w:lang w:val="en-US" w:eastAsia="zh-CN"/>
        </w:rPr>
        <w:t>:2</w:t>
      </w:r>
    </w:p>
    <w:p>
      <w:pPr>
        <w:widowControl/>
        <w:autoSpaceDE/>
        <w:autoSpaceDN/>
        <w:spacing w:line="360" w:lineRule="exact"/>
        <w:jc w:val="center"/>
        <w:rPr>
          <w:rStyle w:val="11"/>
          <w:rFonts w:hint="eastAsia" w:ascii="华文中宋" w:hAnsi="华文中宋" w:eastAsia="华文中宋" w:cs="黑体"/>
          <w:color w:val="000000"/>
          <w:sz w:val="28"/>
          <w:szCs w:val="28"/>
          <w:lang w:val="zh-CN"/>
        </w:rPr>
      </w:pPr>
      <w:r>
        <w:rPr>
          <w:rStyle w:val="11"/>
          <w:rFonts w:hint="eastAsia" w:ascii="华文中宋" w:hAnsi="华文中宋" w:eastAsia="华文中宋" w:cs="黑体"/>
          <w:color w:val="000000"/>
          <w:sz w:val="28"/>
          <w:szCs w:val="28"/>
          <w:lang w:val="zh-CN"/>
        </w:rPr>
        <w:t>新形势下产业新城综合片区开发项目投融资模式创新实务与</w:t>
      </w:r>
    </w:p>
    <w:p>
      <w:pPr>
        <w:widowControl/>
        <w:autoSpaceDE/>
        <w:autoSpaceDN/>
        <w:spacing w:line="360" w:lineRule="exact"/>
        <w:jc w:val="center"/>
        <w:rPr>
          <w:rStyle w:val="11"/>
          <w:rFonts w:hint="default" w:ascii="华文中宋" w:hAnsi="华文中宋" w:eastAsia="华文中宋" w:cs="黑体"/>
          <w:color w:val="000000"/>
          <w:sz w:val="28"/>
          <w:szCs w:val="28"/>
          <w:lang w:val="zh-CN"/>
        </w:rPr>
      </w:pPr>
      <w:r>
        <w:rPr>
          <w:rStyle w:val="11"/>
          <w:rFonts w:hint="eastAsia" w:ascii="华文中宋" w:hAnsi="华文中宋" w:eastAsia="华文中宋" w:cs="黑体"/>
          <w:color w:val="000000"/>
          <w:sz w:val="28"/>
          <w:szCs w:val="28"/>
          <w:lang w:val="en-US" w:eastAsia="zh-CN"/>
        </w:rPr>
        <w:t>典型</w:t>
      </w:r>
      <w:r>
        <w:rPr>
          <w:rStyle w:val="11"/>
          <w:rFonts w:hint="eastAsia" w:ascii="华文中宋" w:hAnsi="华文中宋" w:eastAsia="华文中宋" w:cs="黑体"/>
          <w:color w:val="000000"/>
          <w:sz w:val="28"/>
          <w:szCs w:val="28"/>
          <w:lang w:val="zh-CN"/>
        </w:rPr>
        <w:t>案例</w:t>
      </w:r>
      <w:r>
        <w:rPr>
          <w:rStyle w:val="11"/>
          <w:rFonts w:hint="eastAsia" w:ascii="华文中宋" w:hAnsi="华文中宋" w:eastAsia="华文中宋" w:cs="黑体"/>
          <w:color w:val="000000"/>
          <w:sz w:val="28"/>
          <w:szCs w:val="28"/>
          <w:lang w:val="en-US" w:eastAsia="zh-CN"/>
        </w:rPr>
        <w:t>解析专题培训班</w:t>
      </w:r>
      <w:r>
        <w:rPr>
          <w:rStyle w:val="11"/>
          <w:rFonts w:ascii="华文中宋" w:hAnsi="华文中宋" w:eastAsia="华文中宋" w:cs="黑体"/>
          <w:color w:val="000000"/>
          <w:sz w:val="28"/>
          <w:szCs w:val="28"/>
          <w:lang w:val="zh-CN"/>
        </w:rPr>
        <w:t>报名回执表</w:t>
      </w:r>
    </w:p>
    <w:p>
      <w:pPr>
        <w:widowControl/>
        <w:autoSpaceDE/>
        <w:autoSpaceDN/>
        <w:spacing w:line="360" w:lineRule="exact"/>
        <w:rPr>
          <w:rStyle w:val="11"/>
          <w:rFonts w:hint="default" w:ascii="华文中宋" w:hAnsi="华文中宋" w:eastAsia="华文中宋" w:cs="黑体"/>
          <w:color w:val="000000"/>
          <w:sz w:val="28"/>
          <w:szCs w:val="28"/>
          <w:lang w:val="zh-CN"/>
        </w:rPr>
      </w:pPr>
    </w:p>
    <w:tbl>
      <w:tblPr>
        <w:tblStyle w:val="9"/>
        <w:tblpPr w:leftFromText="180" w:rightFromText="180" w:vertAnchor="page" w:horzAnchor="page" w:tblpX="1630" w:tblpY="315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49"/>
        <w:gridCol w:w="1282"/>
        <w:gridCol w:w="1984"/>
        <w:gridCol w:w="157"/>
        <w:gridCol w:w="815"/>
        <w:gridCol w:w="181"/>
        <w:gridCol w:w="541"/>
        <w:gridCol w:w="2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单位名称</w:t>
            </w:r>
          </w:p>
        </w:tc>
        <w:tc>
          <w:tcPr>
            <w:tcW w:w="5087" w:type="dxa"/>
            <w:gridSpan w:val="5"/>
            <w:vAlign w:val="center"/>
          </w:tcPr>
          <w:p>
            <w:pPr>
              <w:autoSpaceDE/>
              <w:autoSpaceDN/>
              <w:adjustRightInd/>
              <w:spacing w:line="360" w:lineRule="exact"/>
              <w:ind w:right="-168" w:rightChars="-70"/>
              <w:jc w:val="center"/>
              <w:rPr>
                <w:rFonts w:hint="eastAsia" w:ascii="仿宋" w:hAnsi="仿宋" w:eastAsia="仿宋" w:cs="仿宋"/>
                <w:kern w:val="2"/>
                <w:sz w:val="28"/>
                <w:szCs w:val="28"/>
              </w:rPr>
            </w:pPr>
          </w:p>
        </w:tc>
        <w:tc>
          <w:tcPr>
            <w:tcW w:w="722" w:type="dxa"/>
            <w:gridSpan w:val="2"/>
            <w:vAlign w:val="center"/>
          </w:tcPr>
          <w:p>
            <w:pPr>
              <w:autoSpaceDE/>
              <w:autoSpaceDN/>
              <w:adjustRightInd/>
              <w:spacing w:line="360" w:lineRule="exact"/>
              <w:ind w:right="-168" w:rightChars="-70"/>
              <w:jc w:val="both"/>
              <w:rPr>
                <w:rFonts w:hint="eastAsia" w:ascii="仿宋" w:hAnsi="仿宋" w:eastAsia="仿宋" w:cs="仿宋"/>
                <w:kern w:val="2"/>
                <w:sz w:val="28"/>
                <w:szCs w:val="28"/>
              </w:rPr>
            </w:pPr>
            <w:r>
              <w:rPr>
                <w:rFonts w:hint="eastAsia" w:ascii="仿宋" w:hAnsi="仿宋" w:eastAsia="仿宋" w:cs="仿宋"/>
                <w:kern w:val="2"/>
                <w:sz w:val="28"/>
                <w:szCs w:val="28"/>
              </w:rPr>
              <w:t>邮编</w:t>
            </w:r>
          </w:p>
        </w:tc>
        <w:tc>
          <w:tcPr>
            <w:tcW w:w="2275" w:type="dxa"/>
            <w:gridSpan w:val="2"/>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单位地址</w:t>
            </w:r>
          </w:p>
        </w:tc>
        <w:tc>
          <w:tcPr>
            <w:tcW w:w="8084" w:type="dxa"/>
            <w:gridSpan w:val="9"/>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联系人</w:t>
            </w:r>
          </w:p>
        </w:tc>
        <w:tc>
          <w:tcPr>
            <w:tcW w:w="2131" w:type="dxa"/>
            <w:gridSpan w:val="2"/>
            <w:vAlign w:val="center"/>
          </w:tcPr>
          <w:p>
            <w:pPr>
              <w:autoSpaceDE/>
              <w:autoSpaceDN/>
              <w:adjustRightInd/>
              <w:spacing w:line="360" w:lineRule="exact"/>
              <w:ind w:right="-168" w:rightChars="-70" w:firstLine="960"/>
              <w:jc w:val="both"/>
              <w:rPr>
                <w:rFonts w:hint="eastAsia" w:ascii="仿宋" w:hAnsi="仿宋" w:eastAsia="仿宋" w:cs="仿宋"/>
                <w:kern w:val="2"/>
                <w:sz w:val="28"/>
                <w:szCs w:val="28"/>
              </w:rPr>
            </w:pPr>
          </w:p>
        </w:tc>
        <w:tc>
          <w:tcPr>
            <w:tcW w:w="2956" w:type="dxa"/>
            <w:gridSpan w:val="3"/>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职位/岗位</w:t>
            </w:r>
          </w:p>
        </w:tc>
        <w:tc>
          <w:tcPr>
            <w:tcW w:w="2997" w:type="dxa"/>
            <w:gridSpan w:val="4"/>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办公电话</w:t>
            </w:r>
          </w:p>
        </w:tc>
        <w:tc>
          <w:tcPr>
            <w:tcW w:w="2131" w:type="dxa"/>
            <w:gridSpan w:val="2"/>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2956" w:type="dxa"/>
            <w:gridSpan w:val="3"/>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手    机</w:t>
            </w:r>
          </w:p>
        </w:tc>
        <w:tc>
          <w:tcPr>
            <w:tcW w:w="2997" w:type="dxa"/>
            <w:gridSpan w:val="4"/>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传   真</w:t>
            </w:r>
          </w:p>
        </w:tc>
        <w:tc>
          <w:tcPr>
            <w:tcW w:w="2131" w:type="dxa"/>
            <w:gridSpan w:val="2"/>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2956" w:type="dxa"/>
            <w:gridSpan w:val="3"/>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电子信箱</w:t>
            </w:r>
          </w:p>
        </w:tc>
        <w:tc>
          <w:tcPr>
            <w:tcW w:w="2997" w:type="dxa"/>
            <w:gridSpan w:val="4"/>
            <w:vAlign w:val="center"/>
          </w:tcPr>
          <w:p>
            <w:pPr>
              <w:autoSpaceDE/>
              <w:autoSpaceDN/>
              <w:adjustRightInd/>
              <w:spacing w:line="360" w:lineRule="exact"/>
              <w:ind w:right="-168" w:rightChars="-70" w:firstLine="96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参加培训人员</w:t>
            </w:r>
          </w:p>
        </w:tc>
        <w:tc>
          <w:tcPr>
            <w:tcW w:w="849"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性别</w:t>
            </w:r>
          </w:p>
        </w:tc>
        <w:tc>
          <w:tcPr>
            <w:tcW w:w="1282"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职务</w:t>
            </w:r>
          </w:p>
        </w:tc>
        <w:tc>
          <w:tcPr>
            <w:tcW w:w="1984"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电话</w:t>
            </w:r>
          </w:p>
        </w:tc>
        <w:tc>
          <w:tcPr>
            <w:tcW w:w="1985" w:type="dxa"/>
            <w:gridSpan w:val="5"/>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手机</w:t>
            </w:r>
          </w:p>
        </w:tc>
        <w:tc>
          <w:tcPr>
            <w:tcW w:w="1984"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849"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282"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5" w:type="dxa"/>
            <w:gridSpan w:val="5"/>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c>
          <w:tcPr>
            <w:tcW w:w="1984" w:type="dxa"/>
            <w:vAlign w:val="center"/>
          </w:tcPr>
          <w:p>
            <w:pPr>
              <w:autoSpaceDE/>
              <w:autoSpaceDN/>
              <w:adjustRightInd/>
              <w:spacing w:line="360" w:lineRule="exact"/>
              <w:ind w:right="-168" w:rightChars="-70"/>
              <w:jc w:val="both"/>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autoSpaceDE/>
              <w:autoSpaceDN/>
              <w:adjustRightInd/>
              <w:spacing w:line="360" w:lineRule="exact"/>
              <w:ind w:right="-168" w:rightChars="-70" w:firstLine="280" w:firstLineChars="100"/>
              <w:rPr>
                <w:rFonts w:hint="eastAsia" w:ascii="仿宋" w:hAnsi="仿宋" w:eastAsia="仿宋" w:cs="仿宋"/>
                <w:color w:val="FF0000"/>
                <w:kern w:val="2"/>
                <w:sz w:val="28"/>
                <w:szCs w:val="28"/>
              </w:rPr>
            </w:pPr>
            <w:r>
              <w:rPr>
                <w:rFonts w:hint="eastAsia" w:ascii="仿宋" w:hAnsi="仿宋" w:eastAsia="仿宋" w:cs="仿宋"/>
                <w:color w:val="000000"/>
                <w:kern w:val="2"/>
                <w:sz w:val="28"/>
                <w:szCs w:val="28"/>
              </w:rPr>
              <w:t>参会地点</w:t>
            </w:r>
          </w:p>
        </w:tc>
        <w:tc>
          <w:tcPr>
            <w:tcW w:w="2131" w:type="dxa"/>
            <w:gridSpan w:val="2"/>
            <w:vAlign w:val="center"/>
          </w:tcPr>
          <w:p>
            <w:pPr>
              <w:autoSpaceDE/>
              <w:autoSpaceDN/>
              <w:adjustRightInd/>
              <w:spacing w:line="360" w:lineRule="exact"/>
              <w:ind w:right="-168" w:rightChars="-70" w:firstLine="1120" w:firstLineChars="400"/>
              <w:rPr>
                <w:rFonts w:hint="eastAsia" w:ascii="仿宋" w:hAnsi="仿宋" w:eastAsia="仿宋" w:cs="仿宋"/>
                <w:color w:val="FF0000"/>
                <w:kern w:val="2"/>
                <w:sz w:val="28"/>
                <w:szCs w:val="28"/>
              </w:rPr>
            </w:pPr>
          </w:p>
        </w:tc>
        <w:tc>
          <w:tcPr>
            <w:tcW w:w="1984" w:type="dxa"/>
            <w:vAlign w:val="center"/>
          </w:tcPr>
          <w:p>
            <w:pPr>
              <w:autoSpaceDE/>
              <w:autoSpaceDN/>
              <w:adjustRightInd/>
              <w:spacing w:line="360" w:lineRule="exact"/>
              <w:ind w:right="-168" w:rightChars="-70" w:firstLine="280" w:firstLineChars="100"/>
              <w:rPr>
                <w:rFonts w:hint="eastAsia" w:ascii="仿宋" w:hAnsi="仿宋" w:eastAsia="仿宋" w:cs="仿宋"/>
                <w:color w:val="FF0000"/>
                <w:kern w:val="2"/>
                <w:sz w:val="28"/>
                <w:szCs w:val="28"/>
              </w:rPr>
            </w:pPr>
            <w:r>
              <w:rPr>
                <w:rFonts w:hint="eastAsia" w:ascii="仿宋" w:hAnsi="仿宋" w:eastAsia="仿宋" w:cs="仿宋"/>
                <w:color w:val="000000"/>
                <w:kern w:val="2"/>
                <w:sz w:val="28"/>
                <w:szCs w:val="28"/>
              </w:rPr>
              <w:t>证书申报</w:t>
            </w:r>
          </w:p>
        </w:tc>
        <w:tc>
          <w:tcPr>
            <w:tcW w:w="3969" w:type="dxa"/>
            <w:gridSpan w:val="6"/>
            <w:vAlign w:val="center"/>
          </w:tcPr>
          <w:p>
            <w:pPr>
              <w:autoSpaceDE/>
              <w:autoSpaceDN/>
              <w:adjustRightInd/>
              <w:spacing w:line="360" w:lineRule="exact"/>
              <w:ind w:right="-168" w:rightChars="-70"/>
              <w:rPr>
                <w:rFonts w:hint="eastAsia" w:ascii="仿宋" w:hAnsi="仿宋" w:eastAsia="仿宋" w:cs="仿宋"/>
                <w:color w:val="FF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标准选项</w:t>
            </w:r>
          </w:p>
        </w:tc>
        <w:tc>
          <w:tcPr>
            <w:tcW w:w="8084" w:type="dxa"/>
            <w:gridSpan w:val="9"/>
            <w:vAlign w:val="center"/>
          </w:tcPr>
          <w:p>
            <w:pPr>
              <w:autoSpaceDE/>
              <w:autoSpaceDN/>
              <w:adjustRightInd/>
              <w:spacing w:line="360" w:lineRule="exact"/>
              <w:ind w:right="-168" w:rightChars="-70"/>
              <w:rPr>
                <w:rFonts w:hint="eastAsia" w:ascii="仿宋" w:hAnsi="仿宋" w:eastAsia="仿宋" w:cs="仿宋"/>
                <w:color w:val="000000"/>
                <w:kern w:val="2"/>
                <w:sz w:val="28"/>
                <w:szCs w:val="28"/>
              </w:rPr>
            </w:pPr>
            <w:r>
              <w:rPr>
                <w:rFonts w:hint="eastAsia" w:ascii="仿宋" w:hAnsi="仿宋" w:eastAsia="仿宋" w:cs="仿宋"/>
                <w:kern w:val="2"/>
                <w:sz w:val="28"/>
                <w:szCs w:val="28"/>
              </w:rPr>
              <w:t>A:2980元□       B：3980元□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3" w:type="dxa"/>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付款方式</w:t>
            </w:r>
          </w:p>
        </w:tc>
        <w:tc>
          <w:tcPr>
            <w:tcW w:w="4272" w:type="dxa"/>
            <w:gridSpan w:val="4"/>
          </w:tcPr>
          <w:p>
            <w:pPr>
              <w:widowControl/>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 xml:space="preserve">□银行     □网银 </w:t>
            </w:r>
          </w:p>
        </w:tc>
        <w:tc>
          <w:tcPr>
            <w:tcW w:w="996" w:type="dxa"/>
            <w:gridSpan w:val="2"/>
          </w:tcPr>
          <w:p>
            <w:pPr>
              <w:widowControl/>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金额</w:t>
            </w:r>
          </w:p>
        </w:tc>
        <w:tc>
          <w:tcPr>
            <w:tcW w:w="2816" w:type="dxa"/>
            <w:gridSpan w:val="3"/>
          </w:tcPr>
          <w:p>
            <w:pPr>
              <w:widowControl/>
              <w:autoSpaceDE/>
              <w:autoSpaceDN/>
              <w:adjustRightInd/>
              <w:spacing w:line="360" w:lineRule="exact"/>
              <w:ind w:right="-168" w:rightChars="-7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需要与专家</w:t>
            </w:r>
          </w:p>
          <w:p>
            <w:pPr>
              <w:autoSpaceDE/>
              <w:autoSpaceDN/>
              <w:adjustRightInd/>
              <w:spacing w:line="360" w:lineRule="exact"/>
              <w:ind w:right="-168" w:rightChars="-70"/>
              <w:jc w:val="center"/>
              <w:rPr>
                <w:rFonts w:hint="eastAsia" w:ascii="仿宋" w:hAnsi="仿宋" w:eastAsia="仿宋" w:cs="仿宋"/>
                <w:kern w:val="2"/>
                <w:sz w:val="28"/>
                <w:szCs w:val="28"/>
              </w:rPr>
            </w:pPr>
            <w:r>
              <w:rPr>
                <w:rFonts w:hint="eastAsia" w:ascii="仿宋" w:hAnsi="仿宋" w:eastAsia="仿宋" w:cs="仿宋"/>
                <w:kern w:val="2"/>
                <w:sz w:val="28"/>
                <w:szCs w:val="28"/>
              </w:rPr>
              <w:t>沟通的问题</w:t>
            </w:r>
          </w:p>
        </w:tc>
        <w:tc>
          <w:tcPr>
            <w:tcW w:w="8084" w:type="dxa"/>
            <w:gridSpan w:val="9"/>
          </w:tcPr>
          <w:p>
            <w:pPr>
              <w:widowControl/>
              <w:autoSpaceDE/>
              <w:autoSpaceDN/>
              <w:adjustRightInd/>
              <w:spacing w:line="360" w:lineRule="exact"/>
              <w:ind w:right="-168" w:rightChars="-70"/>
              <w:jc w:val="center"/>
              <w:rPr>
                <w:rFonts w:hint="eastAsia" w:ascii="仿宋" w:hAnsi="仿宋" w:eastAsia="仿宋" w:cs="仿宋"/>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kern w:val="2"/>
                <w:sz w:val="28"/>
                <w:szCs w:val="28"/>
                <w:highlight w:val="yellow"/>
              </w:rPr>
            </w:pPr>
            <w:r>
              <w:rPr>
                <w:rFonts w:hint="eastAsia" w:ascii="仿宋" w:hAnsi="仿宋" w:eastAsia="仿宋" w:cs="仿宋"/>
                <w:kern w:val="2"/>
                <w:sz w:val="28"/>
                <w:szCs w:val="28"/>
                <w:lang w:val="zh-CN"/>
              </w:rPr>
              <w:t>收款账户</w:t>
            </w:r>
          </w:p>
        </w:tc>
        <w:tc>
          <w:tcPr>
            <w:tcW w:w="8084" w:type="dxa"/>
            <w:gridSpan w:val="9"/>
            <w:vAlign w:val="center"/>
          </w:tcPr>
          <w:p>
            <w:pPr>
              <w:widowControl/>
              <w:spacing w:line="360" w:lineRule="exact"/>
              <w:jc w:val="both"/>
              <w:rPr>
                <w:rFonts w:hint="eastAsia" w:ascii="仿宋" w:hAnsi="仿宋" w:eastAsia="仿宋" w:cs="仿宋"/>
                <w:sz w:val="28"/>
                <w:szCs w:val="28"/>
                <w:lang w:val="zh-CN"/>
              </w:rPr>
            </w:pPr>
            <w:r>
              <w:rPr>
                <w:rFonts w:hint="eastAsia" w:ascii="仿宋" w:hAnsi="仿宋" w:eastAsia="仿宋" w:cs="仿宋"/>
                <w:sz w:val="28"/>
                <w:szCs w:val="28"/>
                <w:lang w:val="zh-CN"/>
              </w:rPr>
              <w:t>单位名称：北京中科善若教育咨询有限公司</w:t>
            </w:r>
          </w:p>
          <w:p>
            <w:pPr>
              <w:widowControl/>
              <w:spacing w:line="360" w:lineRule="exact"/>
              <w:jc w:val="both"/>
              <w:rPr>
                <w:rFonts w:hint="eastAsia" w:ascii="仿宋" w:hAnsi="仿宋" w:eastAsia="仿宋" w:cs="仿宋"/>
                <w:sz w:val="28"/>
                <w:szCs w:val="28"/>
                <w:lang w:val="zh-CN"/>
              </w:rPr>
            </w:pPr>
            <w:r>
              <w:rPr>
                <w:rFonts w:hint="eastAsia" w:ascii="仿宋" w:hAnsi="仿宋" w:eastAsia="仿宋" w:cs="仿宋"/>
                <w:sz w:val="28"/>
                <w:szCs w:val="28"/>
                <w:lang w:val="zh-CN"/>
              </w:rPr>
              <w:t>开 户 行：中国工商银行股份有限公司北京</w:t>
            </w:r>
            <w:r>
              <w:rPr>
                <w:rFonts w:hint="eastAsia" w:ascii="仿宋" w:hAnsi="仿宋" w:eastAsia="仿宋" w:cs="仿宋"/>
                <w:sz w:val="28"/>
                <w:szCs w:val="28"/>
              </w:rPr>
              <w:t>永定路</w:t>
            </w:r>
            <w:r>
              <w:rPr>
                <w:rFonts w:hint="eastAsia" w:ascii="仿宋" w:hAnsi="仿宋" w:eastAsia="仿宋" w:cs="仿宋"/>
                <w:sz w:val="28"/>
                <w:szCs w:val="28"/>
                <w:lang w:val="zh-CN"/>
              </w:rPr>
              <w:t xml:space="preserve">支行 </w:t>
            </w:r>
          </w:p>
          <w:p>
            <w:pPr>
              <w:widowControl/>
              <w:spacing w:line="360" w:lineRule="exact"/>
              <w:jc w:val="both"/>
              <w:rPr>
                <w:rFonts w:hint="eastAsia" w:ascii="仿宋" w:hAnsi="仿宋" w:eastAsia="仿宋" w:cs="仿宋"/>
                <w:sz w:val="28"/>
                <w:szCs w:val="28"/>
              </w:rPr>
            </w:pPr>
            <w:r>
              <w:rPr>
                <w:rFonts w:hint="eastAsia" w:ascii="仿宋" w:hAnsi="仿宋" w:eastAsia="仿宋" w:cs="仿宋"/>
                <w:sz w:val="28"/>
                <w:szCs w:val="28"/>
                <w:lang w:val="zh-CN"/>
              </w:rPr>
              <w:t>账    号：02002470092000</w:t>
            </w:r>
            <w:r>
              <w:rPr>
                <w:rFonts w:hint="eastAsia" w:ascii="仿宋" w:hAnsi="仿宋" w:eastAsia="仿宋" w:cs="仿宋"/>
                <w:sz w:val="28"/>
                <w:szCs w:val="28"/>
              </w:rPr>
              <w:t>77514</w:t>
            </w:r>
          </w:p>
          <w:p>
            <w:pPr>
              <w:widowControl/>
              <w:spacing w:line="360" w:lineRule="exact"/>
              <w:jc w:val="both"/>
              <w:rPr>
                <w:rFonts w:hint="eastAsia" w:ascii="仿宋" w:hAnsi="仿宋" w:eastAsia="仿宋" w:cs="仿宋"/>
                <w:kern w:val="2"/>
                <w:sz w:val="28"/>
                <w:szCs w:val="28"/>
                <w:highlight w:val="yellow"/>
              </w:rPr>
            </w:pPr>
            <w:r>
              <w:rPr>
                <w:rFonts w:hint="eastAsia" w:ascii="仿宋" w:hAnsi="仿宋" w:eastAsia="仿宋" w:cs="仿宋"/>
                <w:sz w:val="28"/>
                <w:szCs w:val="28"/>
                <w:lang w:val="zh-CN"/>
              </w:rPr>
              <w:t>行</w:t>
            </w:r>
            <w:r>
              <w:rPr>
                <w:rFonts w:hint="eastAsia" w:ascii="仿宋" w:hAnsi="仿宋" w:eastAsia="仿宋" w:cs="仿宋"/>
                <w:sz w:val="28"/>
                <w:szCs w:val="28"/>
              </w:rPr>
              <w:t xml:space="preserve">    </w:t>
            </w:r>
            <w:r>
              <w:rPr>
                <w:rFonts w:hint="eastAsia" w:ascii="仿宋" w:hAnsi="仿宋" w:eastAsia="仿宋" w:cs="仿宋"/>
                <w:sz w:val="28"/>
                <w:szCs w:val="28"/>
                <w:lang w:val="zh-CN"/>
              </w:rPr>
              <w:t>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3" w:type="dxa"/>
            <w:vAlign w:val="center"/>
          </w:tcPr>
          <w:p>
            <w:pPr>
              <w:autoSpaceDE/>
              <w:autoSpaceDN/>
              <w:adjustRightInd/>
              <w:spacing w:line="360" w:lineRule="exact"/>
              <w:ind w:right="-168" w:rightChars="-70"/>
              <w:jc w:val="center"/>
              <w:rPr>
                <w:rFonts w:hint="eastAsia" w:ascii="仿宋" w:hAnsi="仿宋" w:eastAsia="仿宋" w:cs="仿宋"/>
                <w:b/>
                <w:bCs/>
                <w:kern w:val="2"/>
                <w:sz w:val="28"/>
                <w:szCs w:val="28"/>
              </w:rPr>
            </w:pPr>
            <w:r>
              <w:rPr>
                <w:rFonts w:hint="eastAsia" w:ascii="仿宋" w:hAnsi="仿宋" w:eastAsia="仿宋" w:cs="仿宋"/>
                <w:kern w:val="2"/>
                <w:sz w:val="28"/>
                <w:szCs w:val="28"/>
              </w:rPr>
              <w:t>备注</w:t>
            </w:r>
          </w:p>
        </w:tc>
        <w:tc>
          <w:tcPr>
            <w:tcW w:w="5087" w:type="dxa"/>
            <w:gridSpan w:val="5"/>
            <w:vAlign w:val="center"/>
          </w:tcPr>
          <w:p>
            <w:pPr>
              <w:autoSpaceDE/>
              <w:autoSpaceDN/>
              <w:adjustRightInd/>
              <w:spacing w:line="360" w:lineRule="exact"/>
              <w:ind w:right="-168" w:rightChars="-70"/>
              <w:rPr>
                <w:rFonts w:hint="eastAsia" w:ascii="仿宋" w:hAnsi="仿宋" w:eastAsia="仿宋" w:cs="仿宋"/>
                <w:kern w:val="2"/>
                <w:sz w:val="28"/>
                <w:szCs w:val="28"/>
              </w:rPr>
            </w:pPr>
            <w:r>
              <w:rPr>
                <w:rFonts w:hint="eastAsia" w:ascii="仿宋" w:hAnsi="仿宋" w:eastAsia="仿宋" w:cs="仿宋"/>
                <w:sz w:val="28"/>
                <w:szCs w:val="28"/>
                <w:lang w:val="zh-CN"/>
              </w:rPr>
              <w:t>请将《报名回执表》发送至会务组，并于报名3日内将培训费汇至指定账户，会务组确认收到培训费后即发《参会凭证》，详细说明培训安排具体事项。</w:t>
            </w:r>
          </w:p>
        </w:tc>
        <w:tc>
          <w:tcPr>
            <w:tcW w:w="2997" w:type="dxa"/>
            <w:gridSpan w:val="4"/>
            <w:vAlign w:val="center"/>
          </w:tcPr>
          <w:p>
            <w:pPr>
              <w:autoSpaceDE/>
              <w:autoSpaceDN/>
              <w:adjustRightInd/>
              <w:spacing w:line="360" w:lineRule="exact"/>
              <w:ind w:right="-168" w:rightChars="-70" w:firstLine="1260" w:firstLineChars="450"/>
              <w:jc w:val="both"/>
              <w:rPr>
                <w:rFonts w:hint="eastAsia" w:ascii="仿宋" w:hAnsi="仿宋" w:eastAsia="仿宋" w:cs="仿宋"/>
                <w:kern w:val="2"/>
                <w:sz w:val="28"/>
                <w:szCs w:val="28"/>
              </w:rPr>
            </w:pPr>
            <w:r>
              <w:rPr>
                <w:rFonts w:hint="eastAsia" w:ascii="仿宋" w:hAnsi="仿宋" w:eastAsia="仿宋" w:cs="仿宋"/>
                <w:kern w:val="2"/>
                <w:sz w:val="28"/>
                <w:szCs w:val="28"/>
              </w:rPr>
              <w:t>单位印章</w:t>
            </w:r>
          </w:p>
          <w:p>
            <w:pPr>
              <w:autoSpaceDE/>
              <w:autoSpaceDN/>
              <w:adjustRightInd/>
              <w:spacing w:line="360" w:lineRule="exact"/>
              <w:ind w:right="-168" w:rightChars="-7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202</w:t>
            </w: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rPr>
              <w:t xml:space="preserve"> 年  月  日</w:t>
            </w:r>
          </w:p>
        </w:tc>
      </w:tr>
    </w:tbl>
    <w:p>
      <w:pPr>
        <w:spacing w:line="330" w:lineRule="exact"/>
        <w:ind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 xml:space="preserve">报名负责人：聂红军 主任18211071700（微信）   </w:t>
      </w:r>
    </w:p>
    <w:p>
      <w:pPr>
        <w:spacing w:line="330" w:lineRule="exact"/>
        <w:ind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话：010-87697580      邮    箱：zqgphwz@126.com  </w:t>
      </w:r>
    </w:p>
    <w:p>
      <w:pPr>
        <w:spacing w:line="330" w:lineRule="exact"/>
        <w:ind w:firstLine="560" w:firstLineChars="200"/>
        <w:rPr>
          <w:rStyle w:val="11"/>
          <w:rFonts w:hint="default" w:ascii="仿宋" w:hAnsi="仿宋" w:eastAsia="仿宋" w:cs="仿宋"/>
          <w:b w:val="0"/>
          <w:bCs/>
          <w:kern w:val="2"/>
          <w:sz w:val="28"/>
          <w:szCs w:val="28"/>
        </w:rPr>
      </w:pPr>
      <w:r>
        <w:rPr>
          <w:rFonts w:hint="eastAsia" w:ascii="仿宋" w:hAnsi="仿宋" w:eastAsia="仿宋" w:cs="仿宋"/>
          <w:bCs/>
          <w:kern w:val="2"/>
          <w:sz w:val="28"/>
          <w:szCs w:val="28"/>
        </w:rPr>
        <w:t>qq咨询：3177524020        网址查询：http://www.zqgpchina.cn/</w:t>
      </w:r>
    </w:p>
    <w:sectPr>
      <w:footerReference r:id="rId3" w:type="default"/>
      <w:pgSz w:w="11906" w:h="16838"/>
      <w:pgMar w:top="1440" w:right="1587" w:bottom="1440"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rPr>
                          </w:pPr>
                          <w:r>
                            <w:fldChar w:fldCharType="begin"/>
                          </w:r>
                          <w:r>
                            <w:instrText xml:space="preserve"> PAGE  \* MERGEFORMAT </w:instrText>
                          </w:r>
                          <w:r>
                            <w:fldChar w:fldCharType="separate"/>
                          </w:r>
                          <w:r>
                            <w:rPr>
                              <w:rFonts w:hint="default"/>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111BB"/>
    <w:rsid w:val="00023D51"/>
    <w:rsid w:val="00035C2D"/>
    <w:rsid w:val="00067BD4"/>
    <w:rsid w:val="0009632B"/>
    <w:rsid w:val="000B5CF0"/>
    <w:rsid w:val="000E468A"/>
    <w:rsid w:val="000F0735"/>
    <w:rsid w:val="00112650"/>
    <w:rsid w:val="001320AD"/>
    <w:rsid w:val="00165350"/>
    <w:rsid w:val="001B15FC"/>
    <w:rsid w:val="001C423C"/>
    <w:rsid w:val="001D5820"/>
    <w:rsid w:val="001F266D"/>
    <w:rsid w:val="001F2CC6"/>
    <w:rsid w:val="001F5DBA"/>
    <w:rsid w:val="002016D4"/>
    <w:rsid w:val="00230A62"/>
    <w:rsid w:val="00262218"/>
    <w:rsid w:val="002733FA"/>
    <w:rsid w:val="002A5354"/>
    <w:rsid w:val="002B53F2"/>
    <w:rsid w:val="002C7D33"/>
    <w:rsid w:val="002D7C2D"/>
    <w:rsid w:val="00303B6C"/>
    <w:rsid w:val="00360AC6"/>
    <w:rsid w:val="00366D1D"/>
    <w:rsid w:val="003B1F67"/>
    <w:rsid w:val="003D3698"/>
    <w:rsid w:val="003E36E5"/>
    <w:rsid w:val="003E4E6E"/>
    <w:rsid w:val="003F712A"/>
    <w:rsid w:val="004127EC"/>
    <w:rsid w:val="0042016E"/>
    <w:rsid w:val="0042243A"/>
    <w:rsid w:val="00444929"/>
    <w:rsid w:val="00490AAB"/>
    <w:rsid w:val="004B699A"/>
    <w:rsid w:val="004C2C6B"/>
    <w:rsid w:val="00507BEB"/>
    <w:rsid w:val="00510FDD"/>
    <w:rsid w:val="005258A8"/>
    <w:rsid w:val="005F7916"/>
    <w:rsid w:val="006011E8"/>
    <w:rsid w:val="00601C30"/>
    <w:rsid w:val="00605B40"/>
    <w:rsid w:val="006068B5"/>
    <w:rsid w:val="00616606"/>
    <w:rsid w:val="00657822"/>
    <w:rsid w:val="00660D1E"/>
    <w:rsid w:val="006618C6"/>
    <w:rsid w:val="00663868"/>
    <w:rsid w:val="00670351"/>
    <w:rsid w:val="00671816"/>
    <w:rsid w:val="006B69A3"/>
    <w:rsid w:val="006D6D3A"/>
    <w:rsid w:val="006E23D4"/>
    <w:rsid w:val="006F117C"/>
    <w:rsid w:val="006F58F0"/>
    <w:rsid w:val="00706D80"/>
    <w:rsid w:val="00724E89"/>
    <w:rsid w:val="00757AA3"/>
    <w:rsid w:val="00760628"/>
    <w:rsid w:val="0078469F"/>
    <w:rsid w:val="00786656"/>
    <w:rsid w:val="007A06B7"/>
    <w:rsid w:val="007B7767"/>
    <w:rsid w:val="007E57E5"/>
    <w:rsid w:val="007F29DF"/>
    <w:rsid w:val="007F5FC8"/>
    <w:rsid w:val="00832BCD"/>
    <w:rsid w:val="008334D8"/>
    <w:rsid w:val="00836D30"/>
    <w:rsid w:val="00843C21"/>
    <w:rsid w:val="0085248F"/>
    <w:rsid w:val="00860964"/>
    <w:rsid w:val="00881445"/>
    <w:rsid w:val="00882120"/>
    <w:rsid w:val="008A39AB"/>
    <w:rsid w:val="008B199B"/>
    <w:rsid w:val="008E378E"/>
    <w:rsid w:val="008E633F"/>
    <w:rsid w:val="008E79C6"/>
    <w:rsid w:val="009176A2"/>
    <w:rsid w:val="00920D6E"/>
    <w:rsid w:val="00925ADE"/>
    <w:rsid w:val="009308F0"/>
    <w:rsid w:val="00930C9B"/>
    <w:rsid w:val="009472B7"/>
    <w:rsid w:val="00957A5B"/>
    <w:rsid w:val="009601BE"/>
    <w:rsid w:val="00981D3A"/>
    <w:rsid w:val="009A4718"/>
    <w:rsid w:val="009A4BA7"/>
    <w:rsid w:val="00A0339F"/>
    <w:rsid w:val="00A16535"/>
    <w:rsid w:val="00A17C72"/>
    <w:rsid w:val="00A21947"/>
    <w:rsid w:val="00A35324"/>
    <w:rsid w:val="00A55121"/>
    <w:rsid w:val="00A6651E"/>
    <w:rsid w:val="00A76A48"/>
    <w:rsid w:val="00AB4C35"/>
    <w:rsid w:val="00AF6597"/>
    <w:rsid w:val="00B0351C"/>
    <w:rsid w:val="00B73582"/>
    <w:rsid w:val="00B73A86"/>
    <w:rsid w:val="00B865F7"/>
    <w:rsid w:val="00B87A6C"/>
    <w:rsid w:val="00B953A2"/>
    <w:rsid w:val="00BC37A5"/>
    <w:rsid w:val="00BE0FB0"/>
    <w:rsid w:val="00C10B2E"/>
    <w:rsid w:val="00C234E4"/>
    <w:rsid w:val="00C44BC1"/>
    <w:rsid w:val="00C5747F"/>
    <w:rsid w:val="00C660E6"/>
    <w:rsid w:val="00C7524A"/>
    <w:rsid w:val="00C96EFB"/>
    <w:rsid w:val="00CA083A"/>
    <w:rsid w:val="00CE67E2"/>
    <w:rsid w:val="00CF1181"/>
    <w:rsid w:val="00D33D09"/>
    <w:rsid w:val="00D47982"/>
    <w:rsid w:val="00D74547"/>
    <w:rsid w:val="00DA154B"/>
    <w:rsid w:val="00DB24B2"/>
    <w:rsid w:val="00DB62D4"/>
    <w:rsid w:val="00DC5B74"/>
    <w:rsid w:val="00DF3CB1"/>
    <w:rsid w:val="00E23AA1"/>
    <w:rsid w:val="00E24129"/>
    <w:rsid w:val="00E364AD"/>
    <w:rsid w:val="00E40FB3"/>
    <w:rsid w:val="00E51A5B"/>
    <w:rsid w:val="00E54A37"/>
    <w:rsid w:val="00E65A89"/>
    <w:rsid w:val="00E73D9A"/>
    <w:rsid w:val="00EB3F9D"/>
    <w:rsid w:val="00EC2070"/>
    <w:rsid w:val="00ED0791"/>
    <w:rsid w:val="00F2027E"/>
    <w:rsid w:val="00F31608"/>
    <w:rsid w:val="00F4034C"/>
    <w:rsid w:val="00F52CD5"/>
    <w:rsid w:val="00F75886"/>
    <w:rsid w:val="00F847DA"/>
    <w:rsid w:val="00FA5D57"/>
    <w:rsid w:val="00FA68FB"/>
    <w:rsid w:val="00FD3268"/>
    <w:rsid w:val="00FD7D45"/>
    <w:rsid w:val="01072441"/>
    <w:rsid w:val="0115065C"/>
    <w:rsid w:val="015C14C1"/>
    <w:rsid w:val="01873FBC"/>
    <w:rsid w:val="01A54065"/>
    <w:rsid w:val="024758F8"/>
    <w:rsid w:val="0264395E"/>
    <w:rsid w:val="02B01FAE"/>
    <w:rsid w:val="03B573D0"/>
    <w:rsid w:val="03BD2A1A"/>
    <w:rsid w:val="03DE1A18"/>
    <w:rsid w:val="040074A3"/>
    <w:rsid w:val="04421273"/>
    <w:rsid w:val="045246C4"/>
    <w:rsid w:val="04FA6554"/>
    <w:rsid w:val="05264D9D"/>
    <w:rsid w:val="055F0F75"/>
    <w:rsid w:val="059A2F73"/>
    <w:rsid w:val="059D13C6"/>
    <w:rsid w:val="05DB6A0D"/>
    <w:rsid w:val="05F05251"/>
    <w:rsid w:val="06562BCE"/>
    <w:rsid w:val="06906F26"/>
    <w:rsid w:val="06A76AC5"/>
    <w:rsid w:val="075C0B4F"/>
    <w:rsid w:val="07DD1D97"/>
    <w:rsid w:val="08114065"/>
    <w:rsid w:val="085722EB"/>
    <w:rsid w:val="08D80954"/>
    <w:rsid w:val="09574C75"/>
    <w:rsid w:val="0A19645B"/>
    <w:rsid w:val="0A1F1C61"/>
    <w:rsid w:val="0AE00BC8"/>
    <w:rsid w:val="0B7C40B9"/>
    <w:rsid w:val="0B97030C"/>
    <w:rsid w:val="0BD31815"/>
    <w:rsid w:val="0C654FEF"/>
    <w:rsid w:val="0C750503"/>
    <w:rsid w:val="0C757B9B"/>
    <w:rsid w:val="0CA967FE"/>
    <w:rsid w:val="0DA135C5"/>
    <w:rsid w:val="0DE9579D"/>
    <w:rsid w:val="0E6A7443"/>
    <w:rsid w:val="0E82376F"/>
    <w:rsid w:val="0EB13649"/>
    <w:rsid w:val="0EC9239C"/>
    <w:rsid w:val="0ED45BB5"/>
    <w:rsid w:val="0F233D68"/>
    <w:rsid w:val="0F816F20"/>
    <w:rsid w:val="103819F7"/>
    <w:rsid w:val="10501289"/>
    <w:rsid w:val="1053724B"/>
    <w:rsid w:val="108965B9"/>
    <w:rsid w:val="10F42D58"/>
    <w:rsid w:val="11117CBE"/>
    <w:rsid w:val="113E3B6A"/>
    <w:rsid w:val="115E0DC8"/>
    <w:rsid w:val="11AB1900"/>
    <w:rsid w:val="11B32288"/>
    <w:rsid w:val="122B1BC6"/>
    <w:rsid w:val="125B567F"/>
    <w:rsid w:val="12AE7D8A"/>
    <w:rsid w:val="12EE1603"/>
    <w:rsid w:val="12F92A2E"/>
    <w:rsid w:val="131A3105"/>
    <w:rsid w:val="13BA4E76"/>
    <w:rsid w:val="14246519"/>
    <w:rsid w:val="14813515"/>
    <w:rsid w:val="14A05074"/>
    <w:rsid w:val="14B761FD"/>
    <w:rsid w:val="150B41FA"/>
    <w:rsid w:val="155C0CB5"/>
    <w:rsid w:val="156423D0"/>
    <w:rsid w:val="15AB2D48"/>
    <w:rsid w:val="15F519A8"/>
    <w:rsid w:val="15F66A2C"/>
    <w:rsid w:val="16816EC6"/>
    <w:rsid w:val="16933D66"/>
    <w:rsid w:val="16D42978"/>
    <w:rsid w:val="1714344D"/>
    <w:rsid w:val="17264508"/>
    <w:rsid w:val="17501762"/>
    <w:rsid w:val="179A6F33"/>
    <w:rsid w:val="17E562F3"/>
    <w:rsid w:val="18180676"/>
    <w:rsid w:val="18184C74"/>
    <w:rsid w:val="186F35B0"/>
    <w:rsid w:val="189509C3"/>
    <w:rsid w:val="18AB4577"/>
    <w:rsid w:val="19041D89"/>
    <w:rsid w:val="19A44506"/>
    <w:rsid w:val="19DB6AAB"/>
    <w:rsid w:val="1A0B2771"/>
    <w:rsid w:val="1A3B3909"/>
    <w:rsid w:val="1A8D572D"/>
    <w:rsid w:val="1B0E2616"/>
    <w:rsid w:val="1BF26C26"/>
    <w:rsid w:val="1C303806"/>
    <w:rsid w:val="1C4117B3"/>
    <w:rsid w:val="1C685977"/>
    <w:rsid w:val="1D0B2A5F"/>
    <w:rsid w:val="1D4F4D9A"/>
    <w:rsid w:val="1EE61D2F"/>
    <w:rsid w:val="1F71124A"/>
    <w:rsid w:val="1FE01D86"/>
    <w:rsid w:val="20051B1C"/>
    <w:rsid w:val="20263587"/>
    <w:rsid w:val="20440B47"/>
    <w:rsid w:val="20E53D47"/>
    <w:rsid w:val="215A3612"/>
    <w:rsid w:val="21DF2625"/>
    <w:rsid w:val="21E97F2A"/>
    <w:rsid w:val="21F12989"/>
    <w:rsid w:val="2200156D"/>
    <w:rsid w:val="22072402"/>
    <w:rsid w:val="22B805DD"/>
    <w:rsid w:val="22BC1795"/>
    <w:rsid w:val="23620E38"/>
    <w:rsid w:val="237E71FA"/>
    <w:rsid w:val="23967AFF"/>
    <w:rsid w:val="23C27530"/>
    <w:rsid w:val="23C37729"/>
    <w:rsid w:val="24361C58"/>
    <w:rsid w:val="24D63FFA"/>
    <w:rsid w:val="25123D82"/>
    <w:rsid w:val="253770BD"/>
    <w:rsid w:val="25843DEF"/>
    <w:rsid w:val="25A25ED6"/>
    <w:rsid w:val="25C16AB4"/>
    <w:rsid w:val="25F337E9"/>
    <w:rsid w:val="262354A3"/>
    <w:rsid w:val="26342E4D"/>
    <w:rsid w:val="26625556"/>
    <w:rsid w:val="2668544C"/>
    <w:rsid w:val="266F6E32"/>
    <w:rsid w:val="26F0697A"/>
    <w:rsid w:val="27641A88"/>
    <w:rsid w:val="27715140"/>
    <w:rsid w:val="27F45FB8"/>
    <w:rsid w:val="28DE3A55"/>
    <w:rsid w:val="295A4D47"/>
    <w:rsid w:val="29765048"/>
    <w:rsid w:val="29C6277A"/>
    <w:rsid w:val="2A1E0A6E"/>
    <w:rsid w:val="2A27567B"/>
    <w:rsid w:val="2A69694D"/>
    <w:rsid w:val="2A753D5F"/>
    <w:rsid w:val="2ADE4A98"/>
    <w:rsid w:val="2B350720"/>
    <w:rsid w:val="2B4C33D5"/>
    <w:rsid w:val="2BDB1E5C"/>
    <w:rsid w:val="2C2D1D7B"/>
    <w:rsid w:val="2C5D22DE"/>
    <w:rsid w:val="2CA40883"/>
    <w:rsid w:val="2CBE75F5"/>
    <w:rsid w:val="2D0E42D8"/>
    <w:rsid w:val="2D1A7EA0"/>
    <w:rsid w:val="2D8F1B36"/>
    <w:rsid w:val="2DB46FA5"/>
    <w:rsid w:val="2DBF62E8"/>
    <w:rsid w:val="2DE83DB8"/>
    <w:rsid w:val="2DED76C6"/>
    <w:rsid w:val="2E596715"/>
    <w:rsid w:val="2E9040A3"/>
    <w:rsid w:val="2EFC4A1E"/>
    <w:rsid w:val="2FDA21C9"/>
    <w:rsid w:val="307748D0"/>
    <w:rsid w:val="30CD0A31"/>
    <w:rsid w:val="30FB5917"/>
    <w:rsid w:val="31565A94"/>
    <w:rsid w:val="316A211F"/>
    <w:rsid w:val="318E7FC4"/>
    <w:rsid w:val="320E3755"/>
    <w:rsid w:val="325C70AD"/>
    <w:rsid w:val="326F69DE"/>
    <w:rsid w:val="327E19AF"/>
    <w:rsid w:val="328155E6"/>
    <w:rsid w:val="32D72F28"/>
    <w:rsid w:val="33401545"/>
    <w:rsid w:val="341F4D62"/>
    <w:rsid w:val="34552AB1"/>
    <w:rsid w:val="34672D65"/>
    <w:rsid w:val="34803E81"/>
    <w:rsid w:val="349C765D"/>
    <w:rsid w:val="34BB53BA"/>
    <w:rsid w:val="35045D6D"/>
    <w:rsid w:val="35225E78"/>
    <w:rsid w:val="35416C6E"/>
    <w:rsid w:val="3573365D"/>
    <w:rsid w:val="35C9302D"/>
    <w:rsid w:val="36505182"/>
    <w:rsid w:val="3661655B"/>
    <w:rsid w:val="367976C0"/>
    <w:rsid w:val="369072D2"/>
    <w:rsid w:val="36D9309D"/>
    <w:rsid w:val="36EC0361"/>
    <w:rsid w:val="3724506C"/>
    <w:rsid w:val="37A51045"/>
    <w:rsid w:val="37C24B91"/>
    <w:rsid w:val="38084E35"/>
    <w:rsid w:val="38250D94"/>
    <w:rsid w:val="38723749"/>
    <w:rsid w:val="38822136"/>
    <w:rsid w:val="39977B66"/>
    <w:rsid w:val="39B96CC3"/>
    <w:rsid w:val="39F239E4"/>
    <w:rsid w:val="39F50C8A"/>
    <w:rsid w:val="3A450054"/>
    <w:rsid w:val="3A8A4DE5"/>
    <w:rsid w:val="3AA74822"/>
    <w:rsid w:val="3AD21349"/>
    <w:rsid w:val="3ADD7E98"/>
    <w:rsid w:val="3B346A17"/>
    <w:rsid w:val="3B4B69BD"/>
    <w:rsid w:val="3B7309FF"/>
    <w:rsid w:val="3B85184B"/>
    <w:rsid w:val="3BE44AA9"/>
    <w:rsid w:val="3C03029A"/>
    <w:rsid w:val="3C0F1800"/>
    <w:rsid w:val="3C2E121E"/>
    <w:rsid w:val="3D20698D"/>
    <w:rsid w:val="3D393539"/>
    <w:rsid w:val="3D3B2FAA"/>
    <w:rsid w:val="3D6F02C3"/>
    <w:rsid w:val="3D9B4081"/>
    <w:rsid w:val="3EA465AA"/>
    <w:rsid w:val="3F05595C"/>
    <w:rsid w:val="3F447022"/>
    <w:rsid w:val="403B2369"/>
    <w:rsid w:val="4079291A"/>
    <w:rsid w:val="40910BEF"/>
    <w:rsid w:val="40D36DC5"/>
    <w:rsid w:val="41C55CDB"/>
    <w:rsid w:val="41D26947"/>
    <w:rsid w:val="426206AE"/>
    <w:rsid w:val="426848B1"/>
    <w:rsid w:val="42CD1DE0"/>
    <w:rsid w:val="42E70726"/>
    <w:rsid w:val="438A0138"/>
    <w:rsid w:val="438F31E1"/>
    <w:rsid w:val="44CA4883"/>
    <w:rsid w:val="44D47D47"/>
    <w:rsid w:val="45041B70"/>
    <w:rsid w:val="45065223"/>
    <w:rsid w:val="451E0702"/>
    <w:rsid w:val="458A6696"/>
    <w:rsid w:val="459831FD"/>
    <w:rsid w:val="45DC4AB6"/>
    <w:rsid w:val="465E3003"/>
    <w:rsid w:val="46654ACA"/>
    <w:rsid w:val="467D407E"/>
    <w:rsid w:val="46B14C57"/>
    <w:rsid w:val="46E6706D"/>
    <w:rsid w:val="470F75CA"/>
    <w:rsid w:val="47856EB2"/>
    <w:rsid w:val="47AE7D34"/>
    <w:rsid w:val="480D4B17"/>
    <w:rsid w:val="48153718"/>
    <w:rsid w:val="4821332C"/>
    <w:rsid w:val="486263F0"/>
    <w:rsid w:val="48A82B51"/>
    <w:rsid w:val="4A423AB9"/>
    <w:rsid w:val="4A754366"/>
    <w:rsid w:val="4A8A1038"/>
    <w:rsid w:val="4A9D0A10"/>
    <w:rsid w:val="4AD26894"/>
    <w:rsid w:val="4B044599"/>
    <w:rsid w:val="4B0A0426"/>
    <w:rsid w:val="4B165694"/>
    <w:rsid w:val="4BF35F73"/>
    <w:rsid w:val="4C1E23D7"/>
    <w:rsid w:val="4D39437A"/>
    <w:rsid w:val="4EA52361"/>
    <w:rsid w:val="4ED0711C"/>
    <w:rsid w:val="4F516ADE"/>
    <w:rsid w:val="4FEF1CD4"/>
    <w:rsid w:val="501B18DD"/>
    <w:rsid w:val="503D0BF9"/>
    <w:rsid w:val="50736840"/>
    <w:rsid w:val="50B14F39"/>
    <w:rsid w:val="50B62CFE"/>
    <w:rsid w:val="50CA130D"/>
    <w:rsid w:val="50D11ADE"/>
    <w:rsid w:val="50F64C4A"/>
    <w:rsid w:val="51BA57D7"/>
    <w:rsid w:val="51E348B7"/>
    <w:rsid w:val="53184694"/>
    <w:rsid w:val="53375C36"/>
    <w:rsid w:val="533D1D6A"/>
    <w:rsid w:val="53534B98"/>
    <w:rsid w:val="535644D0"/>
    <w:rsid w:val="537C7F93"/>
    <w:rsid w:val="53C87612"/>
    <w:rsid w:val="5422726A"/>
    <w:rsid w:val="54313F0D"/>
    <w:rsid w:val="55791D47"/>
    <w:rsid w:val="55822B8C"/>
    <w:rsid w:val="55921102"/>
    <w:rsid w:val="55B47ADA"/>
    <w:rsid w:val="55C0612F"/>
    <w:rsid w:val="561724F7"/>
    <w:rsid w:val="5649565E"/>
    <w:rsid w:val="56663210"/>
    <w:rsid w:val="56680E97"/>
    <w:rsid w:val="566F5F59"/>
    <w:rsid w:val="5685733F"/>
    <w:rsid w:val="57F227C1"/>
    <w:rsid w:val="57F83E70"/>
    <w:rsid w:val="584E7013"/>
    <w:rsid w:val="584F0362"/>
    <w:rsid w:val="58825BDE"/>
    <w:rsid w:val="59D55AC8"/>
    <w:rsid w:val="5A261A69"/>
    <w:rsid w:val="5A2F58EB"/>
    <w:rsid w:val="5A3369BE"/>
    <w:rsid w:val="5A787A2B"/>
    <w:rsid w:val="5A8A431E"/>
    <w:rsid w:val="5A9C0F69"/>
    <w:rsid w:val="5A9F29EB"/>
    <w:rsid w:val="5B082961"/>
    <w:rsid w:val="5B0A0F3F"/>
    <w:rsid w:val="5C1C7827"/>
    <w:rsid w:val="5CD91E7E"/>
    <w:rsid w:val="5D125496"/>
    <w:rsid w:val="5D242384"/>
    <w:rsid w:val="5D650E25"/>
    <w:rsid w:val="5D9A6D6B"/>
    <w:rsid w:val="5DBC4F9A"/>
    <w:rsid w:val="5ECB22E5"/>
    <w:rsid w:val="5ECB26F7"/>
    <w:rsid w:val="5EE6663C"/>
    <w:rsid w:val="5F661586"/>
    <w:rsid w:val="5F79218C"/>
    <w:rsid w:val="5FA21376"/>
    <w:rsid w:val="5FD513B4"/>
    <w:rsid w:val="602E7496"/>
    <w:rsid w:val="60D85A40"/>
    <w:rsid w:val="60D92C10"/>
    <w:rsid w:val="60F85C95"/>
    <w:rsid w:val="610608E6"/>
    <w:rsid w:val="61163276"/>
    <w:rsid w:val="612348F6"/>
    <w:rsid w:val="613356AA"/>
    <w:rsid w:val="61C23A5C"/>
    <w:rsid w:val="61D74FCE"/>
    <w:rsid w:val="62244D2D"/>
    <w:rsid w:val="62757094"/>
    <w:rsid w:val="62973E84"/>
    <w:rsid w:val="62EA2875"/>
    <w:rsid w:val="63156D9A"/>
    <w:rsid w:val="63213512"/>
    <w:rsid w:val="635321F9"/>
    <w:rsid w:val="63624E82"/>
    <w:rsid w:val="64DA61F2"/>
    <w:rsid w:val="64E219C6"/>
    <w:rsid w:val="657C0323"/>
    <w:rsid w:val="6607320A"/>
    <w:rsid w:val="665B4076"/>
    <w:rsid w:val="671C3891"/>
    <w:rsid w:val="672E480E"/>
    <w:rsid w:val="68426149"/>
    <w:rsid w:val="687D0F1C"/>
    <w:rsid w:val="69115685"/>
    <w:rsid w:val="699E3E55"/>
    <w:rsid w:val="69D236DB"/>
    <w:rsid w:val="6A1567A2"/>
    <w:rsid w:val="6A34700B"/>
    <w:rsid w:val="6A881BC4"/>
    <w:rsid w:val="6B1D5C22"/>
    <w:rsid w:val="6B4216B7"/>
    <w:rsid w:val="6B990934"/>
    <w:rsid w:val="6BD13E17"/>
    <w:rsid w:val="6BDF4F70"/>
    <w:rsid w:val="6C494665"/>
    <w:rsid w:val="6C6421C5"/>
    <w:rsid w:val="6C9934FE"/>
    <w:rsid w:val="6DBD039E"/>
    <w:rsid w:val="6E493106"/>
    <w:rsid w:val="6E4C296A"/>
    <w:rsid w:val="6ED645B3"/>
    <w:rsid w:val="6EF720D4"/>
    <w:rsid w:val="6EFF2097"/>
    <w:rsid w:val="6F7955F4"/>
    <w:rsid w:val="6F8138D5"/>
    <w:rsid w:val="6FA7509E"/>
    <w:rsid w:val="6FA943CE"/>
    <w:rsid w:val="6FE336F2"/>
    <w:rsid w:val="712D6722"/>
    <w:rsid w:val="715058B1"/>
    <w:rsid w:val="71511A8C"/>
    <w:rsid w:val="71721E0D"/>
    <w:rsid w:val="721B0BB0"/>
    <w:rsid w:val="730D1B29"/>
    <w:rsid w:val="7379604E"/>
    <w:rsid w:val="73AE3E3E"/>
    <w:rsid w:val="73B52DB2"/>
    <w:rsid w:val="73E55BE1"/>
    <w:rsid w:val="745F7ADB"/>
    <w:rsid w:val="74FB3D31"/>
    <w:rsid w:val="750501D6"/>
    <w:rsid w:val="752C2A78"/>
    <w:rsid w:val="75C12412"/>
    <w:rsid w:val="75DD4471"/>
    <w:rsid w:val="76697649"/>
    <w:rsid w:val="76D44FD5"/>
    <w:rsid w:val="772967FA"/>
    <w:rsid w:val="772D3AF3"/>
    <w:rsid w:val="774D54F1"/>
    <w:rsid w:val="77733156"/>
    <w:rsid w:val="7796460A"/>
    <w:rsid w:val="781C32B4"/>
    <w:rsid w:val="785D1EBF"/>
    <w:rsid w:val="78C32226"/>
    <w:rsid w:val="790D2B37"/>
    <w:rsid w:val="79C75F40"/>
    <w:rsid w:val="7A4805B8"/>
    <w:rsid w:val="7A796D36"/>
    <w:rsid w:val="7B013A9A"/>
    <w:rsid w:val="7B835B9A"/>
    <w:rsid w:val="7BD400D4"/>
    <w:rsid w:val="7BDE019B"/>
    <w:rsid w:val="7C055D07"/>
    <w:rsid w:val="7C4B1DF3"/>
    <w:rsid w:val="7D021991"/>
    <w:rsid w:val="7D7E4898"/>
    <w:rsid w:val="7DB912C0"/>
    <w:rsid w:val="7DE351D1"/>
    <w:rsid w:val="7E324E80"/>
    <w:rsid w:val="7E78398B"/>
    <w:rsid w:val="7E7C4D97"/>
    <w:rsid w:val="7ED47C49"/>
    <w:rsid w:val="7F100049"/>
    <w:rsid w:val="7F301A67"/>
    <w:rsid w:val="7F7E1B59"/>
    <w:rsid w:val="7F880762"/>
    <w:rsid w:val="7FC9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8"/>
    </w:pPr>
    <w:rPr>
      <w:sz w:val="32"/>
      <w:szCs w:val="32"/>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8">
    <w:name w:val="Title"/>
    <w:basedOn w:val="1"/>
    <w:next w:val="1"/>
    <w:link w:val="18"/>
    <w:qFormat/>
    <w:uiPriority w:val="1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99"/>
    <w:rPr>
      <w:rFonts w:cs="Times New Roman"/>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widowControl/>
      <w:autoSpaceDE/>
      <w:autoSpaceDN/>
      <w:adjustRightInd/>
      <w:ind w:firstLine="420" w:firstLineChars="200"/>
    </w:pPr>
    <w:rPr>
      <w:rFonts w:hint="default" w:cs="宋体"/>
      <w:szCs w:val="24"/>
    </w:rPr>
  </w:style>
  <w:style w:type="character" w:customStyle="1" w:styleId="16">
    <w:name w:val="日期 Char"/>
    <w:basedOn w:val="10"/>
    <w:link w:val="3"/>
    <w:semiHidden/>
    <w:qFormat/>
    <w:uiPriority w:val="99"/>
    <w:rPr>
      <w:rFonts w:ascii="宋体" w:hAnsi="宋体" w:eastAsia="宋体" w:cs="Times New Roman"/>
      <w:kern w:val="0"/>
      <w:sz w:val="24"/>
      <w:szCs w:val="20"/>
    </w:rPr>
  </w:style>
  <w:style w:type="paragraph" w:customStyle="1" w:styleId="17">
    <w:name w:val="列出段落1"/>
    <w:basedOn w:val="1"/>
    <w:qFormat/>
    <w:uiPriority w:val="99"/>
    <w:pPr>
      <w:ind w:firstLine="420" w:firstLineChars="200"/>
    </w:pPr>
    <w:rPr>
      <w:szCs w:val="22"/>
    </w:rPr>
  </w:style>
  <w:style w:type="character" w:customStyle="1" w:styleId="18">
    <w:name w:val="标题 Char"/>
    <w:basedOn w:val="10"/>
    <w:link w:val="8"/>
    <w:qFormat/>
    <w:uiPriority w:val="10"/>
    <w:rPr>
      <w:rFonts w:asciiTheme="majorHAnsi" w:hAnsiTheme="majorHAnsi" w:cstheme="majorBidi"/>
      <w:b/>
      <w:bCs/>
      <w:sz w:val="32"/>
      <w:szCs w:val="32"/>
    </w:rPr>
  </w:style>
  <w:style w:type="character" w:customStyle="1" w:styleId="19">
    <w:name w:val="批注框文本 Char"/>
    <w:basedOn w:val="10"/>
    <w:link w:val="4"/>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BB1F9-88E9-4FFA-80F0-B74D1B5187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544</Words>
  <Characters>3105</Characters>
  <Lines>25</Lines>
  <Paragraphs>7</Paragraphs>
  <TotalTime>10</TotalTime>
  <ScaleCrop>false</ScaleCrop>
  <LinksUpToDate>false</LinksUpToDate>
  <CharactersWithSpaces>3642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Administrator</cp:lastModifiedBy>
  <cp:lastPrinted>2020-04-22T07:41:00Z</cp:lastPrinted>
  <dcterms:modified xsi:type="dcterms:W3CDTF">2021-05-18T09:27:47Z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3ACBC8F6156D466EBACFED210365C464</vt:lpwstr>
  </property>
</Properties>
</file>