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cs="仿宋"/>
          <w:b/>
          <w:bCs/>
          <w:color w:val="FF0000"/>
          <w:w w:val="80"/>
          <w:sz w:val="84"/>
          <w:szCs w:val="84"/>
        </w:rPr>
      </w:pPr>
      <w:r>
        <w:rPr>
          <w:rFonts w:hint="eastAsia" w:ascii="宋体" w:hAnsi="宋体" w:cs="宋体"/>
          <w:b/>
          <w:bCs/>
          <w:color w:val="FF0000"/>
          <w:w w:val="80"/>
          <w:sz w:val="84"/>
          <w:szCs w:val="84"/>
        </w:rPr>
        <w:t>中国国际工程咨询协会文件</w:t>
      </w:r>
    </w:p>
    <w:p>
      <w:pPr>
        <w:spacing w:line="400" w:lineRule="exact"/>
        <w:rPr>
          <w:rFonts w:ascii="宋体" w:hAnsi="宋体" w:cs="宋体"/>
          <w:b/>
          <w:color w:val="000000"/>
          <w:sz w:val="36"/>
          <w:szCs w:val="36"/>
        </w:rPr>
      </w:pP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国咨协[2021]</w:t>
      </w:r>
      <w:r>
        <w:rPr>
          <w:rFonts w:hint="eastAsia" w:ascii="仿宋" w:hAnsi="仿宋" w:eastAsia="仿宋" w:cs="仿宋_GB2312"/>
          <w:color w:val="000000"/>
          <w:spacing w:val="-12"/>
          <w:sz w:val="28"/>
          <w:szCs w:val="28"/>
          <w:lang w:val="en-US" w:eastAsia="zh-CN"/>
        </w:rPr>
        <w:t xml:space="preserve"> </w:t>
      </w:r>
      <w:r>
        <w:rPr>
          <w:rFonts w:hint="eastAsia" w:ascii="仿宋" w:hAnsi="仿宋" w:eastAsia="仿宋" w:cs="仿宋_GB2312"/>
          <w:color w:val="000000"/>
          <w:spacing w:val="-12"/>
          <w:sz w:val="28"/>
          <w:szCs w:val="28"/>
        </w:rPr>
        <w:t>03</w:t>
      </w:r>
      <w:r>
        <w:rPr>
          <w:rFonts w:hint="eastAsia" w:ascii="仿宋" w:hAnsi="仿宋" w:eastAsia="仿宋" w:cs="仿宋_GB2312"/>
          <w:color w:val="000000"/>
          <w:spacing w:val="-12"/>
          <w:sz w:val="28"/>
          <w:szCs w:val="28"/>
          <w:lang w:val="en-US" w:eastAsia="zh-CN"/>
        </w:rPr>
        <w:t>7</w:t>
      </w:r>
      <w:r>
        <w:rPr>
          <w:rFonts w:hint="eastAsia" w:ascii="仿宋" w:hAnsi="仿宋" w:eastAsia="仿宋" w:cs="仿宋_GB2312"/>
          <w:color w:val="000000"/>
          <w:spacing w:val="-12"/>
          <w:sz w:val="28"/>
          <w:szCs w:val="28"/>
        </w:rPr>
        <w:t>号</w:t>
      </w:r>
    </w:p>
    <w:p>
      <w:pPr>
        <w:spacing w:line="440" w:lineRule="exact"/>
        <w:rPr>
          <w:rFonts w:ascii="宋体" w:hAnsi="宋体" w:cs="微软雅黑"/>
          <w:b/>
          <w:sz w:val="28"/>
          <w:szCs w:val="28"/>
        </w:rPr>
      </w:pPr>
      <w:r>
        <w:rPr>
          <w:rFonts w:ascii="楷体" w:hAnsi="楷体" w:eastAsia="楷体" w:cs="宋体"/>
          <w:color w:val="000000"/>
          <w:sz w:val="24"/>
          <w:szCs w:val="24"/>
        </w:rPr>
        <mc:AlternateContent>
          <mc:Choice Requires="wps">
            <w:drawing>
              <wp:anchor distT="0" distB="0" distL="114300" distR="114300" simplePos="0" relativeHeight="251659264" behindDoc="0" locked="0" layoutInCell="1" allowOverlap="1">
                <wp:simplePos x="0" y="0"/>
                <wp:positionH relativeFrom="margin">
                  <wp:posOffset>161925</wp:posOffset>
                </wp:positionH>
                <wp:positionV relativeFrom="paragraph">
                  <wp:posOffset>41275</wp:posOffset>
                </wp:positionV>
                <wp:extent cx="5963285" cy="0"/>
                <wp:effectExtent l="0" t="13970" r="3175" b="16510"/>
                <wp:wrapNone/>
                <wp:docPr id="3" name="直接连接符 1"/>
                <wp:cNvGraphicFramePr/>
                <a:graphic xmlns:a="http://schemas.openxmlformats.org/drawingml/2006/main">
                  <a:graphicData uri="http://schemas.microsoft.com/office/word/2010/wordprocessingShape">
                    <wps:wsp>
                      <wps:cNvCnPr/>
                      <wps:spPr>
                        <a:xfrm flipV="1">
                          <a:off x="0" y="0"/>
                          <a:ext cx="6882130" cy="1143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12.75pt;margin-top:3.25pt;height:0pt;width:469.55pt;mso-position-horizontal-relative:margin;z-index:251659264;mso-width-relative:page;mso-height-relative:page;" filled="f" stroked="t" coordsize="21600,21600" o:gfxdata="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grtT1wAAAAYBAAAPAAAAAAAAAAEAIAAAACIAAABkcnMvZG93bnJl&#10;di54bWxQSwECFAAUAAAACACHTuJAtpuKIv4BAAD1AwAADgAAAAAAAAABACAAAAAmAQAAZHJzL2Uy&#10;b0RvYy54bWxQSwUGAAAAAAYABgBZAQAAlgUAAAAA&#10;">
                <v:fill on="f" focussize="0,0"/>
                <v:stroke weight="2.25pt" color="#FF0000" joinstyle="round"/>
                <v:imagedata o:title=""/>
                <o:lock v:ext="edit" aspectratio="f"/>
              </v:line>
            </w:pict>
          </mc:Fallback>
        </mc:AlternateContent>
      </w:r>
    </w:p>
    <w:p>
      <w:pPr>
        <w:spacing w:line="400" w:lineRule="exact"/>
        <w:ind w:left="2402" w:hanging="2402" w:hangingChars="750"/>
        <w:jc w:val="center"/>
        <w:rPr>
          <w:rFonts w:ascii="华文中宋" w:hAnsi="华文中宋" w:eastAsia="华文中宋" w:cs="宋体"/>
          <w:b/>
          <w:color w:val="000000"/>
          <w:sz w:val="32"/>
          <w:szCs w:val="32"/>
        </w:rPr>
      </w:pPr>
      <w:r>
        <w:rPr>
          <w:rFonts w:hint="eastAsia" w:ascii="华文中宋" w:hAnsi="华文中宋" w:eastAsia="华文中宋" w:cs="宋体"/>
          <w:b/>
          <w:color w:val="000000"/>
          <w:sz w:val="32"/>
          <w:szCs w:val="32"/>
        </w:rPr>
        <w:t>关于举办建筑业改革背景下EPC工程总承包全过程管控重</w:t>
      </w:r>
    </w:p>
    <w:p>
      <w:pPr>
        <w:spacing w:line="400" w:lineRule="exact"/>
        <w:ind w:left="2402" w:hanging="2402" w:hangingChars="750"/>
        <w:jc w:val="center"/>
        <w:rPr>
          <w:rFonts w:ascii="华文中宋" w:hAnsi="华文中宋" w:eastAsia="华文中宋" w:cs="宋体"/>
          <w:b/>
          <w:color w:val="000000"/>
          <w:sz w:val="32"/>
          <w:szCs w:val="32"/>
        </w:rPr>
      </w:pPr>
      <w:r>
        <w:rPr>
          <w:rFonts w:hint="eastAsia" w:ascii="华文中宋" w:hAnsi="华文中宋" w:eastAsia="华文中宋" w:cs="宋体"/>
          <w:b/>
          <w:color w:val="000000"/>
          <w:sz w:val="32"/>
          <w:szCs w:val="32"/>
        </w:rPr>
        <w:t>点、难点应对与全过程工程咨询实战型高级研讨班的通知</w:t>
      </w:r>
    </w:p>
    <w:p>
      <w:pPr>
        <w:spacing w:line="300" w:lineRule="exact"/>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各有关单位：</w:t>
      </w:r>
    </w:p>
    <w:p>
      <w:pPr>
        <w:spacing w:line="300" w:lineRule="exact"/>
        <w:ind w:firstLine="700" w:firstLineChars="25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近日，住建部、工信部等九部门发布《关于加快新型建筑工业化发展的若干意见》。《意见》指出：为全面贯彻新发展理念，推动城乡建设绿色发展和高质量发展，以新型建筑工业化带动建筑业全面转型升级，打造具有国际竞争力的“中国建造”品牌。《意见》意见要求：新型建筑工业化项目积极推行工程总承包模式，促进设计、生产、施工深度融合。引导骨干企业提高项目管理、技术创新和资源配置能力，培育具有综合管理能力的工程总承包企业，落实工程总承包单位的主体责任，保障工程总承包单位的合法权益。发展全过程工程咨询。大力发展以市场需求为导向、满足委托方多样化需求的全过程工程咨询服务，培育具备勘察、设计、监理、招标代理、造价等业务能力的全过程工程咨询企业。</w:t>
      </w:r>
    </w:p>
    <w:p>
      <w:pPr>
        <w:spacing w:line="300" w:lineRule="exact"/>
        <w:ind w:firstLine="700" w:firstLineChars="250"/>
        <w:rPr>
          <w:rFonts w:ascii="仿宋" w:hAnsi="仿宋" w:eastAsia="仿宋" w:cs="微软雅黑"/>
          <w:szCs w:val="21"/>
        </w:rPr>
      </w:pPr>
      <w:r>
        <w:rPr>
          <w:rFonts w:hint="eastAsia" w:ascii="仿宋" w:hAnsi="仿宋" w:eastAsia="仿宋" w:cs="宋体"/>
          <w:snapToGrid w:val="0"/>
          <w:color w:val="000000"/>
          <w:kern w:val="20"/>
          <w:position w:val="-4"/>
          <w:sz w:val="28"/>
          <w:szCs w:val="28"/>
        </w:rPr>
        <w:t>为贯彻落实国务院办公厅《关于促进建筑业持续健康发展的意见》（国办发〔2017〕19号）关于“加快推行工程总承包；优化建筑市场环境，建立统一开放市场，加强承包履约管理，以及鼓励投资咨询、勘察、设计、监理、招标代理、造价等企业采取联合经营、并购重组等方式发展全过程工程咨询，培育一批具有国际水平的全过程工程咨询企业的要求</w:t>
      </w:r>
      <w:r>
        <w:rPr>
          <w:rFonts w:ascii="仿宋" w:hAnsi="仿宋" w:eastAsia="仿宋" w:cs="宋体"/>
          <w:snapToGrid w:val="0"/>
          <w:color w:val="000000"/>
          <w:kern w:val="20"/>
          <w:position w:val="-4"/>
          <w:sz w:val="28"/>
          <w:szCs w:val="28"/>
        </w:rPr>
        <w:t>”</w:t>
      </w:r>
      <w:r>
        <w:rPr>
          <w:rFonts w:hint="eastAsia" w:ascii="仿宋" w:hAnsi="仿宋" w:eastAsia="仿宋" w:cs="宋体"/>
          <w:snapToGrid w:val="0"/>
          <w:color w:val="000000"/>
          <w:kern w:val="20"/>
          <w:position w:val="-4"/>
          <w:sz w:val="28"/>
          <w:szCs w:val="28"/>
        </w:rPr>
        <w:t>，落实九部委</w:t>
      </w:r>
      <w:r>
        <w:rPr>
          <w:rFonts w:hint="eastAsia" w:ascii="仿宋" w:hAnsi="仿宋" w:eastAsia="仿宋"/>
          <w:color w:val="333333"/>
          <w:spacing w:val="9"/>
          <w:shd w:val="clear" w:color="auto" w:fill="FFFFFF"/>
        </w:rPr>
        <w:t>《</w:t>
      </w:r>
      <w:r>
        <w:rPr>
          <w:rFonts w:hint="eastAsia" w:ascii="仿宋" w:hAnsi="仿宋" w:eastAsia="仿宋" w:cs="宋体"/>
          <w:snapToGrid w:val="0"/>
          <w:color w:val="000000"/>
          <w:kern w:val="20"/>
          <w:position w:val="-4"/>
          <w:sz w:val="28"/>
          <w:szCs w:val="28"/>
        </w:rPr>
        <w:t>关于加快新型建筑工业化发展的若干意见》精神。帮助政府职能部门、协会、建设单位、设计单位、施工单位、监理单位、全过程项目咨询单位等相关人员学习理解EPC工程总承包系列规范、行业政策和管控方法，全面提高项目管理水平，推动工程建设领域咨询服务供给侧结构性改革，推进全过程工程咨询服务发展，培养全过程工程咨询服务人才，我会决定举办“建筑业改革背景下EPC工程总承包全过程管控重点难点应对与全过程工程咨询实战型高级研讨班”。本次培训班由中国国际工程咨询协会主办，北京市金培通信息技术有限责任公司、</w:t>
      </w:r>
      <w:r>
        <w:rPr>
          <w:rFonts w:hint="eastAsia" w:ascii="仿宋" w:hAnsi="仿宋" w:eastAsia="仿宋" w:cs="仿宋_GB2312"/>
          <w:bCs/>
          <w:color w:val="000000"/>
          <w:sz w:val="28"/>
          <w:szCs w:val="28"/>
        </w:rPr>
        <w:t>北京中科启迪教育咨询有限公司</w:t>
      </w:r>
      <w:r>
        <w:rPr>
          <w:rFonts w:hint="eastAsia" w:ascii="仿宋" w:hAnsi="仿宋" w:eastAsia="仿宋" w:cs="宋体"/>
          <w:snapToGrid w:val="0"/>
          <w:color w:val="000000"/>
          <w:kern w:val="20"/>
          <w:position w:val="-4"/>
          <w:sz w:val="28"/>
          <w:szCs w:val="28"/>
        </w:rPr>
        <w:t>承办，请各单位积极组织本单位及相关人员参加。</w:t>
      </w:r>
      <w:r>
        <w:rPr>
          <w:rFonts w:ascii="仿宋" w:hAnsi="仿宋" w:eastAsia="仿宋" w:cs="宋体"/>
          <w:snapToGrid w:val="0"/>
          <w:color w:val="000000"/>
          <w:kern w:val="20"/>
          <w:position w:val="-4"/>
          <w:sz w:val="28"/>
          <w:szCs w:val="28"/>
        </w:rPr>
        <w:t xml:space="preserve"> </w:t>
      </w:r>
      <w:r>
        <w:rPr>
          <w:rFonts w:hint="eastAsia" w:ascii="仿宋" w:hAnsi="仿宋" w:eastAsia="仿宋" w:cs="宋体"/>
          <w:snapToGrid w:val="0"/>
          <w:color w:val="000000"/>
          <w:kern w:val="20"/>
          <w:position w:val="-4"/>
          <w:sz w:val="28"/>
          <w:szCs w:val="28"/>
        </w:rPr>
        <w:t>现将有关事宜通知如下</w:t>
      </w:r>
      <w:r>
        <w:rPr>
          <w:rFonts w:hint="eastAsia" w:ascii="仿宋" w:hAnsi="仿宋" w:eastAsia="仿宋" w:cs="微软雅黑"/>
          <w:sz w:val="28"/>
          <w:szCs w:val="28"/>
        </w:rPr>
        <w:t>：</w:t>
      </w:r>
    </w:p>
    <w:p>
      <w:pPr>
        <w:spacing w:line="300" w:lineRule="exact"/>
        <w:rPr>
          <w:rFonts w:ascii="仿宋" w:hAnsi="仿宋" w:eastAsia="仿宋" w:cs="仿宋"/>
          <w:b/>
          <w:bCs/>
          <w:sz w:val="30"/>
          <w:szCs w:val="30"/>
        </w:rPr>
      </w:pPr>
      <w:r>
        <w:rPr>
          <w:rFonts w:hint="eastAsia" w:ascii="仿宋" w:hAnsi="仿宋" w:eastAsia="仿宋" w:cs="仿宋"/>
          <w:b/>
          <w:bCs/>
          <w:sz w:val="30"/>
          <w:szCs w:val="30"/>
        </w:rPr>
        <w:t>附件一.培训内容</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（一）相关最新政策解读</w:t>
      </w:r>
    </w:p>
    <w:p>
      <w:pPr>
        <w:spacing w:line="300" w:lineRule="exact"/>
        <w:ind w:firstLine="548" w:firstLineChars="196"/>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1、《房屋建筑和市政基础设施项目工程总承包管理办法》解读及应用；</w:t>
      </w:r>
    </w:p>
    <w:p>
      <w:pPr>
        <w:spacing w:line="300" w:lineRule="exact"/>
        <w:ind w:firstLine="548" w:firstLineChars="196"/>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2、住建部新版《建设项目工程总承包合同示范文本》解读及应用；</w:t>
      </w:r>
    </w:p>
    <w:p>
      <w:pPr>
        <w:spacing w:line="300" w:lineRule="exact"/>
        <w:ind w:firstLine="548" w:firstLineChars="196"/>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3、房屋建筑和市政基础设施项目工程总承包计价计量规范（征求意见稿）解读及应用；</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（二）工程总承包项目管理全流程实践</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1、国内外EPC总承包项目管理发展趋势；</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2、工程总承包主要模式适用的项目类型及特点；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3、工程总承包项目各相关方职责与工作界面；</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4、工程总承包项目管理流程及管控要点；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5、工程总承包项目决策阶段的管理（包括招标管理）；</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6、工程总承包项目启动、策划阶段管控要点；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7、工程总承包项目勘察设计阶段的管控要点；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8、工程总承包项目采购阶段的管控要点；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9、工程总承包项目施工、试运行阶段的管控要点；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10、工程总承包项目收尾及关闭、移交阶段的管理；</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11、联合体实施工程总承包的风险应对；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12、工程总承包相关问题解答</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（三）工程总承包招投标常见问题解析及法律风险管控实务</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1、项目立项可研批复阶段的工程总承包发包可否允许；</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2、必须招标项目采用工程总承包可否直接发包；</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3、工程总承包商的资质要求能否放宽；</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4、工程总承包能否采用固定总价之外的计价方式；</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5、前期设计服务企业是否可以参加工程总承包的投标；</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6、邀约与承诺在工程招投标过程中的理解与作用；</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7、子公司、分公司使用母公司资质投标法律责任认定；</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8、招标文件、投标文件、中标文件、工程合同在招投标过程中的效力的认定及法律原则；</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9、EPC项目竣工结算管控引导下的招投标策划；</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10、工程量清单错误责任归属；</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11、中标价外设置优惠条件法律效力认定；</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12、EPC项目招标案例分析。</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（四）工程总承包合同核心风险识别与防范</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1、EPC工程总承包合同的风险分配；</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2、EPC工程总承包合同及联合体合同的起草；</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3、EPC工程总承包合同条件的适用；</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4、EPC工程总承包合同的核心风险识别与防范；</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5、EPC总承包工程设计项目管理的难点；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6、工程总承包招标与投标、中标后开工前合同条款审核；</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7、合同谈判策略及风险关注要点；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8、发包、专业发包、分包阶段合同风险识别防范；</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9、EPC履约工期风险和风险控制；</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10、工程总承包（EPC）工程变更、索赔技巧与风险控制；</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11、工程总承包项目税务风险及防范措施；</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12、EPC工程总承包合同实施典型案例分析。</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（五）EPC工程索赔重点与难点应对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1、工程索赔的合法性基础；</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2、工程索赔与概算控制机制安排；</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3、可能引发索赔的十五个亮点；</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4、十六项能够佐证索赔事件发生的证据固定；</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5、构成索赔证据链关键要素；</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6、突发性索赔谈判“敞口”的运用；</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7、预案索赔设计构思；</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8、索赔额在工程结算中的运用；</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9、索赔过程中反索赔的防范关键点。</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（六）EPC工程范围确定依据</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1、“估算控概算、概算控预算”原则在EPC项目中的适用；</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2、估算价、预算价、概算价、拦标价、中标价、合同价、结算价、决算价在EPC合同体系中的作用与效力；</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3、EPC合同工程范围条款约定不明结算规则；</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4、竣工图中未反映的工程变更确定方式；</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5、EPC合同工程范围之外工程确定原则；</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6、EPC项目结算超概算部分合法性认定原则及救济方式；</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7、业主单位防范EPC总包超概算措施安排；</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8、EPC合同终止工程范围、内容界定方式与救济。</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（七）EPC工程结算要点及实践</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1、建设工程结算新规则；</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2、工程结算、期中结算、终止结算、竣工结算的区别；</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3、期中结算法律性质分析；</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4、竣工结算所涉内容界定；</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5、工程结算所依据的法律性文件甄别与把控；</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6、尚未进行工程结算，业主已经使用建筑物应对策略；</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7、挂靠人与被挂靠人之间工程款结算责任承担；</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8、多份施工合同均无效工程结算依据确定原则；</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9、“权利可以放弃、义务必须履行”司法原则在工程竣工结算中的运用。</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（八）EPC工程结算计量实务</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1、竣工图与合同清单冲突结算依据的认定；</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2、竣工图与工程现场实物不同结算依据认定；</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3、工程签证单代签法律效力的认定；</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4、工程签证单拒签的救济方法；</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5、工程量确认法律性文件梳理；</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6、工程量变更突破概算应对方式；</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7、工程变更与违约行为的区别；</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8、承包商拒绝工程变更法律安排。</w:t>
      </w:r>
    </w:p>
    <w:p>
      <w:pPr>
        <w:widowControl/>
        <w:spacing w:line="300" w:lineRule="exact"/>
        <w:rPr>
          <w:rFonts w:ascii="仿宋" w:hAnsi="仿宋" w:eastAsia="仿宋" w:cs="微软雅黑"/>
          <w:b/>
          <w:bCs/>
          <w:sz w:val="28"/>
          <w:szCs w:val="28"/>
        </w:rPr>
      </w:pPr>
      <w:r>
        <w:rPr>
          <w:rFonts w:hint="eastAsia" w:ascii="仿宋" w:hAnsi="仿宋" w:eastAsia="仿宋" w:cs="微软雅黑"/>
          <w:b/>
          <w:bCs/>
          <w:sz w:val="28"/>
          <w:szCs w:val="28"/>
        </w:rPr>
        <w:t>（九）全过程工程咨询介绍</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1、《全过程工程咨询服务管理标准》（征求意见稿）解读；</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2、全过程工程咨询的招标；</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3、全过程工程咨询的服务范围；</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4、全过程工程咨询的组织；</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5、全过程工程咨询服务管理策划；</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6、项目决策阶段的咨询服务；</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7、勘察设计阶段的咨询服务；</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8、招标采购阶段的咨询服务</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9、工程施工阶段的咨询服务；</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10、竣工验收阶段的咨询服务；</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11、项目运营维护阶段的咨询服务；</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12、全过程咨询服务的数字化管理。</w:t>
      </w:r>
    </w:p>
    <w:p>
      <w:pPr>
        <w:widowControl/>
        <w:spacing w:line="300" w:lineRule="exact"/>
        <w:rPr>
          <w:rFonts w:ascii="仿宋" w:hAnsi="仿宋" w:eastAsia="仿宋" w:cs="微软雅黑"/>
          <w:b/>
          <w:sz w:val="28"/>
          <w:szCs w:val="28"/>
        </w:rPr>
      </w:pPr>
      <w:r>
        <w:rPr>
          <w:rFonts w:hint="eastAsia" w:ascii="仿宋" w:hAnsi="仿宋" w:eastAsia="仿宋" w:cs="微软雅黑"/>
          <w:b/>
          <w:sz w:val="28"/>
          <w:szCs w:val="28"/>
        </w:rPr>
        <w:t>（十）《全过程工程咨询服务合同示范文本》（征求意见稿）解读</w:t>
      </w:r>
    </w:p>
    <w:p>
      <w:pPr>
        <w:spacing w:line="300" w:lineRule="exact"/>
        <w:ind w:firstLine="560" w:firstLineChars="200"/>
        <w:rPr>
          <w:rFonts w:ascii="仿宋" w:hAnsi="仿宋" w:eastAsia="仿宋"/>
        </w:rPr>
      </w:pPr>
      <w:r>
        <w:rPr>
          <w:rFonts w:hint="eastAsia" w:ascii="仿宋" w:hAnsi="仿宋" w:eastAsia="仿宋" w:cs="微软雅黑"/>
          <w:sz w:val="28"/>
          <w:szCs w:val="28"/>
        </w:rPr>
        <w:t>1、合同协议书主要内容：项目概况、服务范围、委托人代表与咨询项目总负责人、服务范围、服务期限及合同文件组成</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2、通用合同条件关于：一般规定、委托人、咨询人、服务要求和服务成果、进度计划、延误和暂停、服务费用和支付、变更和服务费用调整、知识产权、保险、不可抗力、违约责任、合同解除及争议解决等规定解读。</w:t>
      </w:r>
    </w:p>
    <w:p>
      <w:pPr>
        <w:widowControl/>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3、专用合同条件关于：服务要求和服务成果、进度计划、延误和暂停、服务费用和支付、变更和服务费用调整以及知识产权等有关规定。</w:t>
      </w:r>
    </w:p>
    <w:p>
      <w:pPr>
        <w:spacing w:line="300" w:lineRule="exact"/>
        <w:rPr>
          <w:rFonts w:ascii="仿宋" w:hAnsi="仿宋" w:eastAsia="仿宋" w:cs="微软雅黑"/>
          <w:szCs w:val="21"/>
        </w:rPr>
      </w:pPr>
      <w:r>
        <w:rPr>
          <w:rFonts w:hint="eastAsia" w:ascii="仿宋" w:hAnsi="仿宋" w:eastAsia="仿宋" w:cs="微软雅黑"/>
          <w:b/>
          <w:sz w:val="28"/>
          <w:szCs w:val="28"/>
        </w:rPr>
        <w:t>二、培训对象</w:t>
      </w:r>
    </w:p>
    <w:p>
      <w:pPr>
        <w:pStyle w:val="25"/>
        <w:tabs>
          <w:tab w:val="left" w:pos="4540"/>
        </w:tabs>
        <w:spacing w:line="300" w:lineRule="exact"/>
        <w:ind w:left="140" w:firstLine="560"/>
        <w:rPr>
          <w:rFonts w:ascii="仿宋" w:hAnsi="仿宋" w:eastAsia="仿宋" w:cs="微软雅黑"/>
          <w:sz w:val="28"/>
          <w:szCs w:val="28"/>
        </w:rPr>
      </w:pPr>
      <w:r>
        <w:rPr>
          <w:rFonts w:hint="eastAsia" w:ascii="仿宋" w:hAnsi="仿宋" w:eastAsia="仿宋" w:cs="微软雅黑"/>
          <w:sz w:val="28"/>
          <w:szCs w:val="28"/>
        </w:rPr>
        <w:t>各地政府建设项目监管部门、工程交易中心、投资项目评审中心；各业主单位从事项目管理、合同管理、工程项目建设、开发、审计等相关部门人员；各建筑施工企业、工程公司、总承包公司、设计院、成套设备公司、国际招标公司、设备材料供应商、律师事务所及各公司的总经理、副总经理、部门经理、项目经理、市场开发、法务专员等相关部门负责人、参与EPC项目管理的所有管理者。</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微软雅黑"/>
          <w:b/>
          <w:sz w:val="28"/>
          <w:szCs w:val="28"/>
        </w:rPr>
        <w:t>三、</w:t>
      </w:r>
      <w:r>
        <w:rPr>
          <w:rFonts w:hint="eastAsia" w:ascii="仿宋" w:hAnsi="仿宋" w:eastAsia="仿宋" w:cs="宋体"/>
          <w:b/>
          <w:snapToGrid w:val="0"/>
          <w:color w:val="000000"/>
          <w:kern w:val="20"/>
          <w:position w:val="-4"/>
          <w:sz w:val="28"/>
          <w:szCs w:val="28"/>
        </w:rPr>
        <w:t>拟邀专家</w:t>
      </w:r>
    </w:p>
    <w:p>
      <w:pPr>
        <w:spacing w:line="300" w:lineRule="exact"/>
        <w:ind w:firstLine="560" w:firstLineChars="200"/>
        <w:rPr>
          <w:rFonts w:ascii="仿宋" w:hAnsi="仿宋" w:eastAsia="仿宋" w:cs="微软雅黑"/>
          <w:sz w:val="28"/>
          <w:szCs w:val="28"/>
        </w:rPr>
      </w:pPr>
      <w:r>
        <w:rPr>
          <w:rFonts w:hint="eastAsia" w:ascii="仿宋" w:hAnsi="仿宋" w:eastAsia="仿宋" w:cs="微软雅黑"/>
          <w:sz w:val="28"/>
          <w:szCs w:val="28"/>
        </w:rPr>
        <w:t>拟邀请国家发改委、住建部、财政部财政科学研究院、清华大学、中国对外工程承包商会、大型央企高层领导及具有项目管理丰富经验的实战专家现场授课，结合经典实例分析，并进行现场答疑和互动交流。</w:t>
      </w:r>
    </w:p>
    <w:p>
      <w:pPr>
        <w:numPr>
          <w:ilvl w:val="0"/>
          <w:numId w:val="1"/>
        </w:num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时间地点</w:t>
      </w:r>
    </w:p>
    <w:p>
      <w:pPr>
        <w:spacing w:line="300" w:lineRule="exact"/>
        <w:ind w:firstLine="628" w:firstLineChars="200"/>
        <w:rPr>
          <w:rFonts w:hint="eastAsia" w:ascii="仿宋" w:hAnsi="仿宋" w:eastAsia="仿宋" w:cs="仿宋"/>
          <w:b w:val="0"/>
          <w:bCs/>
          <w:color w:val="000000" w:themeColor="text1"/>
          <w:spacing w:val="17"/>
          <w:w w:val="100"/>
          <w:sz w:val="28"/>
          <w:szCs w:val="28"/>
          <w14:textFill>
            <w14:solidFill>
              <w14:schemeClr w14:val="tx1"/>
            </w14:solidFill>
          </w14:textFill>
        </w:rPr>
      </w:pPr>
      <w:r>
        <w:rPr>
          <w:rFonts w:hint="eastAsia" w:ascii="仿宋" w:hAnsi="仿宋" w:eastAsia="仿宋" w:cs="仿宋"/>
          <w:b w:val="0"/>
          <w:bCs/>
          <w:color w:val="000000" w:themeColor="text1"/>
          <w:spacing w:val="17"/>
          <w:w w:val="100"/>
          <w:sz w:val="28"/>
          <w:szCs w:val="28"/>
          <w14:textFill>
            <w14:solidFill>
              <w14:schemeClr w14:val="tx1"/>
            </w14:solidFill>
          </w14:textFill>
        </w:rPr>
        <w:t xml:space="preserve">2021年05月28日—06月01日  </w:t>
      </w:r>
      <w:r>
        <w:rPr>
          <w:rFonts w:hint="eastAsia" w:ascii="仿宋" w:hAnsi="仿宋" w:eastAsia="仿宋" w:cs="仿宋"/>
          <w:b w:val="0"/>
          <w:bCs/>
          <w:color w:val="000000" w:themeColor="text1"/>
          <w:spacing w:val="17"/>
          <w:w w:val="100"/>
          <w:sz w:val="28"/>
          <w:szCs w:val="28"/>
          <w:lang w:val="en-US" w:eastAsia="zh-CN"/>
          <w14:textFill>
            <w14:solidFill>
              <w14:schemeClr w14:val="tx1"/>
            </w14:solidFill>
          </w14:textFill>
        </w:rPr>
        <w:t xml:space="preserve">  </w:t>
      </w:r>
      <w:r>
        <w:rPr>
          <w:rFonts w:hint="eastAsia" w:ascii="仿宋" w:hAnsi="仿宋" w:eastAsia="仿宋" w:cs="仿宋"/>
          <w:b w:val="0"/>
          <w:bCs/>
          <w:color w:val="000000" w:themeColor="text1"/>
          <w:spacing w:val="17"/>
          <w:w w:val="100"/>
          <w:sz w:val="28"/>
          <w:szCs w:val="28"/>
          <w14:textFill>
            <w14:solidFill>
              <w14:schemeClr w14:val="tx1"/>
            </w14:solidFill>
          </w14:textFill>
        </w:rPr>
        <w:t>西安市（28日全天报到）</w:t>
      </w:r>
    </w:p>
    <w:p>
      <w:pPr>
        <w:spacing w:line="300" w:lineRule="exact"/>
        <w:ind w:firstLine="628" w:firstLineChars="200"/>
        <w:rPr>
          <w:rFonts w:hint="eastAsia" w:ascii="仿宋" w:hAnsi="仿宋" w:eastAsia="仿宋" w:cs="仿宋"/>
          <w:b w:val="0"/>
          <w:bCs/>
          <w:color w:val="000000" w:themeColor="text1"/>
          <w:spacing w:val="17"/>
          <w:w w:val="100"/>
          <w:sz w:val="28"/>
          <w:szCs w:val="28"/>
          <w14:textFill>
            <w14:solidFill>
              <w14:schemeClr w14:val="tx1"/>
            </w14:solidFill>
          </w14:textFill>
        </w:rPr>
      </w:pPr>
      <w:r>
        <w:rPr>
          <w:rFonts w:hint="eastAsia" w:ascii="仿宋" w:hAnsi="仿宋" w:eastAsia="仿宋" w:cs="仿宋"/>
          <w:b w:val="0"/>
          <w:bCs/>
          <w:color w:val="000000" w:themeColor="text1"/>
          <w:spacing w:val="17"/>
          <w:w w:val="100"/>
          <w:sz w:val="28"/>
          <w:szCs w:val="28"/>
          <w14:textFill>
            <w14:solidFill>
              <w14:schemeClr w14:val="tx1"/>
            </w14:solidFill>
          </w14:textFill>
        </w:rPr>
        <w:t xml:space="preserve">2021年06月18日---06月22日  </w:t>
      </w:r>
      <w:r>
        <w:rPr>
          <w:rFonts w:hint="eastAsia" w:ascii="仿宋" w:hAnsi="仿宋" w:eastAsia="仿宋" w:cs="仿宋"/>
          <w:b w:val="0"/>
          <w:bCs/>
          <w:color w:val="000000" w:themeColor="text1"/>
          <w:spacing w:val="17"/>
          <w:w w:val="100"/>
          <w:sz w:val="28"/>
          <w:szCs w:val="28"/>
          <w:lang w:val="en-US" w:eastAsia="zh-CN"/>
          <w14:textFill>
            <w14:solidFill>
              <w14:schemeClr w14:val="tx1"/>
            </w14:solidFill>
          </w14:textFill>
        </w:rPr>
        <w:t xml:space="preserve">  </w:t>
      </w:r>
      <w:r>
        <w:rPr>
          <w:rFonts w:hint="eastAsia" w:ascii="仿宋" w:hAnsi="仿宋" w:eastAsia="仿宋" w:cs="仿宋"/>
          <w:b w:val="0"/>
          <w:bCs/>
          <w:color w:val="000000" w:themeColor="text1"/>
          <w:spacing w:val="17"/>
          <w:w w:val="100"/>
          <w:sz w:val="28"/>
          <w:szCs w:val="28"/>
          <w14:textFill>
            <w14:solidFill>
              <w14:schemeClr w14:val="tx1"/>
            </w14:solidFill>
          </w14:textFill>
        </w:rPr>
        <w:t>长沙市（18日全天报到）</w:t>
      </w:r>
    </w:p>
    <w:p>
      <w:pPr>
        <w:spacing w:line="300" w:lineRule="exact"/>
        <w:ind w:firstLine="628" w:firstLineChars="200"/>
        <w:rPr>
          <w:rFonts w:hint="eastAsia" w:ascii="仿宋" w:hAnsi="仿宋" w:eastAsia="仿宋" w:cs="仿宋"/>
          <w:b w:val="0"/>
          <w:bCs/>
          <w:color w:val="000000" w:themeColor="text1"/>
          <w:spacing w:val="17"/>
          <w:w w:val="100"/>
          <w:sz w:val="28"/>
          <w:szCs w:val="28"/>
          <w14:textFill>
            <w14:solidFill>
              <w14:schemeClr w14:val="tx1"/>
            </w14:solidFill>
          </w14:textFill>
        </w:rPr>
      </w:pPr>
      <w:r>
        <w:rPr>
          <w:rFonts w:hint="eastAsia" w:ascii="仿宋" w:hAnsi="仿宋" w:eastAsia="仿宋" w:cs="仿宋"/>
          <w:b w:val="0"/>
          <w:bCs/>
          <w:color w:val="000000" w:themeColor="text1"/>
          <w:spacing w:val="17"/>
          <w:w w:val="100"/>
          <w:sz w:val="28"/>
          <w:szCs w:val="28"/>
          <w14:textFill>
            <w14:solidFill>
              <w14:schemeClr w14:val="tx1"/>
            </w14:solidFill>
          </w14:textFill>
        </w:rPr>
        <w:t xml:space="preserve">2021年07月09日---07月13日  </w:t>
      </w:r>
      <w:r>
        <w:rPr>
          <w:rFonts w:hint="eastAsia" w:ascii="仿宋" w:hAnsi="仿宋" w:eastAsia="仿宋" w:cs="仿宋"/>
          <w:b w:val="0"/>
          <w:bCs/>
          <w:color w:val="000000" w:themeColor="text1"/>
          <w:spacing w:val="17"/>
          <w:w w:val="100"/>
          <w:sz w:val="28"/>
          <w:szCs w:val="28"/>
          <w:lang w:val="en-US" w:eastAsia="zh-CN"/>
          <w14:textFill>
            <w14:solidFill>
              <w14:schemeClr w14:val="tx1"/>
            </w14:solidFill>
          </w14:textFill>
        </w:rPr>
        <w:t xml:space="preserve">  哈尔滨</w:t>
      </w:r>
      <w:bookmarkStart w:id="0" w:name="_GoBack"/>
      <w:bookmarkEnd w:id="0"/>
      <w:r>
        <w:rPr>
          <w:rFonts w:hint="eastAsia" w:ascii="仿宋" w:hAnsi="仿宋" w:eastAsia="仿宋" w:cs="仿宋"/>
          <w:b w:val="0"/>
          <w:bCs/>
          <w:color w:val="000000" w:themeColor="text1"/>
          <w:spacing w:val="17"/>
          <w:w w:val="100"/>
          <w:sz w:val="28"/>
          <w:szCs w:val="28"/>
          <w14:textFill>
            <w14:solidFill>
              <w14:schemeClr w14:val="tx1"/>
            </w14:solidFill>
          </w14:textFill>
        </w:rPr>
        <w:t>（09日全天报到）</w:t>
      </w:r>
    </w:p>
    <w:p>
      <w:pPr>
        <w:spacing w:line="300" w:lineRule="exact"/>
        <w:ind w:firstLine="628" w:firstLineChars="200"/>
        <w:rPr>
          <w:rFonts w:hint="eastAsia" w:ascii="仿宋" w:hAnsi="仿宋" w:eastAsia="仿宋" w:cs="仿宋"/>
          <w:b w:val="0"/>
          <w:bCs/>
          <w:color w:val="000000" w:themeColor="text1"/>
          <w:spacing w:val="17"/>
          <w:w w:val="100"/>
          <w:sz w:val="28"/>
          <w:szCs w:val="28"/>
          <w14:textFill>
            <w14:solidFill>
              <w14:schemeClr w14:val="tx1"/>
            </w14:solidFill>
          </w14:textFill>
        </w:rPr>
      </w:pPr>
      <w:r>
        <w:rPr>
          <w:rFonts w:hint="eastAsia" w:ascii="仿宋" w:hAnsi="仿宋" w:eastAsia="仿宋" w:cs="仿宋"/>
          <w:b w:val="0"/>
          <w:bCs/>
          <w:color w:val="000000" w:themeColor="text1"/>
          <w:spacing w:val="17"/>
          <w:w w:val="100"/>
          <w:sz w:val="28"/>
          <w:szCs w:val="28"/>
          <w14:textFill>
            <w14:solidFill>
              <w14:schemeClr w14:val="tx1"/>
            </w14:solidFill>
          </w14:textFill>
        </w:rPr>
        <w:t xml:space="preserve">2021年07月24日---07月28日  </w:t>
      </w:r>
      <w:r>
        <w:rPr>
          <w:rFonts w:hint="eastAsia" w:ascii="仿宋" w:hAnsi="仿宋" w:eastAsia="仿宋" w:cs="仿宋"/>
          <w:b w:val="0"/>
          <w:bCs/>
          <w:color w:val="000000" w:themeColor="text1"/>
          <w:spacing w:val="17"/>
          <w:w w:val="100"/>
          <w:sz w:val="28"/>
          <w:szCs w:val="28"/>
          <w:lang w:val="en-US" w:eastAsia="zh-CN"/>
          <w14:textFill>
            <w14:solidFill>
              <w14:schemeClr w14:val="tx1"/>
            </w14:solidFill>
          </w14:textFill>
        </w:rPr>
        <w:t xml:space="preserve">  </w:t>
      </w:r>
      <w:r>
        <w:rPr>
          <w:rFonts w:hint="eastAsia" w:ascii="仿宋" w:hAnsi="仿宋" w:eastAsia="仿宋" w:cs="仿宋"/>
          <w:b w:val="0"/>
          <w:bCs/>
          <w:color w:val="000000" w:themeColor="text1"/>
          <w:spacing w:val="17"/>
          <w:w w:val="100"/>
          <w:sz w:val="28"/>
          <w:szCs w:val="28"/>
          <w14:textFill>
            <w14:solidFill>
              <w14:schemeClr w14:val="tx1"/>
            </w14:solidFill>
          </w14:textFill>
        </w:rPr>
        <w:t>贵阳市（24日全天报到）</w:t>
      </w:r>
    </w:p>
    <w:p>
      <w:pPr>
        <w:spacing w:line="300" w:lineRule="exact"/>
        <w:ind w:firstLine="628" w:firstLineChars="200"/>
        <w:rPr>
          <w:rFonts w:hint="eastAsia" w:ascii="仿宋" w:hAnsi="仿宋" w:eastAsia="仿宋" w:cs="仿宋"/>
          <w:b w:val="0"/>
          <w:bCs/>
          <w:color w:val="000000" w:themeColor="text1"/>
          <w:spacing w:val="17"/>
          <w:w w:val="100"/>
          <w:sz w:val="28"/>
          <w:szCs w:val="28"/>
          <w14:textFill>
            <w14:solidFill>
              <w14:schemeClr w14:val="tx1"/>
            </w14:solidFill>
          </w14:textFill>
        </w:rPr>
      </w:pPr>
      <w:r>
        <w:rPr>
          <w:rFonts w:hint="eastAsia" w:ascii="仿宋" w:hAnsi="仿宋" w:eastAsia="仿宋" w:cs="仿宋"/>
          <w:b w:val="0"/>
          <w:bCs/>
          <w:color w:val="000000" w:themeColor="text1"/>
          <w:spacing w:val="17"/>
          <w:w w:val="100"/>
          <w:sz w:val="28"/>
          <w:szCs w:val="28"/>
          <w14:textFill>
            <w14:solidFill>
              <w14:schemeClr w14:val="tx1"/>
            </w14:solidFill>
          </w14:textFill>
        </w:rPr>
        <w:t xml:space="preserve">2021年08月13日---08月17日  </w:t>
      </w:r>
      <w:r>
        <w:rPr>
          <w:rFonts w:hint="eastAsia" w:ascii="仿宋" w:hAnsi="仿宋" w:eastAsia="仿宋" w:cs="仿宋"/>
          <w:b w:val="0"/>
          <w:bCs/>
          <w:color w:val="000000" w:themeColor="text1"/>
          <w:spacing w:val="17"/>
          <w:w w:val="100"/>
          <w:sz w:val="28"/>
          <w:szCs w:val="28"/>
          <w:lang w:val="en-US" w:eastAsia="zh-CN"/>
          <w14:textFill>
            <w14:solidFill>
              <w14:schemeClr w14:val="tx1"/>
            </w14:solidFill>
          </w14:textFill>
        </w:rPr>
        <w:t xml:space="preserve">  </w:t>
      </w:r>
      <w:r>
        <w:rPr>
          <w:rFonts w:hint="eastAsia" w:ascii="仿宋" w:hAnsi="仿宋" w:eastAsia="仿宋" w:cs="仿宋"/>
          <w:b w:val="0"/>
          <w:bCs/>
          <w:color w:val="000000" w:themeColor="text1"/>
          <w:spacing w:val="17"/>
          <w:w w:val="100"/>
          <w:sz w:val="28"/>
          <w:szCs w:val="28"/>
          <w14:textFill>
            <w14:solidFill>
              <w14:schemeClr w14:val="tx1"/>
            </w14:solidFill>
          </w14:textFill>
        </w:rPr>
        <w:t>银川市（13日全天报到）</w:t>
      </w:r>
    </w:p>
    <w:p>
      <w:pPr>
        <w:spacing w:line="300" w:lineRule="exact"/>
        <w:ind w:firstLine="628" w:firstLineChars="200"/>
        <w:rPr>
          <w:rFonts w:hint="eastAsia" w:ascii="仿宋" w:hAnsi="仿宋" w:eastAsia="仿宋" w:cs="仿宋"/>
          <w:b w:val="0"/>
          <w:bCs/>
          <w:color w:val="000000" w:themeColor="text1"/>
          <w:spacing w:val="17"/>
          <w:w w:val="100"/>
          <w:sz w:val="28"/>
          <w:szCs w:val="28"/>
          <w14:textFill>
            <w14:solidFill>
              <w14:schemeClr w14:val="tx1"/>
            </w14:solidFill>
          </w14:textFill>
        </w:rPr>
      </w:pPr>
      <w:r>
        <w:rPr>
          <w:rFonts w:hint="eastAsia" w:ascii="仿宋" w:hAnsi="仿宋" w:eastAsia="仿宋" w:cs="仿宋"/>
          <w:b w:val="0"/>
          <w:bCs/>
          <w:color w:val="000000" w:themeColor="text1"/>
          <w:spacing w:val="17"/>
          <w:w w:val="100"/>
          <w:sz w:val="28"/>
          <w:szCs w:val="28"/>
          <w14:textFill>
            <w14:solidFill>
              <w14:schemeClr w14:val="tx1"/>
            </w14:solidFill>
          </w14:textFill>
        </w:rPr>
        <w:t xml:space="preserve">2021年08月20日---08月24日  </w:t>
      </w:r>
      <w:r>
        <w:rPr>
          <w:rFonts w:hint="eastAsia" w:ascii="仿宋" w:hAnsi="仿宋" w:eastAsia="仿宋" w:cs="仿宋"/>
          <w:b w:val="0"/>
          <w:bCs/>
          <w:color w:val="000000" w:themeColor="text1"/>
          <w:spacing w:val="17"/>
          <w:w w:val="100"/>
          <w:sz w:val="28"/>
          <w:szCs w:val="28"/>
          <w:lang w:val="en-US" w:eastAsia="zh-CN"/>
          <w14:textFill>
            <w14:solidFill>
              <w14:schemeClr w14:val="tx1"/>
            </w14:solidFill>
          </w14:textFill>
        </w:rPr>
        <w:t xml:space="preserve">  </w:t>
      </w:r>
      <w:r>
        <w:rPr>
          <w:rFonts w:hint="eastAsia" w:ascii="仿宋" w:hAnsi="仿宋" w:eastAsia="仿宋" w:cs="仿宋"/>
          <w:b w:val="0"/>
          <w:bCs/>
          <w:color w:val="000000" w:themeColor="text1"/>
          <w:spacing w:val="17"/>
          <w:w w:val="100"/>
          <w:sz w:val="28"/>
          <w:szCs w:val="28"/>
          <w14:textFill>
            <w14:solidFill>
              <w14:schemeClr w14:val="tx1"/>
            </w14:solidFill>
          </w14:textFill>
        </w:rPr>
        <w:t>青岛市（20日全天报到）</w:t>
      </w:r>
    </w:p>
    <w:p>
      <w:pPr>
        <w:spacing w:line="300" w:lineRule="exact"/>
        <w:ind w:firstLine="628" w:firstLineChars="200"/>
        <w:rPr>
          <w:rFonts w:hint="eastAsia" w:ascii="仿宋" w:hAnsi="仿宋" w:eastAsia="仿宋" w:cs="仿宋"/>
          <w:b w:val="0"/>
          <w:bCs/>
          <w:color w:val="000000" w:themeColor="text1"/>
          <w:spacing w:val="17"/>
          <w:w w:val="100"/>
          <w:sz w:val="28"/>
          <w:szCs w:val="28"/>
          <w14:textFill>
            <w14:solidFill>
              <w14:schemeClr w14:val="tx1"/>
            </w14:solidFill>
          </w14:textFill>
        </w:rPr>
      </w:pPr>
      <w:r>
        <w:rPr>
          <w:rFonts w:hint="eastAsia" w:ascii="仿宋" w:hAnsi="仿宋" w:eastAsia="仿宋" w:cs="仿宋"/>
          <w:b w:val="0"/>
          <w:bCs/>
          <w:color w:val="000000" w:themeColor="text1"/>
          <w:spacing w:val="17"/>
          <w:w w:val="100"/>
          <w:sz w:val="28"/>
          <w:szCs w:val="28"/>
          <w14:textFill>
            <w14:solidFill>
              <w14:schemeClr w14:val="tx1"/>
            </w14:solidFill>
          </w14:textFill>
        </w:rPr>
        <w:t xml:space="preserve">2021年09月10日---09月14日  </w:t>
      </w:r>
      <w:r>
        <w:rPr>
          <w:rFonts w:hint="eastAsia" w:ascii="仿宋" w:hAnsi="仿宋" w:eastAsia="仿宋" w:cs="仿宋"/>
          <w:b w:val="0"/>
          <w:bCs/>
          <w:color w:val="000000" w:themeColor="text1"/>
          <w:spacing w:val="17"/>
          <w:w w:val="100"/>
          <w:sz w:val="28"/>
          <w:szCs w:val="28"/>
          <w:lang w:val="en-US" w:eastAsia="zh-CN"/>
          <w14:textFill>
            <w14:solidFill>
              <w14:schemeClr w14:val="tx1"/>
            </w14:solidFill>
          </w14:textFill>
        </w:rPr>
        <w:t xml:space="preserve">  </w:t>
      </w:r>
      <w:r>
        <w:rPr>
          <w:rFonts w:hint="eastAsia" w:ascii="仿宋" w:hAnsi="仿宋" w:eastAsia="仿宋" w:cs="仿宋"/>
          <w:b w:val="0"/>
          <w:bCs/>
          <w:color w:val="000000" w:themeColor="text1"/>
          <w:spacing w:val="17"/>
          <w:w w:val="100"/>
          <w:sz w:val="28"/>
          <w:szCs w:val="28"/>
          <w14:textFill>
            <w14:solidFill>
              <w14:schemeClr w14:val="tx1"/>
            </w14:solidFill>
          </w14:textFill>
        </w:rPr>
        <w:t>成都市（10日全天报到）</w:t>
      </w:r>
    </w:p>
    <w:p>
      <w:pPr>
        <w:spacing w:line="300" w:lineRule="exact"/>
        <w:ind w:firstLine="628" w:firstLineChars="200"/>
        <w:rPr>
          <w:rFonts w:hint="eastAsia" w:ascii="仿宋" w:hAnsi="仿宋" w:eastAsia="仿宋" w:cs="仿宋"/>
          <w:b w:val="0"/>
          <w:bCs/>
          <w:color w:val="000000" w:themeColor="text1"/>
          <w:spacing w:val="17"/>
          <w:w w:val="100"/>
          <w:sz w:val="28"/>
          <w:szCs w:val="28"/>
          <w14:textFill>
            <w14:solidFill>
              <w14:schemeClr w14:val="tx1"/>
            </w14:solidFill>
          </w14:textFill>
        </w:rPr>
      </w:pPr>
      <w:r>
        <w:rPr>
          <w:rFonts w:hint="eastAsia" w:ascii="仿宋" w:hAnsi="仿宋" w:eastAsia="仿宋" w:cs="仿宋"/>
          <w:b w:val="0"/>
          <w:bCs/>
          <w:color w:val="000000" w:themeColor="text1"/>
          <w:spacing w:val="17"/>
          <w:w w:val="100"/>
          <w:sz w:val="28"/>
          <w:szCs w:val="28"/>
          <w14:textFill>
            <w14:solidFill>
              <w14:schemeClr w14:val="tx1"/>
            </w14:solidFill>
          </w14:textFill>
        </w:rPr>
        <w:t xml:space="preserve">2021年09月25日---09月29日  </w:t>
      </w:r>
      <w:r>
        <w:rPr>
          <w:rFonts w:hint="eastAsia" w:ascii="仿宋" w:hAnsi="仿宋" w:eastAsia="仿宋" w:cs="仿宋"/>
          <w:b w:val="0"/>
          <w:bCs/>
          <w:color w:val="000000" w:themeColor="text1"/>
          <w:spacing w:val="17"/>
          <w:w w:val="100"/>
          <w:sz w:val="28"/>
          <w:szCs w:val="28"/>
          <w:lang w:val="en-US" w:eastAsia="zh-CN"/>
          <w14:textFill>
            <w14:solidFill>
              <w14:schemeClr w14:val="tx1"/>
            </w14:solidFill>
          </w14:textFill>
        </w:rPr>
        <w:t xml:space="preserve">  </w:t>
      </w:r>
      <w:r>
        <w:rPr>
          <w:rFonts w:hint="eastAsia" w:ascii="仿宋" w:hAnsi="仿宋" w:eastAsia="仿宋" w:cs="仿宋"/>
          <w:b w:val="0"/>
          <w:bCs/>
          <w:color w:val="000000" w:themeColor="text1"/>
          <w:spacing w:val="17"/>
          <w:w w:val="100"/>
          <w:sz w:val="28"/>
          <w:szCs w:val="28"/>
          <w14:textFill>
            <w14:solidFill>
              <w14:schemeClr w14:val="tx1"/>
            </w14:solidFill>
          </w14:textFill>
        </w:rPr>
        <w:t>南京市（25日全天报到）</w:t>
      </w:r>
    </w:p>
    <w:p>
      <w:pPr>
        <w:spacing w:line="300" w:lineRule="exact"/>
        <w:ind w:firstLine="628" w:firstLineChars="200"/>
        <w:rPr>
          <w:rFonts w:hint="eastAsia" w:ascii="仿宋" w:hAnsi="仿宋" w:eastAsia="仿宋" w:cs="仿宋"/>
          <w:b w:val="0"/>
          <w:bCs/>
          <w:color w:val="000000" w:themeColor="text1"/>
          <w:spacing w:val="17"/>
          <w:w w:val="100"/>
          <w:sz w:val="28"/>
          <w:szCs w:val="28"/>
          <w14:textFill>
            <w14:solidFill>
              <w14:schemeClr w14:val="tx1"/>
            </w14:solidFill>
          </w14:textFill>
        </w:rPr>
      </w:pPr>
      <w:r>
        <w:rPr>
          <w:rFonts w:hint="eastAsia" w:ascii="仿宋" w:hAnsi="仿宋" w:eastAsia="仿宋" w:cs="仿宋"/>
          <w:b w:val="0"/>
          <w:bCs/>
          <w:color w:val="000000" w:themeColor="text1"/>
          <w:spacing w:val="17"/>
          <w:w w:val="100"/>
          <w:sz w:val="28"/>
          <w:szCs w:val="28"/>
          <w14:textFill>
            <w14:solidFill>
              <w14:schemeClr w14:val="tx1"/>
            </w14:solidFill>
          </w14:textFill>
        </w:rPr>
        <w:t xml:space="preserve">2021年10月22日---10月26日  </w:t>
      </w:r>
      <w:r>
        <w:rPr>
          <w:rFonts w:hint="eastAsia" w:ascii="仿宋" w:hAnsi="仿宋" w:eastAsia="仿宋" w:cs="仿宋"/>
          <w:b w:val="0"/>
          <w:bCs/>
          <w:color w:val="000000" w:themeColor="text1"/>
          <w:spacing w:val="17"/>
          <w:w w:val="100"/>
          <w:sz w:val="28"/>
          <w:szCs w:val="28"/>
          <w:lang w:val="en-US" w:eastAsia="zh-CN"/>
          <w14:textFill>
            <w14:solidFill>
              <w14:schemeClr w14:val="tx1"/>
            </w14:solidFill>
          </w14:textFill>
        </w:rPr>
        <w:t xml:space="preserve">  </w:t>
      </w:r>
      <w:r>
        <w:rPr>
          <w:rFonts w:hint="eastAsia" w:ascii="仿宋" w:hAnsi="仿宋" w:eastAsia="仿宋" w:cs="仿宋"/>
          <w:b w:val="0"/>
          <w:bCs/>
          <w:color w:val="000000" w:themeColor="text1"/>
          <w:spacing w:val="17"/>
          <w:w w:val="100"/>
          <w:sz w:val="28"/>
          <w:szCs w:val="28"/>
          <w14:textFill>
            <w14:solidFill>
              <w14:schemeClr w14:val="tx1"/>
            </w14:solidFill>
          </w14:textFill>
        </w:rPr>
        <w:t>珠海市（22日全天报到）</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五、收费标准</w:t>
      </w:r>
    </w:p>
    <w:p>
      <w:pPr>
        <w:spacing w:line="300" w:lineRule="exact"/>
        <w:ind w:firstLine="560" w:firstLineChars="200"/>
        <w:rPr>
          <w:rFonts w:ascii="仿宋" w:hAnsi="仿宋" w:eastAsia="仿宋" w:cs="宋体"/>
          <w:bCs/>
          <w:snapToGrid w:val="0"/>
          <w:color w:val="000000"/>
          <w:kern w:val="20"/>
          <w:position w:val="-4"/>
          <w:sz w:val="28"/>
          <w:szCs w:val="28"/>
        </w:rPr>
      </w:pPr>
      <w:r>
        <w:rPr>
          <w:rFonts w:hint="eastAsia" w:ascii="仿宋" w:hAnsi="仿宋" w:eastAsia="仿宋" w:cs="宋体"/>
          <w:bCs/>
          <w:snapToGrid w:val="0"/>
          <w:color w:val="000000"/>
          <w:kern w:val="20"/>
          <w:position w:val="-4"/>
          <w:sz w:val="28"/>
          <w:szCs w:val="28"/>
        </w:rPr>
        <w:t>A.2980元/人（含培训费、资料费、电子课件、场地、会议期间午餐），住宿统一安排，费用自理。</w:t>
      </w:r>
    </w:p>
    <w:p>
      <w:pPr>
        <w:spacing w:line="300" w:lineRule="exact"/>
        <w:ind w:firstLine="560" w:firstLineChars="200"/>
        <w:rPr>
          <w:rFonts w:ascii="仿宋" w:hAnsi="仿宋" w:eastAsia="仿宋" w:cs="宋体"/>
          <w:bCs/>
          <w:snapToGrid w:val="0"/>
          <w:color w:val="000000"/>
          <w:kern w:val="20"/>
          <w:position w:val="-4"/>
          <w:sz w:val="28"/>
          <w:szCs w:val="28"/>
        </w:rPr>
      </w:pPr>
      <w:r>
        <w:rPr>
          <w:rFonts w:hint="eastAsia" w:ascii="仿宋" w:hAnsi="仿宋" w:eastAsia="仿宋" w:cs="宋体"/>
          <w:bCs/>
          <w:snapToGrid w:val="0"/>
          <w:color w:val="000000"/>
          <w:kern w:val="20"/>
          <w:position w:val="-4"/>
          <w:sz w:val="28"/>
          <w:szCs w:val="28"/>
        </w:rPr>
        <w:t>B.3980元/人（含证书、培训费、资料费、电子课件、场地、会议期间午餐），住宿统一安排，费用自理。</w:t>
      </w:r>
    </w:p>
    <w:p>
      <w:pPr>
        <w:spacing w:line="300" w:lineRule="exact"/>
        <w:ind w:firstLine="560" w:firstLineChars="200"/>
        <w:rPr>
          <w:rFonts w:ascii="仿宋" w:hAnsi="仿宋" w:eastAsia="仿宋" w:cs="宋体"/>
          <w:bCs/>
          <w:snapToGrid w:val="0"/>
          <w:color w:val="000000"/>
          <w:kern w:val="20"/>
          <w:position w:val="-4"/>
          <w:sz w:val="28"/>
          <w:szCs w:val="28"/>
        </w:rPr>
      </w:pPr>
      <w:r>
        <w:rPr>
          <w:rFonts w:hint="eastAsia" w:ascii="仿宋" w:hAnsi="仿宋" w:eastAsia="仿宋" w:cs="宋体"/>
          <w:bCs/>
          <w:snapToGrid w:val="0"/>
          <w:color w:val="000000"/>
          <w:kern w:val="20"/>
          <w:position w:val="-4"/>
          <w:sz w:val="28"/>
          <w:szCs w:val="28"/>
        </w:rPr>
        <w:t>C.5980元/人（含证书、培训费、资料费、电子课件、场地、会议期间食宿、交流等）。</w:t>
      </w:r>
    </w:p>
    <w:p>
      <w:pPr>
        <w:spacing w:line="300" w:lineRule="exact"/>
        <w:ind w:firstLine="560" w:firstLineChars="200"/>
        <w:rPr>
          <w:rFonts w:hint="eastAsia" w:ascii="仿宋" w:hAnsi="仿宋" w:eastAsia="仿宋" w:cs="宋体"/>
          <w:bCs/>
          <w:snapToGrid w:val="0"/>
          <w:color w:val="000000"/>
          <w:kern w:val="20"/>
          <w:position w:val="-4"/>
          <w:sz w:val="28"/>
          <w:szCs w:val="28"/>
        </w:rPr>
      </w:pPr>
      <w:r>
        <w:rPr>
          <w:rFonts w:hint="eastAsia" w:ascii="仿宋" w:hAnsi="仿宋" w:eastAsia="仿宋" w:cs="宋体"/>
          <w:bCs/>
          <w:snapToGrid w:val="0"/>
          <w:color w:val="000000"/>
          <w:kern w:val="20"/>
          <w:position w:val="-4"/>
          <w:sz w:val="28"/>
          <w:szCs w:val="28"/>
        </w:rPr>
        <w:t>备注：不参加线下培训，单独参加线上培训，考试成绩合格发证书，2800元/人。证书由我会颁发“《工程总承包项目经理》、《合同经理》、《设计经理》”。证书报名材料：报名表一份、2寸照电子照片（白底免冠彩照）、身份证复印件一份、学历证书复印件一份。</w:t>
      </w:r>
    </w:p>
    <w:p>
      <w:pPr>
        <w:spacing w:line="30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六、报名办法</w:t>
      </w:r>
    </w:p>
    <w:p>
      <w:pPr>
        <w:spacing w:line="320" w:lineRule="exact"/>
        <w:ind w:firstLine="560" w:firstLineChars="20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320" w:lineRule="exact"/>
        <w:ind w:firstLine="560" w:firstLineChars="20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qq咨询：3177524020        网址查询：http://www.zqgpchina.cn/</w:t>
      </w:r>
    </w:p>
    <w:p>
      <w:pPr>
        <w:spacing w:line="300" w:lineRule="exact"/>
        <w:ind w:firstLine="560" w:firstLineChars="200"/>
        <w:rPr>
          <w:rFonts w:ascii="仿宋" w:hAnsi="仿宋" w:eastAsia="仿宋"/>
          <w:sz w:val="28"/>
          <w:szCs w:val="28"/>
        </w:rPr>
      </w:pPr>
      <w:r>
        <w:rPr>
          <w:rFonts w:hint="eastAsia" w:ascii="仿宋" w:hAnsi="仿宋" w:eastAsia="仿宋" w:cs="仿宋"/>
          <w:b/>
          <w:bCs/>
          <w:sz w:val="28"/>
          <w:szCs w:val="28"/>
        </w:rPr>
        <w:drawing>
          <wp:anchor distT="0" distB="0" distL="114300" distR="114300" simplePos="0" relativeHeight="251660288" behindDoc="0" locked="0" layoutInCell="1" allowOverlap="1">
            <wp:simplePos x="0" y="0"/>
            <wp:positionH relativeFrom="column">
              <wp:posOffset>3810635</wp:posOffset>
            </wp:positionH>
            <wp:positionV relativeFrom="paragraph">
              <wp:posOffset>154940</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spacing w:line="300" w:lineRule="exact"/>
        <w:ind w:firstLine="280" w:firstLineChars="100"/>
        <w:rPr>
          <w:rFonts w:ascii="仿宋" w:hAnsi="仿宋" w:eastAsia="仿宋" w:cs="宋体"/>
          <w:b/>
          <w:bCs/>
          <w:snapToGrid w:val="0"/>
          <w:color w:val="000000"/>
          <w:kern w:val="20"/>
          <w:position w:val="-4"/>
          <w:sz w:val="28"/>
          <w:szCs w:val="28"/>
        </w:rPr>
      </w:pPr>
      <w:r>
        <w:rPr>
          <w:rFonts w:hint="eastAsia" w:ascii="仿宋" w:hAnsi="仿宋" w:eastAsia="仿宋" w:cs="宋体"/>
          <w:b/>
          <w:bCs/>
          <w:snapToGrid w:val="0"/>
          <w:color w:val="000000"/>
          <w:kern w:val="20"/>
          <w:position w:val="-4"/>
          <w:sz w:val="28"/>
          <w:szCs w:val="28"/>
        </w:rPr>
        <w:t>附件：1.培训内容</w:t>
      </w:r>
    </w:p>
    <w:p>
      <w:pPr>
        <w:spacing w:line="300" w:lineRule="exact"/>
        <w:ind w:firstLine="1120" w:firstLineChars="4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2.报名回执表</w:t>
      </w:r>
    </w:p>
    <w:p>
      <w:pPr>
        <w:spacing w:line="300" w:lineRule="exact"/>
        <w:ind w:firstLine="560" w:firstLineChars="200"/>
        <w:rPr>
          <w:rFonts w:ascii="仿宋" w:hAnsi="仿宋" w:eastAsia="仿宋" w:cs="宋体"/>
          <w:snapToGrid w:val="0"/>
          <w:color w:val="000000"/>
          <w:kern w:val="20"/>
          <w:position w:val="-4"/>
          <w:sz w:val="28"/>
          <w:szCs w:val="28"/>
        </w:rPr>
      </w:pP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                                    中国国际工程咨询协会</w:t>
      </w:r>
    </w:p>
    <w:p>
      <w:pPr>
        <w:spacing w:line="3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                                   二〇二一年四月二十一日</w:t>
      </w:r>
    </w:p>
    <w:tbl>
      <w:tblPr>
        <w:tblStyle w:val="9"/>
        <w:tblpPr w:leftFromText="180" w:rightFromText="180" w:vertAnchor="page" w:horzAnchor="page" w:tblpX="1059" w:tblpY="2620"/>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3"/>
        <w:gridCol w:w="849"/>
        <w:gridCol w:w="1282"/>
        <w:gridCol w:w="1984"/>
        <w:gridCol w:w="157"/>
        <w:gridCol w:w="269"/>
        <w:gridCol w:w="418"/>
        <w:gridCol w:w="309"/>
        <w:gridCol w:w="541"/>
        <w:gridCol w:w="291"/>
        <w:gridCol w:w="198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1663" w:type="dxa"/>
          </w:tcPr>
          <w:p>
            <w:pPr>
              <w:spacing w:line="360" w:lineRule="exact"/>
              <w:ind w:right="-147" w:rightChars="-70"/>
              <w:jc w:val="center"/>
              <w:rPr>
                <w:rFonts w:ascii="仿宋" w:hAnsi="仿宋" w:eastAsia="仿宋"/>
                <w:sz w:val="24"/>
              </w:rPr>
            </w:pPr>
            <w:r>
              <w:rPr>
                <w:rFonts w:ascii="仿宋" w:hAnsi="仿宋" w:eastAsia="仿宋"/>
                <w:sz w:val="24"/>
              </w:rPr>
              <w:t>单位名称</w:t>
            </w:r>
          </w:p>
        </w:tc>
        <w:tc>
          <w:tcPr>
            <w:tcW w:w="4959" w:type="dxa"/>
            <w:gridSpan w:val="6"/>
          </w:tcPr>
          <w:p>
            <w:pPr>
              <w:spacing w:line="360" w:lineRule="exact"/>
              <w:ind w:right="-147" w:rightChars="-70"/>
              <w:jc w:val="center"/>
              <w:rPr>
                <w:rFonts w:ascii="仿宋" w:hAnsi="仿宋" w:eastAsia="仿宋"/>
                <w:sz w:val="24"/>
              </w:rPr>
            </w:pPr>
          </w:p>
        </w:tc>
        <w:tc>
          <w:tcPr>
            <w:tcW w:w="850" w:type="dxa"/>
            <w:gridSpan w:val="2"/>
          </w:tcPr>
          <w:p>
            <w:pPr>
              <w:spacing w:line="360" w:lineRule="exact"/>
              <w:ind w:right="-147" w:rightChars="-70"/>
              <w:rPr>
                <w:rFonts w:ascii="仿宋" w:hAnsi="仿宋" w:eastAsia="仿宋"/>
                <w:sz w:val="24"/>
              </w:rPr>
            </w:pPr>
            <w:r>
              <w:rPr>
                <w:rFonts w:ascii="仿宋" w:hAnsi="仿宋" w:eastAsia="仿宋"/>
                <w:sz w:val="24"/>
              </w:rPr>
              <w:t>邮编</w:t>
            </w:r>
          </w:p>
        </w:tc>
        <w:tc>
          <w:tcPr>
            <w:tcW w:w="2275" w:type="dxa"/>
            <w:gridSpan w:val="2"/>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trPr>
        <w:tc>
          <w:tcPr>
            <w:tcW w:w="1663" w:type="dxa"/>
          </w:tcPr>
          <w:p>
            <w:pPr>
              <w:spacing w:line="360" w:lineRule="exact"/>
              <w:ind w:right="-147" w:rightChars="-70"/>
              <w:jc w:val="center"/>
              <w:rPr>
                <w:rFonts w:ascii="仿宋" w:hAnsi="仿宋" w:eastAsia="仿宋"/>
                <w:sz w:val="24"/>
              </w:rPr>
            </w:pPr>
            <w:r>
              <w:rPr>
                <w:rFonts w:ascii="仿宋" w:hAnsi="仿宋" w:eastAsia="仿宋"/>
                <w:sz w:val="24"/>
              </w:rPr>
              <w:t>单位地址</w:t>
            </w:r>
          </w:p>
        </w:tc>
        <w:tc>
          <w:tcPr>
            <w:tcW w:w="8084" w:type="dxa"/>
            <w:gridSpan w:val="10"/>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1663" w:type="dxa"/>
          </w:tcPr>
          <w:p>
            <w:pPr>
              <w:spacing w:line="360" w:lineRule="exact"/>
              <w:ind w:right="-147" w:rightChars="-70"/>
              <w:jc w:val="center"/>
              <w:rPr>
                <w:rFonts w:ascii="仿宋" w:hAnsi="仿宋" w:eastAsia="仿宋"/>
                <w:sz w:val="24"/>
              </w:rPr>
            </w:pPr>
            <w:r>
              <w:rPr>
                <w:rFonts w:ascii="仿宋" w:hAnsi="仿宋" w:eastAsia="仿宋"/>
                <w:sz w:val="24"/>
              </w:rPr>
              <w:t>联系人</w:t>
            </w:r>
          </w:p>
        </w:tc>
        <w:tc>
          <w:tcPr>
            <w:tcW w:w="2131" w:type="dxa"/>
            <w:gridSpan w:val="2"/>
          </w:tcPr>
          <w:p>
            <w:pPr>
              <w:spacing w:line="360" w:lineRule="exact"/>
              <w:ind w:right="-147" w:rightChars="-70" w:firstLine="960"/>
              <w:rPr>
                <w:rFonts w:ascii="仿宋" w:hAnsi="仿宋" w:eastAsia="仿宋"/>
                <w:sz w:val="24"/>
              </w:rPr>
            </w:pPr>
          </w:p>
        </w:tc>
        <w:tc>
          <w:tcPr>
            <w:tcW w:w="2410" w:type="dxa"/>
            <w:gridSpan w:val="3"/>
          </w:tcPr>
          <w:p>
            <w:pPr>
              <w:spacing w:line="360" w:lineRule="exact"/>
              <w:ind w:right="-147" w:rightChars="-70"/>
              <w:jc w:val="center"/>
              <w:rPr>
                <w:rFonts w:ascii="仿宋" w:hAnsi="仿宋" w:eastAsia="仿宋"/>
                <w:sz w:val="24"/>
              </w:rPr>
            </w:pPr>
            <w:r>
              <w:rPr>
                <w:rFonts w:ascii="仿宋" w:hAnsi="仿宋" w:eastAsia="仿宋"/>
                <w:sz w:val="24"/>
              </w:rPr>
              <w:t>职位/岗位</w:t>
            </w:r>
          </w:p>
        </w:tc>
        <w:tc>
          <w:tcPr>
            <w:tcW w:w="3543" w:type="dxa"/>
            <w:gridSpan w:val="5"/>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1663" w:type="dxa"/>
          </w:tcPr>
          <w:p>
            <w:pPr>
              <w:spacing w:line="360" w:lineRule="exact"/>
              <w:ind w:right="-147" w:rightChars="-70"/>
              <w:jc w:val="center"/>
              <w:rPr>
                <w:rFonts w:ascii="仿宋" w:hAnsi="仿宋" w:eastAsia="仿宋"/>
                <w:sz w:val="24"/>
              </w:rPr>
            </w:pPr>
            <w:r>
              <w:rPr>
                <w:rFonts w:ascii="仿宋" w:hAnsi="仿宋" w:eastAsia="仿宋"/>
                <w:sz w:val="24"/>
              </w:rPr>
              <w:t>办公电话</w:t>
            </w:r>
          </w:p>
        </w:tc>
        <w:tc>
          <w:tcPr>
            <w:tcW w:w="2131" w:type="dxa"/>
            <w:gridSpan w:val="2"/>
          </w:tcPr>
          <w:p>
            <w:pPr>
              <w:spacing w:line="360" w:lineRule="exact"/>
              <w:ind w:right="-147" w:rightChars="-70"/>
              <w:rPr>
                <w:rFonts w:ascii="仿宋" w:hAnsi="仿宋" w:eastAsia="仿宋"/>
                <w:sz w:val="24"/>
              </w:rPr>
            </w:pPr>
          </w:p>
        </w:tc>
        <w:tc>
          <w:tcPr>
            <w:tcW w:w="2410" w:type="dxa"/>
            <w:gridSpan w:val="3"/>
          </w:tcPr>
          <w:p>
            <w:pPr>
              <w:spacing w:line="360" w:lineRule="exact"/>
              <w:ind w:right="-147" w:rightChars="-70"/>
              <w:jc w:val="center"/>
              <w:rPr>
                <w:rFonts w:ascii="仿宋" w:hAnsi="仿宋" w:eastAsia="仿宋"/>
                <w:sz w:val="24"/>
              </w:rPr>
            </w:pPr>
            <w:r>
              <w:rPr>
                <w:rFonts w:ascii="仿宋" w:hAnsi="仿宋" w:eastAsia="仿宋"/>
                <w:sz w:val="24"/>
              </w:rPr>
              <w:t>手    机</w:t>
            </w:r>
          </w:p>
        </w:tc>
        <w:tc>
          <w:tcPr>
            <w:tcW w:w="3543" w:type="dxa"/>
            <w:gridSpan w:val="5"/>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1663" w:type="dxa"/>
          </w:tcPr>
          <w:p>
            <w:pPr>
              <w:spacing w:line="360" w:lineRule="exact"/>
              <w:ind w:right="-147" w:rightChars="-70"/>
              <w:jc w:val="center"/>
              <w:rPr>
                <w:rFonts w:ascii="仿宋" w:hAnsi="仿宋" w:eastAsia="仿宋"/>
                <w:sz w:val="24"/>
              </w:rPr>
            </w:pPr>
            <w:r>
              <w:rPr>
                <w:rFonts w:ascii="仿宋" w:hAnsi="仿宋" w:eastAsia="仿宋"/>
                <w:sz w:val="24"/>
              </w:rPr>
              <w:t>传   真</w:t>
            </w:r>
          </w:p>
        </w:tc>
        <w:tc>
          <w:tcPr>
            <w:tcW w:w="2131" w:type="dxa"/>
            <w:gridSpan w:val="2"/>
          </w:tcPr>
          <w:p>
            <w:pPr>
              <w:spacing w:line="360" w:lineRule="exact"/>
              <w:ind w:right="-147" w:rightChars="-70"/>
              <w:rPr>
                <w:rFonts w:ascii="仿宋" w:hAnsi="仿宋" w:eastAsia="仿宋"/>
                <w:sz w:val="24"/>
              </w:rPr>
            </w:pPr>
          </w:p>
        </w:tc>
        <w:tc>
          <w:tcPr>
            <w:tcW w:w="2410" w:type="dxa"/>
            <w:gridSpan w:val="3"/>
          </w:tcPr>
          <w:p>
            <w:pPr>
              <w:spacing w:line="360" w:lineRule="exact"/>
              <w:ind w:right="-147" w:rightChars="-70"/>
              <w:jc w:val="center"/>
              <w:rPr>
                <w:rFonts w:ascii="仿宋" w:hAnsi="仿宋" w:eastAsia="仿宋"/>
                <w:sz w:val="24"/>
              </w:rPr>
            </w:pPr>
            <w:r>
              <w:rPr>
                <w:rFonts w:ascii="仿宋" w:hAnsi="仿宋" w:eastAsia="仿宋"/>
                <w:sz w:val="24"/>
              </w:rPr>
              <w:t>电子信箱</w:t>
            </w:r>
          </w:p>
        </w:tc>
        <w:tc>
          <w:tcPr>
            <w:tcW w:w="3543" w:type="dxa"/>
            <w:gridSpan w:val="5"/>
          </w:tcPr>
          <w:p>
            <w:pPr>
              <w:spacing w:line="360" w:lineRule="exact"/>
              <w:ind w:right="-147" w:rightChars="-70" w:firstLine="96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1663" w:type="dxa"/>
          </w:tcPr>
          <w:p>
            <w:pPr>
              <w:spacing w:line="360" w:lineRule="exact"/>
              <w:ind w:right="-147" w:rightChars="-70"/>
              <w:jc w:val="center"/>
              <w:rPr>
                <w:rFonts w:ascii="仿宋" w:hAnsi="仿宋" w:eastAsia="仿宋"/>
                <w:sz w:val="24"/>
              </w:rPr>
            </w:pPr>
            <w:r>
              <w:rPr>
                <w:rFonts w:ascii="仿宋" w:hAnsi="仿宋" w:eastAsia="仿宋"/>
                <w:sz w:val="24"/>
              </w:rPr>
              <w:t>参加培训人员</w:t>
            </w:r>
          </w:p>
        </w:tc>
        <w:tc>
          <w:tcPr>
            <w:tcW w:w="849" w:type="dxa"/>
          </w:tcPr>
          <w:p>
            <w:pPr>
              <w:spacing w:line="360" w:lineRule="exact"/>
              <w:ind w:right="-147" w:rightChars="-70"/>
              <w:jc w:val="center"/>
              <w:rPr>
                <w:rFonts w:ascii="仿宋" w:hAnsi="仿宋" w:eastAsia="仿宋"/>
                <w:sz w:val="24"/>
              </w:rPr>
            </w:pPr>
            <w:r>
              <w:rPr>
                <w:rFonts w:ascii="仿宋" w:hAnsi="仿宋" w:eastAsia="仿宋"/>
                <w:sz w:val="24"/>
              </w:rPr>
              <w:t>性别</w:t>
            </w:r>
          </w:p>
        </w:tc>
        <w:tc>
          <w:tcPr>
            <w:tcW w:w="1282" w:type="dxa"/>
          </w:tcPr>
          <w:p>
            <w:pPr>
              <w:spacing w:line="360" w:lineRule="exact"/>
              <w:ind w:right="-147" w:rightChars="-70"/>
              <w:jc w:val="center"/>
              <w:rPr>
                <w:rFonts w:ascii="仿宋" w:hAnsi="仿宋" w:eastAsia="仿宋"/>
                <w:sz w:val="24"/>
              </w:rPr>
            </w:pPr>
            <w:r>
              <w:rPr>
                <w:rFonts w:ascii="仿宋" w:hAnsi="仿宋" w:eastAsia="仿宋"/>
                <w:sz w:val="24"/>
              </w:rPr>
              <w:t>职务</w:t>
            </w:r>
          </w:p>
        </w:tc>
        <w:tc>
          <w:tcPr>
            <w:tcW w:w="1984" w:type="dxa"/>
          </w:tcPr>
          <w:p>
            <w:pPr>
              <w:spacing w:line="360" w:lineRule="exact"/>
              <w:ind w:right="-147" w:rightChars="-70"/>
              <w:jc w:val="center"/>
              <w:rPr>
                <w:rFonts w:ascii="仿宋" w:hAnsi="仿宋" w:eastAsia="仿宋"/>
                <w:sz w:val="24"/>
              </w:rPr>
            </w:pPr>
            <w:r>
              <w:rPr>
                <w:rFonts w:ascii="仿宋" w:hAnsi="仿宋" w:eastAsia="仿宋"/>
                <w:sz w:val="24"/>
              </w:rPr>
              <w:t>电话</w:t>
            </w:r>
          </w:p>
        </w:tc>
        <w:tc>
          <w:tcPr>
            <w:tcW w:w="1985" w:type="dxa"/>
            <w:gridSpan w:val="6"/>
          </w:tcPr>
          <w:p>
            <w:pPr>
              <w:spacing w:line="360" w:lineRule="exact"/>
              <w:ind w:right="-147" w:rightChars="-70"/>
              <w:jc w:val="center"/>
              <w:rPr>
                <w:rFonts w:ascii="仿宋" w:hAnsi="仿宋" w:eastAsia="仿宋"/>
                <w:sz w:val="24"/>
              </w:rPr>
            </w:pPr>
            <w:r>
              <w:rPr>
                <w:rFonts w:ascii="仿宋" w:hAnsi="仿宋" w:eastAsia="仿宋"/>
                <w:sz w:val="24"/>
              </w:rPr>
              <w:t>手机</w:t>
            </w:r>
          </w:p>
        </w:tc>
        <w:tc>
          <w:tcPr>
            <w:tcW w:w="1984" w:type="dxa"/>
          </w:tcPr>
          <w:p>
            <w:pPr>
              <w:spacing w:line="360" w:lineRule="exact"/>
              <w:ind w:right="-147" w:rightChars="-70"/>
              <w:jc w:val="center"/>
              <w:rPr>
                <w:rFonts w:ascii="仿宋" w:hAnsi="仿宋" w:eastAsia="仿宋"/>
                <w:sz w:val="24"/>
              </w:rPr>
            </w:pPr>
            <w:r>
              <w:rPr>
                <w:rFonts w:ascii="仿宋" w:hAnsi="仿宋" w:eastAsia="仿宋"/>
                <w:sz w:val="24"/>
              </w:rPr>
              <w:t>邮箱</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tcPr>
          <w:p>
            <w:pPr>
              <w:spacing w:line="360" w:lineRule="exact"/>
              <w:ind w:right="-147" w:rightChars="-70"/>
              <w:rPr>
                <w:rFonts w:ascii="仿宋" w:hAnsi="仿宋" w:eastAsia="仿宋"/>
                <w:sz w:val="24"/>
              </w:rPr>
            </w:pPr>
          </w:p>
        </w:tc>
        <w:tc>
          <w:tcPr>
            <w:tcW w:w="849" w:type="dxa"/>
          </w:tcPr>
          <w:p>
            <w:pPr>
              <w:spacing w:line="360" w:lineRule="exact"/>
              <w:ind w:right="-147" w:rightChars="-70"/>
              <w:rPr>
                <w:rFonts w:ascii="仿宋" w:hAnsi="仿宋" w:eastAsia="仿宋"/>
                <w:sz w:val="24"/>
              </w:rPr>
            </w:pPr>
          </w:p>
        </w:tc>
        <w:tc>
          <w:tcPr>
            <w:tcW w:w="1282" w:type="dxa"/>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c>
          <w:tcPr>
            <w:tcW w:w="1985" w:type="dxa"/>
            <w:gridSpan w:val="6"/>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tcPr>
          <w:p>
            <w:pPr>
              <w:spacing w:line="360" w:lineRule="exact"/>
              <w:ind w:right="-147" w:rightChars="-70"/>
              <w:rPr>
                <w:rFonts w:ascii="仿宋" w:hAnsi="仿宋" w:eastAsia="仿宋"/>
                <w:sz w:val="24"/>
              </w:rPr>
            </w:pPr>
          </w:p>
        </w:tc>
        <w:tc>
          <w:tcPr>
            <w:tcW w:w="849" w:type="dxa"/>
          </w:tcPr>
          <w:p>
            <w:pPr>
              <w:spacing w:line="360" w:lineRule="exact"/>
              <w:ind w:right="-147" w:rightChars="-70"/>
              <w:rPr>
                <w:rFonts w:ascii="仿宋" w:hAnsi="仿宋" w:eastAsia="仿宋"/>
                <w:sz w:val="24"/>
              </w:rPr>
            </w:pPr>
          </w:p>
        </w:tc>
        <w:tc>
          <w:tcPr>
            <w:tcW w:w="1282" w:type="dxa"/>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c>
          <w:tcPr>
            <w:tcW w:w="1985" w:type="dxa"/>
            <w:gridSpan w:val="6"/>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tcPr>
          <w:p>
            <w:pPr>
              <w:spacing w:line="360" w:lineRule="exact"/>
              <w:ind w:right="-147" w:rightChars="-70"/>
              <w:rPr>
                <w:rFonts w:ascii="仿宋" w:hAnsi="仿宋" w:eastAsia="仿宋"/>
                <w:sz w:val="24"/>
              </w:rPr>
            </w:pPr>
          </w:p>
        </w:tc>
        <w:tc>
          <w:tcPr>
            <w:tcW w:w="849" w:type="dxa"/>
          </w:tcPr>
          <w:p>
            <w:pPr>
              <w:spacing w:line="360" w:lineRule="exact"/>
              <w:ind w:right="-147" w:rightChars="-70"/>
              <w:rPr>
                <w:rFonts w:ascii="仿宋" w:hAnsi="仿宋" w:eastAsia="仿宋"/>
                <w:sz w:val="24"/>
              </w:rPr>
            </w:pPr>
          </w:p>
        </w:tc>
        <w:tc>
          <w:tcPr>
            <w:tcW w:w="1282" w:type="dxa"/>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c>
          <w:tcPr>
            <w:tcW w:w="1985" w:type="dxa"/>
            <w:gridSpan w:val="6"/>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tcPr>
          <w:p>
            <w:pPr>
              <w:spacing w:line="360" w:lineRule="exact"/>
              <w:ind w:right="-147" w:rightChars="-70"/>
              <w:rPr>
                <w:rFonts w:ascii="仿宋" w:hAnsi="仿宋" w:eastAsia="仿宋"/>
                <w:sz w:val="24"/>
              </w:rPr>
            </w:pPr>
          </w:p>
        </w:tc>
        <w:tc>
          <w:tcPr>
            <w:tcW w:w="849" w:type="dxa"/>
          </w:tcPr>
          <w:p>
            <w:pPr>
              <w:spacing w:line="360" w:lineRule="exact"/>
              <w:ind w:right="-147" w:rightChars="-70"/>
              <w:rPr>
                <w:rFonts w:ascii="仿宋" w:hAnsi="仿宋" w:eastAsia="仿宋"/>
                <w:sz w:val="24"/>
              </w:rPr>
            </w:pPr>
          </w:p>
        </w:tc>
        <w:tc>
          <w:tcPr>
            <w:tcW w:w="1282" w:type="dxa"/>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c>
          <w:tcPr>
            <w:tcW w:w="1985" w:type="dxa"/>
            <w:gridSpan w:val="6"/>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tcPr>
          <w:p>
            <w:pPr>
              <w:spacing w:line="360" w:lineRule="exact"/>
              <w:ind w:right="-147" w:rightChars="-70"/>
              <w:rPr>
                <w:rFonts w:ascii="仿宋" w:hAnsi="仿宋" w:eastAsia="仿宋"/>
                <w:sz w:val="24"/>
              </w:rPr>
            </w:pPr>
          </w:p>
        </w:tc>
        <w:tc>
          <w:tcPr>
            <w:tcW w:w="849" w:type="dxa"/>
          </w:tcPr>
          <w:p>
            <w:pPr>
              <w:spacing w:line="360" w:lineRule="exact"/>
              <w:ind w:right="-147" w:rightChars="-70"/>
              <w:rPr>
                <w:rFonts w:ascii="仿宋" w:hAnsi="仿宋" w:eastAsia="仿宋"/>
                <w:sz w:val="24"/>
              </w:rPr>
            </w:pPr>
          </w:p>
        </w:tc>
        <w:tc>
          <w:tcPr>
            <w:tcW w:w="1282" w:type="dxa"/>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c>
          <w:tcPr>
            <w:tcW w:w="1985" w:type="dxa"/>
            <w:gridSpan w:val="6"/>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tcPr>
          <w:p>
            <w:pPr>
              <w:spacing w:line="360" w:lineRule="exact"/>
              <w:ind w:right="-147" w:rightChars="-70"/>
              <w:rPr>
                <w:rFonts w:ascii="仿宋" w:hAnsi="仿宋" w:eastAsia="仿宋"/>
                <w:sz w:val="24"/>
              </w:rPr>
            </w:pPr>
          </w:p>
        </w:tc>
        <w:tc>
          <w:tcPr>
            <w:tcW w:w="849" w:type="dxa"/>
          </w:tcPr>
          <w:p>
            <w:pPr>
              <w:spacing w:line="360" w:lineRule="exact"/>
              <w:ind w:right="-147" w:rightChars="-70"/>
              <w:rPr>
                <w:rFonts w:ascii="仿宋" w:hAnsi="仿宋" w:eastAsia="仿宋"/>
                <w:sz w:val="24"/>
              </w:rPr>
            </w:pPr>
          </w:p>
        </w:tc>
        <w:tc>
          <w:tcPr>
            <w:tcW w:w="1282" w:type="dxa"/>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c>
          <w:tcPr>
            <w:tcW w:w="1985" w:type="dxa"/>
            <w:gridSpan w:val="6"/>
          </w:tcPr>
          <w:p>
            <w:pPr>
              <w:spacing w:line="360" w:lineRule="exact"/>
              <w:ind w:right="-147" w:rightChars="-70"/>
              <w:rPr>
                <w:rFonts w:ascii="仿宋" w:hAnsi="仿宋" w:eastAsia="仿宋"/>
                <w:sz w:val="24"/>
              </w:rPr>
            </w:pPr>
          </w:p>
        </w:tc>
        <w:tc>
          <w:tcPr>
            <w:tcW w:w="1984" w:type="dxa"/>
          </w:tcPr>
          <w:p>
            <w:pPr>
              <w:spacing w:line="360" w:lineRule="exact"/>
              <w:ind w:right="-147" w:rightChars="-70"/>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9" w:hRule="atLeast"/>
        </w:trPr>
        <w:tc>
          <w:tcPr>
            <w:tcW w:w="1663" w:type="dxa"/>
          </w:tcPr>
          <w:p>
            <w:pPr>
              <w:spacing w:line="360" w:lineRule="exact"/>
              <w:ind w:right="-147" w:rightChars="-70"/>
              <w:jc w:val="center"/>
              <w:rPr>
                <w:rFonts w:ascii="仿宋" w:hAnsi="仿宋" w:eastAsia="仿宋"/>
                <w:bCs/>
                <w:sz w:val="24"/>
              </w:rPr>
            </w:pPr>
            <w:r>
              <w:rPr>
                <w:rFonts w:ascii="仿宋" w:hAnsi="仿宋" w:eastAsia="仿宋"/>
                <w:bCs/>
                <w:sz w:val="24"/>
              </w:rPr>
              <w:t>是否住宿</w:t>
            </w:r>
          </w:p>
        </w:tc>
        <w:tc>
          <w:tcPr>
            <w:tcW w:w="2131" w:type="dxa"/>
            <w:gridSpan w:val="2"/>
          </w:tcPr>
          <w:p>
            <w:pPr>
              <w:widowControl/>
              <w:spacing w:line="360" w:lineRule="exact"/>
              <w:ind w:right="-147" w:rightChars="-70"/>
              <w:rPr>
                <w:rFonts w:ascii="仿宋" w:hAnsi="仿宋" w:eastAsia="仿宋"/>
                <w:sz w:val="24"/>
              </w:rPr>
            </w:pPr>
            <w:r>
              <w:rPr>
                <w:rFonts w:ascii="仿宋" w:hAnsi="仿宋" w:eastAsia="仿宋"/>
                <w:sz w:val="24"/>
              </w:rPr>
              <w:t>□是     □否</w:t>
            </w:r>
          </w:p>
        </w:tc>
        <w:tc>
          <w:tcPr>
            <w:tcW w:w="1984" w:type="dxa"/>
          </w:tcPr>
          <w:p>
            <w:pPr>
              <w:widowControl/>
              <w:spacing w:line="360" w:lineRule="exact"/>
              <w:ind w:right="-147" w:rightChars="-70" w:firstLine="240" w:firstLineChars="100"/>
              <w:rPr>
                <w:rFonts w:ascii="仿宋" w:hAnsi="仿宋" w:eastAsia="仿宋"/>
                <w:sz w:val="24"/>
              </w:rPr>
            </w:pPr>
            <w:r>
              <w:rPr>
                <w:rFonts w:ascii="仿宋" w:hAnsi="仿宋" w:eastAsia="仿宋"/>
                <w:sz w:val="24"/>
              </w:rPr>
              <w:t>住宿标准</w:t>
            </w:r>
          </w:p>
        </w:tc>
        <w:tc>
          <w:tcPr>
            <w:tcW w:w="3969" w:type="dxa"/>
            <w:gridSpan w:val="7"/>
          </w:tcPr>
          <w:p>
            <w:pPr>
              <w:widowControl/>
              <w:spacing w:line="360" w:lineRule="exact"/>
              <w:ind w:right="-147" w:rightChars="-70"/>
              <w:rPr>
                <w:rFonts w:ascii="仿宋" w:hAnsi="仿宋" w:eastAsia="仿宋"/>
              </w:rPr>
            </w:pPr>
            <w:r>
              <w:rPr>
                <w:rFonts w:ascii="仿宋" w:hAnsi="仿宋" w:eastAsia="仿宋"/>
                <w:sz w:val="24"/>
              </w:rPr>
              <w:t>□单住(需另补床位费) □合住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1" w:hRule="atLeast"/>
        </w:trPr>
        <w:tc>
          <w:tcPr>
            <w:tcW w:w="1663" w:type="dxa"/>
          </w:tcPr>
          <w:p>
            <w:pPr>
              <w:spacing w:line="360" w:lineRule="exact"/>
              <w:ind w:right="-147" w:rightChars="-70"/>
              <w:jc w:val="center"/>
              <w:rPr>
                <w:rFonts w:ascii="仿宋" w:hAnsi="仿宋" w:eastAsia="仿宋"/>
                <w:bCs/>
                <w:sz w:val="24"/>
              </w:rPr>
            </w:pPr>
            <w:r>
              <w:rPr>
                <w:rFonts w:hint="eastAsia" w:ascii="仿宋" w:hAnsi="仿宋" w:eastAsia="仿宋"/>
                <w:bCs/>
                <w:sz w:val="24"/>
              </w:rPr>
              <w:t>申报专业</w:t>
            </w:r>
          </w:p>
        </w:tc>
        <w:tc>
          <w:tcPr>
            <w:tcW w:w="8084" w:type="dxa"/>
            <w:gridSpan w:val="10"/>
          </w:tcPr>
          <w:p>
            <w:pPr>
              <w:widowControl/>
              <w:spacing w:line="360" w:lineRule="exact"/>
              <w:ind w:right="-147" w:rightChars="-70"/>
              <w:rPr>
                <w:rFonts w:ascii="仿宋" w:hAnsi="仿宋" w:eastAsia="仿宋"/>
                <w:sz w:val="24"/>
              </w:rPr>
            </w:pPr>
            <w:r>
              <w:rPr>
                <w:rFonts w:hint="eastAsia" w:ascii="仿宋" w:hAnsi="仿宋" w:eastAsia="仿宋"/>
                <w:sz w:val="24"/>
              </w:rPr>
              <w:t>工程总承包项目经理</w:t>
            </w:r>
            <w:r>
              <w:rPr>
                <w:rFonts w:ascii="仿宋" w:hAnsi="仿宋" w:eastAsia="仿宋"/>
                <w:sz w:val="24"/>
              </w:rPr>
              <w:t>□</w:t>
            </w:r>
            <w:r>
              <w:rPr>
                <w:rFonts w:hint="eastAsia" w:ascii="仿宋" w:hAnsi="仿宋" w:eastAsia="仿宋"/>
                <w:sz w:val="24"/>
              </w:rPr>
              <w:t xml:space="preserve">     合同经理</w:t>
            </w:r>
            <w:r>
              <w:rPr>
                <w:rFonts w:ascii="仿宋" w:hAnsi="仿宋" w:eastAsia="仿宋"/>
                <w:sz w:val="24"/>
              </w:rPr>
              <w:t>□</w:t>
            </w:r>
            <w:r>
              <w:rPr>
                <w:rFonts w:hint="eastAsia" w:ascii="仿宋" w:hAnsi="仿宋" w:eastAsia="仿宋"/>
                <w:sz w:val="24"/>
              </w:rPr>
              <w:t xml:space="preserve">      设计经理</w:t>
            </w:r>
            <w:r>
              <w:rPr>
                <w:rFonts w:ascii="仿宋" w:hAnsi="仿宋" w:eastAsia="仿宋"/>
                <w:sz w:val="24"/>
              </w:rPr>
              <w:t>□</w:t>
            </w:r>
            <w:r>
              <w:rPr>
                <w:rFonts w:hint="eastAsia" w:ascii="仿宋" w:hAnsi="仿宋" w:eastAsia="仿宋"/>
                <w:sz w:val="24"/>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1" w:hRule="atLeast"/>
        </w:trPr>
        <w:tc>
          <w:tcPr>
            <w:tcW w:w="1663" w:type="dxa"/>
          </w:tcPr>
          <w:p>
            <w:pPr>
              <w:spacing w:line="360" w:lineRule="exact"/>
              <w:ind w:right="-147" w:rightChars="-70"/>
              <w:jc w:val="center"/>
              <w:rPr>
                <w:rFonts w:ascii="仿宋" w:hAnsi="仿宋" w:eastAsia="仿宋"/>
                <w:bCs/>
                <w:sz w:val="24"/>
              </w:rPr>
            </w:pPr>
            <w:r>
              <w:rPr>
                <w:rFonts w:hint="eastAsia" w:ascii="仿宋" w:hAnsi="仿宋" w:eastAsia="仿宋"/>
                <w:bCs/>
                <w:sz w:val="24"/>
              </w:rPr>
              <w:t>标准选择</w:t>
            </w:r>
          </w:p>
        </w:tc>
        <w:tc>
          <w:tcPr>
            <w:tcW w:w="8084" w:type="dxa"/>
            <w:gridSpan w:val="10"/>
          </w:tcPr>
          <w:p>
            <w:pPr>
              <w:widowControl/>
              <w:spacing w:line="360" w:lineRule="exact"/>
              <w:ind w:right="-147" w:rightChars="-70"/>
              <w:rPr>
                <w:rFonts w:ascii="仿宋" w:hAnsi="仿宋" w:eastAsia="仿宋"/>
                <w:sz w:val="24"/>
              </w:rPr>
            </w:pPr>
            <w:r>
              <w:rPr>
                <w:rFonts w:hint="eastAsia" w:ascii="仿宋" w:hAnsi="仿宋" w:eastAsia="仿宋"/>
                <w:sz w:val="24"/>
              </w:rPr>
              <w:t>2980元</w:t>
            </w:r>
            <w:r>
              <w:rPr>
                <w:rFonts w:ascii="仿宋" w:hAnsi="仿宋" w:eastAsia="仿宋"/>
                <w:sz w:val="24"/>
              </w:rPr>
              <w:t>□</w:t>
            </w:r>
            <w:r>
              <w:rPr>
                <w:rFonts w:hint="eastAsia" w:ascii="仿宋" w:hAnsi="仿宋" w:eastAsia="仿宋"/>
                <w:sz w:val="24"/>
              </w:rPr>
              <w:t xml:space="preserve">             3980元</w:t>
            </w:r>
            <w:r>
              <w:rPr>
                <w:rFonts w:ascii="仿宋" w:hAnsi="仿宋" w:eastAsia="仿宋"/>
                <w:sz w:val="24"/>
              </w:rPr>
              <w:t>□</w:t>
            </w:r>
            <w:r>
              <w:rPr>
                <w:rFonts w:hint="eastAsia" w:ascii="仿宋" w:hAnsi="仿宋" w:eastAsia="仿宋"/>
                <w:sz w:val="24"/>
              </w:rPr>
              <w:t xml:space="preserve">          5980元</w:t>
            </w:r>
            <w:r>
              <w:rPr>
                <w:rFonts w:ascii="仿宋" w:hAnsi="仿宋" w:eastAsia="仿宋"/>
                <w:sz w:val="24"/>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1663" w:type="dxa"/>
          </w:tcPr>
          <w:p>
            <w:pPr>
              <w:spacing w:line="360" w:lineRule="exact"/>
              <w:ind w:right="-147" w:rightChars="-70"/>
              <w:jc w:val="center"/>
              <w:rPr>
                <w:rFonts w:ascii="仿宋" w:hAnsi="仿宋" w:eastAsia="仿宋"/>
                <w:bCs/>
                <w:sz w:val="24"/>
              </w:rPr>
            </w:pPr>
            <w:r>
              <w:rPr>
                <w:rFonts w:ascii="仿宋" w:hAnsi="仿宋" w:eastAsia="仿宋"/>
                <w:bCs/>
                <w:sz w:val="24"/>
              </w:rPr>
              <w:t>参会地点</w:t>
            </w:r>
          </w:p>
        </w:tc>
        <w:tc>
          <w:tcPr>
            <w:tcW w:w="8084" w:type="dxa"/>
            <w:gridSpan w:val="10"/>
          </w:tcPr>
          <w:p>
            <w:pPr>
              <w:spacing w:line="360" w:lineRule="exact"/>
              <w:ind w:right="-147" w:rightChars="-70" w:firstLine="240" w:firstLineChars="100"/>
              <w:jc w:val="left"/>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1663" w:type="dxa"/>
          </w:tcPr>
          <w:p>
            <w:pPr>
              <w:spacing w:line="360" w:lineRule="exact"/>
              <w:ind w:right="-147" w:rightChars="-70"/>
              <w:jc w:val="center"/>
              <w:rPr>
                <w:rFonts w:ascii="仿宋" w:hAnsi="仿宋" w:eastAsia="仿宋"/>
                <w:bCs/>
                <w:sz w:val="24"/>
              </w:rPr>
            </w:pPr>
            <w:r>
              <w:rPr>
                <w:rFonts w:ascii="仿宋" w:hAnsi="仿宋" w:eastAsia="仿宋"/>
                <w:bCs/>
                <w:sz w:val="24"/>
              </w:rPr>
              <w:t>付款方式</w:t>
            </w:r>
          </w:p>
        </w:tc>
        <w:tc>
          <w:tcPr>
            <w:tcW w:w="4272" w:type="dxa"/>
            <w:gridSpan w:val="4"/>
          </w:tcPr>
          <w:p>
            <w:pPr>
              <w:widowControl/>
              <w:spacing w:line="360" w:lineRule="exact"/>
              <w:ind w:right="-147" w:rightChars="-70"/>
              <w:jc w:val="center"/>
              <w:rPr>
                <w:rFonts w:ascii="仿宋" w:hAnsi="仿宋" w:eastAsia="仿宋"/>
                <w:sz w:val="24"/>
              </w:rPr>
            </w:pPr>
            <w:r>
              <w:rPr>
                <w:rFonts w:ascii="仿宋" w:hAnsi="仿宋" w:eastAsia="仿宋"/>
                <w:sz w:val="24"/>
              </w:rPr>
              <w:t xml:space="preserve">□通过银行     □通过网银 </w:t>
            </w:r>
          </w:p>
        </w:tc>
        <w:tc>
          <w:tcPr>
            <w:tcW w:w="996" w:type="dxa"/>
            <w:gridSpan w:val="3"/>
          </w:tcPr>
          <w:p>
            <w:pPr>
              <w:widowControl/>
              <w:spacing w:line="360" w:lineRule="exact"/>
              <w:ind w:right="-147" w:rightChars="-70"/>
              <w:jc w:val="center"/>
              <w:rPr>
                <w:rFonts w:ascii="仿宋" w:hAnsi="仿宋" w:eastAsia="仿宋"/>
                <w:sz w:val="24"/>
              </w:rPr>
            </w:pPr>
            <w:r>
              <w:rPr>
                <w:rFonts w:ascii="仿宋" w:hAnsi="仿宋" w:eastAsia="仿宋"/>
                <w:sz w:val="24"/>
              </w:rPr>
              <w:t>金额</w:t>
            </w:r>
          </w:p>
        </w:tc>
        <w:tc>
          <w:tcPr>
            <w:tcW w:w="2816" w:type="dxa"/>
            <w:gridSpan w:val="3"/>
          </w:tcPr>
          <w:p>
            <w:pPr>
              <w:widowControl/>
              <w:spacing w:line="360" w:lineRule="exact"/>
              <w:ind w:right="-147" w:rightChars="-70"/>
              <w:jc w:val="center"/>
              <w:rPr>
                <w:rFonts w:ascii="仿宋" w:hAnsi="仿宋" w:eastAsia="仿宋"/>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4" w:hRule="atLeast"/>
        </w:trPr>
        <w:tc>
          <w:tcPr>
            <w:tcW w:w="1663" w:type="dxa"/>
            <w:vAlign w:val="center"/>
          </w:tcPr>
          <w:p>
            <w:pPr>
              <w:spacing w:line="360" w:lineRule="exact"/>
              <w:ind w:right="-147" w:rightChars="-70"/>
              <w:jc w:val="center"/>
              <w:rPr>
                <w:rFonts w:ascii="仿宋" w:hAnsi="仿宋" w:eastAsia="仿宋"/>
                <w:sz w:val="24"/>
              </w:rPr>
            </w:pPr>
            <w:r>
              <w:rPr>
                <w:rFonts w:ascii="仿宋" w:hAnsi="仿宋" w:eastAsia="仿宋"/>
                <w:bCs/>
                <w:sz w:val="24"/>
              </w:rPr>
              <w:t>指定收款帐户</w:t>
            </w:r>
          </w:p>
        </w:tc>
        <w:tc>
          <w:tcPr>
            <w:tcW w:w="8084" w:type="dxa"/>
            <w:gridSpan w:val="10"/>
            <w:vAlign w:val="center"/>
          </w:tcPr>
          <w:p>
            <w:pPr>
              <w:spacing w:line="300" w:lineRule="exact"/>
              <w:rPr>
                <w:rFonts w:ascii="仿宋" w:hAnsi="仿宋" w:eastAsia="仿宋" w:cs="仿宋"/>
                <w:sz w:val="24"/>
              </w:rPr>
            </w:pPr>
            <w:r>
              <w:rPr>
                <w:rFonts w:hint="eastAsia" w:ascii="仿宋" w:hAnsi="仿宋" w:eastAsia="仿宋" w:cs="仿宋"/>
                <w:sz w:val="24"/>
              </w:rPr>
              <w:t>单位名称：</w:t>
            </w:r>
            <w:r>
              <w:rPr>
                <w:rFonts w:hint="eastAsia" w:ascii="宋体" w:hAnsi="宋体" w:eastAsia="宋体" w:cs="宋体"/>
                <w:color w:val="000000"/>
                <w:kern w:val="0"/>
                <w:sz w:val="22"/>
                <w:lang w:val="en-US" w:eastAsia="zh-CN"/>
              </w:rPr>
              <w:t>北京中建科信科技服务有限公司</w:t>
            </w:r>
            <w:r>
              <w:rPr>
                <w:rFonts w:hint="eastAsia" w:ascii="仿宋" w:hAnsi="仿宋" w:eastAsia="仿宋" w:cs="仿宋"/>
                <w:sz w:val="24"/>
              </w:rPr>
              <w:t xml:space="preserve"> </w:t>
            </w:r>
          </w:p>
          <w:p>
            <w:pPr>
              <w:spacing w:line="300" w:lineRule="exact"/>
              <w:rPr>
                <w:rFonts w:ascii="仿宋" w:hAnsi="仿宋" w:eastAsia="仿宋" w:cs="仿宋"/>
                <w:sz w:val="24"/>
              </w:rPr>
            </w:pPr>
            <w:r>
              <w:rPr>
                <w:rFonts w:hint="eastAsia" w:ascii="仿宋" w:hAnsi="仿宋" w:eastAsia="仿宋" w:cs="仿宋"/>
                <w:sz w:val="24"/>
              </w:rPr>
              <w:t>开 户 行：</w:t>
            </w:r>
            <w:r>
              <w:rPr>
                <w:rFonts w:hint="eastAsia" w:ascii="宋体" w:hAnsi="宋体" w:eastAsia="宋体" w:cs="宋体"/>
                <w:color w:val="000000"/>
                <w:kern w:val="0"/>
                <w:sz w:val="22"/>
                <w:lang w:val="en-US" w:eastAsia="zh-CN"/>
              </w:rPr>
              <w:t>中国工商银行股份有限公司北京公主坟支行</w:t>
            </w:r>
            <w:r>
              <w:rPr>
                <w:rFonts w:hint="eastAsia" w:ascii="仿宋" w:hAnsi="仿宋" w:eastAsia="仿宋" w:cs="仿宋"/>
                <w:sz w:val="24"/>
              </w:rPr>
              <w:t xml:space="preserve"> </w:t>
            </w:r>
          </w:p>
          <w:p>
            <w:pPr>
              <w:spacing w:line="300" w:lineRule="exact"/>
              <w:rPr>
                <w:rFonts w:hint="eastAsia" w:ascii="宋体" w:hAnsi="宋体" w:eastAsia="宋体" w:cs="宋体"/>
                <w:color w:val="000000"/>
                <w:kern w:val="0"/>
                <w:sz w:val="22"/>
                <w:lang w:val="en-US" w:eastAsia="zh-CN"/>
              </w:rPr>
            </w:pPr>
            <w:r>
              <w:rPr>
                <w:rFonts w:hint="eastAsia" w:ascii="仿宋" w:hAnsi="仿宋" w:eastAsia="仿宋" w:cs="仿宋"/>
                <w:sz w:val="24"/>
              </w:rPr>
              <w:t xml:space="preserve">账    号： </w:t>
            </w:r>
            <w:r>
              <w:rPr>
                <w:rFonts w:hint="eastAsia" w:ascii="宋体" w:hAnsi="宋体" w:eastAsia="宋体" w:cs="宋体"/>
                <w:color w:val="000000"/>
                <w:kern w:val="0"/>
                <w:sz w:val="22"/>
                <w:lang w:val="en-US" w:eastAsia="zh-CN"/>
              </w:rPr>
              <w:t>0200004609200585085</w:t>
            </w:r>
          </w:p>
          <w:p>
            <w:pPr>
              <w:spacing w:line="360" w:lineRule="exact"/>
              <w:ind w:right="-147" w:rightChars="-70"/>
              <w:rPr>
                <w:rFonts w:ascii="仿宋" w:hAnsi="仿宋" w:eastAsia="仿宋"/>
                <w:bCs/>
                <w:sz w:val="28"/>
                <w:szCs w:val="28"/>
              </w:rPr>
            </w:pPr>
            <w:r>
              <w:rPr>
                <w:rFonts w:hint="eastAsia" w:ascii="宋体" w:hAnsi="宋体" w:cs="宋体"/>
                <w:color w:val="000000"/>
                <w:kern w:val="0"/>
                <w:sz w:val="22"/>
                <w:lang w:val="en-US" w:eastAsia="zh-CN"/>
              </w:rPr>
              <w:t>行    号：</w:t>
            </w:r>
            <w:r>
              <w:rPr>
                <w:rFonts w:hint="eastAsia" w:ascii="宋体" w:hAnsi="宋体" w:eastAsia="宋体" w:cs="宋体"/>
                <w:color w:val="000000"/>
                <w:kern w:val="0"/>
                <w:sz w:val="22"/>
                <w:lang w:val="en-US" w:eastAsia="zh-CN"/>
              </w:rPr>
              <w:t>102100000466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96" w:hRule="atLeast"/>
        </w:trPr>
        <w:tc>
          <w:tcPr>
            <w:tcW w:w="1663" w:type="dxa"/>
          </w:tcPr>
          <w:p>
            <w:pPr>
              <w:spacing w:line="360" w:lineRule="exact"/>
              <w:ind w:right="-147" w:rightChars="-70"/>
              <w:jc w:val="center"/>
              <w:rPr>
                <w:rFonts w:ascii="仿宋" w:hAnsi="仿宋" w:eastAsia="仿宋"/>
                <w:b/>
                <w:bCs/>
                <w:sz w:val="24"/>
              </w:rPr>
            </w:pPr>
            <w:r>
              <w:rPr>
                <w:rFonts w:ascii="仿宋" w:hAnsi="仿宋" w:eastAsia="仿宋"/>
                <w:sz w:val="24"/>
              </w:rPr>
              <w:t>备注</w:t>
            </w:r>
          </w:p>
        </w:tc>
        <w:tc>
          <w:tcPr>
            <w:tcW w:w="4541" w:type="dxa"/>
            <w:gridSpan w:val="5"/>
          </w:tcPr>
          <w:p>
            <w:pPr>
              <w:spacing w:line="360" w:lineRule="exact"/>
              <w:ind w:right="-147" w:rightChars="-70"/>
              <w:rPr>
                <w:rFonts w:ascii="仿宋" w:hAnsi="仿宋" w:eastAsia="仿宋"/>
                <w:sz w:val="24"/>
              </w:rPr>
            </w:pPr>
            <w:r>
              <w:rPr>
                <w:rFonts w:ascii="仿宋" w:hAnsi="仿宋" w:eastAsia="仿宋"/>
                <w:sz w:val="24"/>
              </w:rPr>
              <w:tab/>
            </w:r>
            <w:r>
              <w:rPr>
                <w:rFonts w:ascii="仿宋" w:hAnsi="仿宋" w:eastAsia="仿宋"/>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543" w:type="dxa"/>
            <w:gridSpan w:val="5"/>
          </w:tcPr>
          <w:p>
            <w:pPr>
              <w:spacing w:line="360" w:lineRule="exact"/>
              <w:ind w:right="-147" w:rightChars="-70" w:firstLine="720" w:firstLineChars="300"/>
              <w:rPr>
                <w:rFonts w:ascii="仿宋" w:hAnsi="仿宋" w:eastAsia="仿宋"/>
                <w:sz w:val="24"/>
              </w:rPr>
            </w:pPr>
            <w:r>
              <w:rPr>
                <w:rFonts w:ascii="仿宋" w:hAnsi="仿宋" w:eastAsia="仿宋"/>
                <w:sz w:val="24"/>
              </w:rPr>
              <w:t>单位印章</w:t>
            </w:r>
          </w:p>
          <w:p>
            <w:pPr>
              <w:spacing w:line="360" w:lineRule="exact"/>
              <w:ind w:right="-147" w:rightChars="-70" w:firstLine="240" w:firstLineChars="100"/>
              <w:rPr>
                <w:rFonts w:ascii="仿宋" w:hAnsi="仿宋" w:eastAsia="仿宋"/>
                <w:sz w:val="24"/>
              </w:rPr>
            </w:pPr>
            <w:r>
              <w:rPr>
                <w:rFonts w:ascii="仿宋" w:hAnsi="仿宋" w:eastAsia="仿宋"/>
                <w:sz w:val="24"/>
              </w:rPr>
              <w:t>二</w:t>
            </w:r>
            <w:r>
              <w:rPr>
                <w:rFonts w:hint="eastAsia" w:ascii="仿宋" w:hAnsi="仿宋" w:eastAsia="仿宋"/>
                <w:sz w:val="24"/>
              </w:rPr>
              <w:t>〇二一</w:t>
            </w:r>
            <w:r>
              <w:rPr>
                <w:rFonts w:ascii="仿宋" w:hAnsi="仿宋" w:eastAsia="仿宋"/>
                <w:sz w:val="24"/>
              </w:rPr>
              <w:t>年  月  日</w:t>
            </w:r>
          </w:p>
        </w:tc>
      </w:tr>
    </w:tbl>
    <w:p>
      <w:pPr>
        <w:spacing w:line="400" w:lineRule="exact"/>
        <w:ind w:left="2409" w:hanging="2401" w:hangingChars="750"/>
        <w:rPr>
          <w:rFonts w:ascii="仿宋" w:hAnsi="仿宋" w:eastAsia="仿宋" w:cs="宋体"/>
          <w:b/>
          <w:color w:val="000000"/>
          <w:sz w:val="32"/>
          <w:szCs w:val="32"/>
        </w:rPr>
      </w:pPr>
      <w:r>
        <w:rPr>
          <w:rFonts w:hint="eastAsia" w:ascii="仿宋" w:hAnsi="仿宋" w:eastAsia="仿宋" w:cs="宋体"/>
          <w:b/>
          <w:color w:val="000000"/>
          <w:sz w:val="32"/>
          <w:szCs w:val="32"/>
        </w:rPr>
        <w:t>附件：建筑业改革背景下EPC工程总承包全过程管控重点难点应对与全过程工程咨询实战型高级研讨班报名表</w:t>
      </w:r>
    </w:p>
    <w:p>
      <w:pPr>
        <w:spacing w:line="400" w:lineRule="exact"/>
        <w:ind w:left="2409" w:hanging="2401" w:hangingChars="750"/>
        <w:rPr>
          <w:rFonts w:ascii="仿宋" w:hAnsi="仿宋" w:eastAsia="仿宋" w:cs="宋体"/>
          <w:b/>
          <w:color w:val="000000"/>
          <w:sz w:val="32"/>
          <w:szCs w:val="32"/>
        </w:rPr>
      </w:pPr>
    </w:p>
    <w:p>
      <w:pPr>
        <w:spacing w:line="480" w:lineRule="exact"/>
        <w:ind w:firstLine="280" w:firstLineChars="10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480" w:lineRule="exact"/>
        <w:ind w:firstLine="280" w:firstLineChars="10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480" w:lineRule="exact"/>
        <w:ind w:firstLine="280" w:firstLineChars="100"/>
        <w:rPr>
          <w:rFonts w:ascii="仿宋" w:hAnsi="仿宋" w:eastAsia="仿宋"/>
          <w:sz w:val="28"/>
          <w:szCs w:val="28"/>
        </w:rPr>
      </w:pPr>
      <w:r>
        <w:rPr>
          <w:rFonts w:hint="eastAsia" w:ascii="仿宋" w:hAnsi="仿宋" w:eastAsia="仿宋"/>
          <w:sz w:val="28"/>
          <w:szCs w:val="28"/>
        </w:rPr>
        <w:t>qq咨询：3177524020        网址查询：http://www.zqgpchina.cn/</w:t>
      </w:r>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A00002EF" w:usb1="4000004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fldChar w:fldCharType="begin"/>
    </w:r>
    <w:r>
      <w:rPr>
        <w:rStyle w:val="12"/>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9343D"/>
    <w:multiLevelType w:val="singleLevel"/>
    <w:tmpl w:val="A849343D"/>
    <w:lvl w:ilvl="0" w:tentative="0">
      <w:start w:val="4"/>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5819"/>
    <w:rsid w:val="00230AE3"/>
    <w:rsid w:val="00234E9A"/>
    <w:rsid w:val="002357DF"/>
    <w:rsid w:val="0024122B"/>
    <w:rsid w:val="00241A59"/>
    <w:rsid w:val="002444B6"/>
    <w:rsid w:val="002471A4"/>
    <w:rsid w:val="00247D5E"/>
    <w:rsid w:val="0026584B"/>
    <w:rsid w:val="00275A79"/>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E6A11"/>
    <w:rsid w:val="007E718B"/>
    <w:rsid w:val="007F36BB"/>
    <w:rsid w:val="007F3B2D"/>
    <w:rsid w:val="007F44ED"/>
    <w:rsid w:val="008010A9"/>
    <w:rsid w:val="008026F7"/>
    <w:rsid w:val="008032AD"/>
    <w:rsid w:val="00804016"/>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4503"/>
    <w:rsid w:val="00D872BC"/>
    <w:rsid w:val="00D92D20"/>
    <w:rsid w:val="00D97E05"/>
    <w:rsid w:val="00DA1B44"/>
    <w:rsid w:val="00DB26FC"/>
    <w:rsid w:val="00DE11B4"/>
    <w:rsid w:val="00DE1236"/>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26054A7"/>
    <w:rsid w:val="029D7E0E"/>
    <w:rsid w:val="02C408FD"/>
    <w:rsid w:val="032F4101"/>
    <w:rsid w:val="0386068D"/>
    <w:rsid w:val="038A10A3"/>
    <w:rsid w:val="039C6F92"/>
    <w:rsid w:val="04487934"/>
    <w:rsid w:val="04540AED"/>
    <w:rsid w:val="048243D7"/>
    <w:rsid w:val="04AF2D6A"/>
    <w:rsid w:val="05A96AB9"/>
    <w:rsid w:val="06250D8E"/>
    <w:rsid w:val="06391792"/>
    <w:rsid w:val="069112B1"/>
    <w:rsid w:val="06A51757"/>
    <w:rsid w:val="06BE08D3"/>
    <w:rsid w:val="06E93649"/>
    <w:rsid w:val="07545E0D"/>
    <w:rsid w:val="07BE65C9"/>
    <w:rsid w:val="080A04AA"/>
    <w:rsid w:val="08672E2F"/>
    <w:rsid w:val="089671CE"/>
    <w:rsid w:val="090E5A20"/>
    <w:rsid w:val="0937401C"/>
    <w:rsid w:val="096711B6"/>
    <w:rsid w:val="09916381"/>
    <w:rsid w:val="0B4A62F6"/>
    <w:rsid w:val="0B613480"/>
    <w:rsid w:val="0BBD709D"/>
    <w:rsid w:val="0BF55298"/>
    <w:rsid w:val="0C892991"/>
    <w:rsid w:val="0D5B517E"/>
    <w:rsid w:val="0D821721"/>
    <w:rsid w:val="0D827406"/>
    <w:rsid w:val="0E2C2521"/>
    <w:rsid w:val="0E31529C"/>
    <w:rsid w:val="0F5D3AD7"/>
    <w:rsid w:val="0FB373C2"/>
    <w:rsid w:val="10003167"/>
    <w:rsid w:val="1041456A"/>
    <w:rsid w:val="10EA107C"/>
    <w:rsid w:val="10F4167B"/>
    <w:rsid w:val="111605D9"/>
    <w:rsid w:val="111B440F"/>
    <w:rsid w:val="1120595E"/>
    <w:rsid w:val="112C5508"/>
    <w:rsid w:val="115A4FAB"/>
    <w:rsid w:val="11DE69DD"/>
    <w:rsid w:val="11FD174D"/>
    <w:rsid w:val="12AD718F"/>
    <w:rsid w:val="12B61FEA"/>
    <w:rsid w:val="130F2055"/>
    <w:rsid w:val="13283191"/>
    <w:rsid w:val="134A3C15"/>
    <w:rsid w:val="13FC4E27"/>
    <w:rsid w:val="148E5DF8"/>
    <w:rsid w:val="161A45DE"/>
    <w:rsid w:val="16CE17BE"/>
    <w:rsid w:val="16EA2A6A"/>
    <w:rsid w:val="16F80569"/>
    <w:rsid w:val="17140C26"/>
    <w:rsid w:val="17F424AD"/>
    <w:rsid w:val="18A42CA0"/>
    <w:rsid w:val="18EE1564"/>
    <w:rsid w:val="19435793"/>
    <w:rsid w:val="19771EDF"/>
    <w:rsid w:val="19CD675B"/>
    <w:rsid w:val="19E4542B"/>
    <w:rsid w:val="19E74118"/>
    <w:rsid w:val="1A422706"/>
    <w:rsid w:val="1AB25031"/>
    <w:rsid w:val="1AE939B8"/>
    <w:rsid w:val="1B15334C"/>
    <w:rsid w:val="1B5A41CD"/>
    <w:rsid w:val="1B7376B4"/>
    <w:rsid w:val="1D070E95"/>
    <w:rsid w:val="1D125A13"/>
    <w:rsid w:val="1D2A548F"/>
    <w:rsid w:val="1D9B0042"/>
    <w:rsid w:val="1DF0590F"/>
    <w:rsid w:val="1E7000A9"/>
    <w:rsid w:val="1E7E1343"/>
    <w:rsid w:val="1EB2462D"/>
    <w:rsid w:val="1ED316C4"/>
    <w:rsid w:val="1F18457B"/>
    <w:rsid w:val="1FAB251C"/>
    <w:rsid w:val="1FC71F3D"/>
    <w:rsid w:val="20FC6AF6"/>
    <w:rsid w:val="20FE28AF"/>
    <w:rsid w:val="2186585E"/>
    <w:rsid w:val="21A53261"/>
    <w:rsid w:val="21B829B1"/>
    <w:rsid w:val="21CE131A"/>
    <w:rsid w:val="23962806"/>
    <w:rsid w:val="23E81CBE"/>
    <w:rsid w:val="24314B90"/>
    <w:rsid w:val="24DC3957"/>
    <w:rsid w:val="24EF05CB"/>
    <w:rsid w:val="251233D5"/>
    <w:rsid w:val="256E19BE"/>
    <w:rsid w:val="25876083"/>
    <w:rsid w:val="26626FE6"/>
    <w:rsid w:val="26C04997"/>
    <w:rsid w:val="270C53C6"/>
    <w:rsid w:val="27FD3EE7"/>
    <w:rsid w:val="283A066B"/>
    <w:rsid w:val="287A7468"/>
    <w:rsid w:val="289555AD"/>
    <w:rsid w:val="29016B29"/>
    <w:rsid w:val="2913394C"/>
    <w:rsid w:val="294C71F8"/>
    <w:rsid w:val="294E0CE7"/>
    <w:rsid w:val="29704A9E"/>
    <w:rsid w:val="2985625A"/>
    <w:rsid w:val="29A50E6A"/>
    <w:rsid w:val="2A240791"/>
    <w:rsid w:val="2A93577C"/>
    <w:rsid w:val="2AC22611"/>
    <w:rsid w:val="2AEB1D70"/>
    <w:rsid w:val="2BD925D7"/>
    <w:rsid w:val="2BDE2C88"/>
    <w:rsid w:val="2C044BF3"/>
    <w:rsid w:val="2C5F31F7"/>
    <w:rsid w:val="2C9D2DF8"/>
    <w:rsid w:val="2CF94A29"/>
    <w:rsid w:val="2D5312DF"/>
    <w:rsid w:val="2D896D0C"/>
    <w:rsid w:val="2DC62D1E"/>
    <w:rsid w:val="2E3D1ACA"/>
    <w:rsid w:val="2E6B579D"/>
    <w:rsid w:val="309472A4"/>
    <w:rsid w:val="318A4283"/>
    <w:rsid w:val="32026033"/>
    <w:rsid w:val="32994C24"/>
    <w:rsid w:val="32C450D5"/>
    <w:rsid w:val="335D5DA9"/>
    <w:rsid w:val="33AA0E82"/>
    <w:rsid w:val="33C11557"/>
    <w:rsid w:val="35BF7EF1"/>
    <w:rsid w:val="36375C62"/>
    <w:rsid w:val="36417CF8"/>
    <w:rsid w:val="36725439"/>
    <w:rsid w:val="36B61B60"/>
    <w:rsid w:val="36D840B5"/>
    <w:rsid w:val="36E75057"/>
    <w:rsid w:val="37875F11"/>
    <w:rsid w:val="37A24A6E"/>
    <w:rsid w:val="381B3A7D"/>
    <w:rsid w:val="396709C4"/>
    <w:rsid w:val="39936674"/>
    <w:rsid w:val="39D361B3"/>
    <w:rsid w:val="3A247B94"/>
    <w:rsid w:val="3A413D5A"/>
    <w:rsid w:val="3AD36C38"/>
    <w:rsid w:val="3B3118D6"/>
    <w:rsid w:val="3B3403C3"/>
    <w:rsid w:val="3B5F264D"/>
    <w:rsid w:val="3B72400B"/>
    <w:rsid w:val="3C1918F2"/>
    <w:rsid w:val="3C3F44FF"/>
    <w:rsid w:val="3D477772"/>
    <w:rsid w:val="3DAD65CC"/>
    <w:rsid w:val="3E276C01"/>
    <w:rsid w:val="3EC67AC6"/>
    <w:rsid w:val="3F384684"/>
    <w:rsid w:val="3FE864ED"/>
    <w:rsid w:val="41786E1E"/>
    <w:rsid w:val="41C02E47"/>
    <w:rsid w:val="41C62049"/>
    <w:rsid w:val="41EF4EBE"/>
    <w:rsid w:val="41F32C74"/>
    <w:rsid w:val="42225FD9"/>
    <w:rsid w:val="423C570B"/>
    <w:rsid w:val="42615FC5"/>
    <w:rsid w:val="42967E42"/>
    <w:rsid w:val="42A7059E"/>
    <w:rsid w:val="42FF3043"/>
    <w:rsid w:val="432A1040"/>
    <w:rsid w:val="437C2ED6"/>
    <w:rsid w:val="439C63DF"/>
    <w:rsid w:val="43ED5A13"/>
    <w:rsid w:val="446626BD"/>
    <w:rsid w:val="44BE07D9"/>
    <w:rsid w:val="451611F6"/>
    <w:rsid w:val="458B37CA"/>
    <w:rsid w:val="458C7C18"/>
    <w:rsid w:val="46054094"/>
    <w:rsid w:val="481B35A5"/>
    <w:rsid w:val="484C1017"/>
    <w:rsid w:val="487724AD"/>
    <w:rsid w:val="48C360B2"/>
    <w:rsid w:val="48C57DA4"/>
    <w:rsid w:val="48E20B9B"/>
    <w:rsid w:val="4A755C0A"/>
    <w:rsid w:val="4AAE60E5"/>
    <w:rsid w:val="4B594EE9"/>
    <w:rsid w:val="4B612A39"/>
    <w:rsid w:val="4C5F36B2"/>
    <w:rsid w:val="4C6B3BAA"/>
    <w:rsid w:val="4C775D6C"/>
    <w:rsid w:val="4CF571BA"/>
    <w:rsid w:val="4D0535CC"/>
    <w:rsid w:val="4D144664"/>
    <w:rsid w:val="4D4C0170"/>
    <w:rsid w:val="4D6934B5"/>
    <w:rsid w:val="4E177262"/>
    <w:rsid w:val="4E1A0B05"/>
    <w:rsid w:val="4F49629E"/>
    <w:rsid w:val="4F8D0383"/>
    <w:rsid w:val="4FAB639E"/>
    <w:rsid w:val="4FDD49BC"/>
    <w:rsid w:val="4FF421B4"/>
    <w:rsid w:val="50A02524"/>
    <w:rsid w:val="50F87E96"/>
    <w:rsid w:val="51215B18"/>
    <w:rsid w:val="51C147EA"/>
    <w:rsid w:val="51EC1214"/>
    <w:rsid w:val="51F162B2"/>
    <w:rsid w:val="52036AFF"/>
    <w:rsid w:val="52286541"/>
    <w:rsid w:val="52A15CC9"/>
    <w:rsid w:val="54101469"/>
    <w:rsid w:val="54367BA8"/>
    <w:rsid w:val="548C494D"/>
    <w:rsid w:val="54CF74C2"/>
    <w:rsid w:val="54E82E0F"/>
    <w:rsid w:val="5577615B"/>
    <w:rsid w:val="56BA3299"/>
    <w:rsid w:val="57585BA4"/>
    <w:rsid w:val="581229F6"/>
    <w:rsid w:val="595841FF"/>
    <w:rsid w:val="59637CEE"/>
    <w:rsid w:val="59BD7460"/>
    <w:rsid w:val="5A231AE8"/>
    <w:rsid w:val="5A2C4116"/>
    <w:rsid w:val="5A324F4B"/>
    <w:rsid w:val="5AA20D9D"/>
    <w:rsid w:val="5AEA0E1C"/>
    <w:rsid w:val="5B3C509D"/>
    <w:rsid w:val="5B8F6EE2"/>
    <w:rsid w:val="5C1C7CF1"/>
    <w:rsid w:val="5C5E0FBE"/>
    <w:rsid w:val="5D92142E"/>
    <w:rsid w:val="5DAC2C7F"/>
    <w:rsid w:val="5DEB7A0C"/>
    <w:rsid w:val="5E0E5FE6"/>
    <w:rsid w:val="5E236C50"/>
    <w:rsid w:val="5E887102"/>
    <w:rsid w:val="5E9152CB"/>
    <w:rsid w:val="5F1E43C2"/>
    <w:rsid w:val="5F416193"/>
    <w:rsid w:val="5F856924"/>
    <w:rsid w:val="5FCD2175"/>
    <w:rsid w:val="606C5CFF"/>
    <w:rsid w:val="60E15E4B"/>
    <w:rsid w:val="613414D3"/>
    <w:rsid w:val="6151530B"/>
    <w:rsid w:val="61AD75F0"/>
    <w:rsid w:val="61D342E4"/>
    <w:rsid w:val="61E07B86"/>
    <w:rsid w:val="61F213C0"/>
    <w:rsid w:val="627774A4"/>
    <w:rsid w:val="631E3504"/>
    <w:rsid w:val="63DB71A1"/>
    <w:rsid w:val="64503C1C"/>
    <w:rsid w:val="646A1129"/>
    <w:rsid w:val="64895786"/>
    <w:rsid w:val="65303BEA"/>
    <w:rsid w:val="653F1202"/>
    <w:rsid w:val="6556312C"/>
    <w:rsid w:val="65F523A6"/>
    <w:rsid w:val="66AA3B93"/>
    <w:rsid w:val="67074059"/>
    <w:rsid w:val="677C64E9"/>
    <w:rsid w:val="68013273"/>
    <w:rsid w:val="68062FC8"/>
    <w:rsid w:val="68766A33"/>
    <w:rsid w:val="68C47B1D"/>
    <w:rsid w:val="69892233"/>
    <w:rsid w:val="6AB24EDF"/>
    <w:rsid w:val="6BC77D72"/>
    <w:rsid w:val="6BFA1A7B"/>
    <w:rsid w:val="6CA466E7"/>
    <w:rsid w:val="6CC56367"/>
    <w:rsid w:val="6D394F0C"/>
    <w:rsid w:val="6E7828AC"/>
    <w:rsid w:val="6E854B40"/>
    <w:rsid w:val="6EF717BC"/>
    <w:rsid w:val="6EFE35A8"/>
    <w:rsid w:val="6F2351BC"/>
    <w:rsid w:val="700F7661"/>
    <w:rsid w:val="703656F9"/>
    <w:rsid w:val="70DB06CC"/>
    <w:rsid w:val="710A5F9F"/>
    <w:rsid w:val="710F48B3"/>
    <w:rsid w:val="71827032"/>
    <w:rsid w:val="726F450B"/>
    <w:rsid w:val="72894E6B"/>
    <w:rsid w:val="735943ED"/>
    <w:rsid w:val="74494D92"/>
    <w:rsid w:val="748C3F03"/>
    <w:rsid w:val="75016E65"/>
    <w:rsid w:val="75406B41"/>
    <w:rsid w:val="75F279D6"/>
    <w:rsid w:val="767C1E15"/>
    <w:rsid w:val="77396FDF"/>
    <w:rsid w:val="778E4E74"/>
    <w:rsid w:val="77F4090C"/>
    <w:rsid w:val="780C7113"/>
    <w:rsid w:val="78895C14"/>
    <w:rsid w:val="78CF75F0"/>
    <w:rsid w:val="79CE5F86"/>
    <w:rsid w:val="7AEE204F"/>
    <w:rsid w:val="7B7C2350"/>
    <w:rsid w:val="7CBD38D4"/>
    <w:rsid w:val="7CD461AB"/>
    <w:rsid w:val="7D4F01BC"/>
    <w:rsid w:val="7D5738C4"/>
    <w:rsid w:val="7D7C73BB"/>
    <w:rsid w:val="7DE70A55"/>
    <w:rsid w:val="7E601571"/>
    <w:rsid w:val="7EC73710"/>
    <w:rsid w:val="7F00280E"/>
    <w:rsid w:val="7F413D0D"/>
    <w:rsid w:val="7F432B09"/>
    <w:rsid w:val="7F492E9C"/>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locked/>
    <w:uiPriority w:val="0"/>
    <w:pPr>
      <w:keepNext/>
      <w:jc w:val="center"/>
      <w:outlineLvl w:val="0"/>
    </w:pPr>
    <w:rPr>
      <w:rFonts w:eastAsia="楷体_GB2312"/>
      <w:sz w:val="28"/>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68"/>
    </w:pPr>
    <w:rPr>
      <w:sz w:val="32"/>
      <w:szCs w:val="32"/>
    </w:rPr>
  </w:style>
  <w:style w:type="paragraph" w:styleId="4">
    <w:name w:val="footer"/>
    <w:basedOn w:val="1"/>
    <w:link w:val="14"/>
    <w:semiHidden/>
    <w:qFormat/>
    <w:uiPriority w:val="0"/>
    <w:pPr>
      <w:tabs>
        <w:tab w:val="center" w:pos="4153"/>
        <w:tab w:val="right" w:pos="8306"/>
      </w:tabs>
      <w:snapToGrid w:val="0"/>
      <w:jc w:val="left"/>
    </w:pPr>
    <w:rPr>
      <w:kern w:val="0"/>
      <w:sz w:val="18"/>
      <w:szCs w:val="18"/>
    </w:rPr>
  </w:style>
  <w:style w:type="paragraph" w:styleId="5">
    <w:name w:val="header"/>
    <w:basedOn w:val="1"/>
    <w:link w:val="15"/>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link w:val="16"/>
    <w:qFormat/>
    <w:uiPriority w:val="0"/>
    <w:pPr>
      <w:overflowPunct w:val="0"/>
      <w:autoSpaceDE w:val="0"/>
      <w:autoSpaceDN w:val="0"/>
      <w:jc w:val="center"/>
    </w:pPr>
    <w:rPr>
      <w:rFonts w:ascii="华文中宋" w:hAnsi="宋体" w:eastAsia="华文中宋"/>
      <w:b/>
      <w:kern w:val="0"/>
      <w:sz w:val="36"/>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17"/>
    <w:qFormat/>
    <w:locked/>
    <w:uiPriority w:val="0"/>
    <w:pPr>
      <w:spacing w:before="240" w:after="60"/>
      <w:jc w:val="center"/>
      <w:outlineLvl w:val="0"/>
    </w:pPr>
    <w:rPr>
      <w:rFonts w:ascii="Cambria" w:hAnsi="Cambria"/>
      <w:b/>
      <w:bCs/>
      <w:sz w:val="32"/>
      <w:szCs w:val="32"/>
    </w:rPr>
  </w:style>
  <w:style w:type="character" w:styleId="11">
    <w:name w:val="Strong"/>
    <w:qFormat/>
    <w:locked/>
    <w:uiPriority w:val="99"/>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页脚 Char"/>
    <w:link w:val="4"/>
    <w:semiHidden/>
    <w:qFormat/>
    <w:locked/>
    <w:uiPriority w:val="0"/>
    <w:rPr>
      <w:rFonts w:cs="Times New Roman"/>
      <w:sz w:val="18"/>
      <w:szCs w:val="18"/>
    </w:rPr>
  </w:style>
  <w:style w:type="character" w:customStyle="1" w:styleId="15">
    <w:name w:val="页眉 Char"/>
    <w:link w:val="5"/>
    <w:semiHidden/>
    <w:qFormat/>
    <w:locked/>
    <w:uiPriority w:val="0"/>
    <w:rPr>
      <w:rFonts w:cs="Times New Roman"/>
      <w:sz w:val="18"/>
      <w:szCs w:val="18"/>
    </w:rPr>
  </w:style>
  <w:style w:type="character" w:customStyle="1" w:styleId="16">
    <w:name w:val="正文文本 2 Char"/>
    <w:link w:val="6"/>
    <w:qFormat/>
    <w:uiPriority w:val="0"/>
    <w:rPr>
      <w:rFonts w:ascii="华文中宋" w:hAnsi="宋体" w:eastAsia="华文中宋"/>
      <w:b/>
      <w:sz w:val="36"/>
      <w:szCs w:val="32"/>
    </w:rPr>
  </w:style>
  <w:style w:type="character" w:customStyle="1" w:styleId="17">
    <w:name w:val="标题 Char"/>
    <w:link w:val="8"/>
    <w:qFormat/>
    <w:uiPriority w:val="0"/>
    <w:rPr>
      <w:rFonts w:ascii="Cambria" w:hAnsi="Cambria" w:cs="Times New Roman"/>
      <w:b/>
      <w:bCs/>
      <w:kern w:val="2"/>
      <w:sz w:val="32"/>
      <w:szCs w:val="32"/>
    </w:rPr>
  </w:style>
  <w:style w:type="character" w:customStyle="1" w:styleId="18">
    <w:name w:val="正文文本 2 Char1"/>
    <w:qFormat/>
    <w:uiPriority w:val="0"/>
    <w:rPr>
      <w:kern w:val="2"/>
      <w:sz w:val="21"/>
      <w:szCs w:val="22"/>
    </w:rPr>
  </w:style>
  <w:style w:type="paragraph" w:customStyle="1" w:styleId="19">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0">
    <w:name w:val="列出段落1"/>
    <w:basedOn w:val="1"/>
    <w:qFormat/>
    <w:uiPriority w:val="34"/>
    <w:pPr>
      <w:spacing w:line="360" w:lineRule="auto"/>
      <w:ind w:firstLine="420" w:firstLineChars="200"/>
    </w:p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Char Char Char Char Char Char Char"/>
    <w:basedOn w:val="1"/>
    <w:qFormat/>
    <w:uiPriority w:val="0"/>
    <w:pPr>
      <w:widowControl/>
      <w:spacing w:line="240" w:lineRule="exact"/>
      <w:jc w:val="left"/>
    </w:pPr>
  </w:style>
  <w:style w:type="paragraph" w:customStyle="1" w:styleId="24">
    <w:name w:val="List Paragraph1"/>
    <w:basedOn w:val="1"/>
    <w:qFormat/>
    <w:uiPriority w:val="0"/>
    <w:pPr>
      <w:ind w:firstLine="420" w:firstLineChars="200"/>
    </w:pPr>
  </w:style>
  <w:style w:type="paragraph" w:styleId="25">
    <w:name w:val="List Paragraph"/>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5</Pages>
  <Words>685</Words>
  <Characters>3908</Characters>
  <Lines>32</Lines>
  <Paragraphs>9</Paragraphs>
  <TotalTime>7</TotalTime>
  <ScaleCrop>false</ScaleCrop>
  <LinksUpToDate>false</LinksUpToDate>
  <CharactersWithSpaces>4584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Administrator</cp:lastModifiedBy>
  <cp:lastPrinted>2019-12-04T11:52:00Z</cp:lastPrinted>
  <dcterms:modified xsi:type="dcterms:W3CDTF">2021-05-18T09:25:22Z</dcterms:modified>
  <dc:title>EPC工程总承包专题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1D8A5CDDEC1C49368989A6BEBB6F3E39</vt:lpwstr>
  </property>
</Properties>
</file>