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宋体" w:hAnsi="宋体"/>
          <w:b/>
          <w:color w:val="FF0000"/>
          <w:sz w:val="84"/>
          <w:szCs w:val="84"/>
        </w:rPr>
      </w:pPr>
      <w:r>
        <w:rPr>
          <w:rFonts w:hint="eastAsia" w:ascii="宋体" w:hAnsi="宋体"/>
          <w:b/>
          <w:color w:val="FF0000"/>
          <w:sz w:val="84"/>
          <w:szCs w:val="84"/>
        </w:rPr>
        <w:t>中国国际工程咨询协会</w:t>
      </w:r>
    </w:p>
    <w:p>
      <w:pPr>
        <w:adjustRightInd w:val="0"/>
        <w:snapToGrid w:val="0"/>
        <w:spacing w:line="300" w:lineRule="exact"/>
        <w:jc w:val="center"/>
        <w:rPr>
          <w:rFonts w:ascii="宋体" w:hAnsi="宋体"/>
          <w:color w:val="000000"/>
          <w:spacing w:val="-12"/>
          <w:sz w:val="28"/>
          <w:szCs w:val="28"/>
        </w:rPr>
      </w:pPr>
    </w:p>
    <w:p>
      <w:pPr>
        <w:adjustRightInd w:val="0"/>
        <w:snapToGrid w:val="0"/>
        <w:spacing w:line="300" w:lineRule="exact"/>
        <w:jc w:val="center"/>
        <w:rPr>
          <w:rFonts w:ascii="宋体" w:hAnsi="宋体"/>
          <w:color w:val="000000"/>
          <w:spacing w:val="-12"/>
          <w:sz w:val="28"/>
          <w:szCs w:val="28"/>
        </w:rPr>
      </w:pPr>
      <w:r>
        <w:rPr>
          <w:rFonts w:hint="eastAsia" w:ascii="宋体" w:hAnsi="宋体"/>
          <w:color w:val="000000"/>
          <w:spacing w:val="-12"/>
          <w:sz w:val="28"/>
          <w:szCs w:val="28"/>
        </w:rPr>
        <w:t xml:space="preserve">  国咨协[2021]</w:t>
      </w:r>
      <w:r>
        <w:rPr>
          <w:rFonts w:hint="eastAsia" w:ascii="宋体" w:hAnsi="宋体"/>
          <w:color w:val="000000"/>
          <w:spacing w:val="-12"/>
          <w:sz w:val="28"/>
          <w:szCs w:val="28"/>
          <w:lang w:val="en-US" w:eastAsia="zh-CN"/>
        </w:rPr>
        <w:t xml:space="preserve"> </w:t>
      </w:r>
      <w:r>
        <w:rPr>
          <w:rFonts w:hint="eastAsia" w:ascii="宋体" w:hAnsi="宋体"/>
          <w:color w:val="000000"/>
          <w:spacing w:val="-12"/>
          <w:sz w:val="28"/>
          <w:szCs w:val="28"/>
        </w:rPr>
        <w:t>03</w:t>
      </w:r>
      <w:r>
        <w:rPr>
          <w:rFonts w:hint="eastAsia" w:ascii="宋体" w:hAnsi="宋体"/>
          <w:color w:val="000000"/>
          <w:spacing w:val="-12"/>
          <w:sz w:val="28"/>
          <w:szCs w:val="28"/>
          <w:lang w:val="en-US" w:eastAsia="zh-CN"/>
        </w:rPr>
        <w:t>3</w:t>
      </w:r>
      <w:r>
        <w:rPr>
          <w:rFonts w:hint="eastAsia" w:ascii="宋体" w:hAnsi="宋体"/>
          <w:color w:val="000000"/>
          <w:spacing w:val="-12"/>
          <w:sz w:val="28"/>
          <w:szCs w:val="28"/>
        </w:rPr>
        <w:t>号</w:t>
      </w:r>
    </w:p>
    <w:p>
      <w:pPr>
        <w:spacing w:line="440" w:lineRule="exact"/>
        <w:jc w:val="center"/>
        <w:rPr>
          <w:rFonts w:ascii="宋体" w:hAnsi="宋体"/>
          <w:color w:val="000000"/>
          <w:kern w:val="0"/>
          <w:sz w:val="32"/>
          <w:szCs w:val="32"/>
        </w:rPr>
      </w:pPr>
      <w:r>
        <w:rPr>
          <w:rFonts w:ascii="宋体" w:hAnsi="宋体"/>
          <w:b/>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57785</wp:posOffset>
                </wp:positionV>
                <wp:extent cx="6164580" cy="2540"/>
                <wp:effectExtent l="0" t="13970" r="0"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5pt;margin-top:4.55pt;height:0.2pt;width:485.4pt;z-index:251660288;mso-width-relative:page;mso-height-relative:page;" filled="f" stroked="t" coordsize="21600,21600" o:gfxdata="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NLWvWAAAABgEAAA8AAAAAAAAAAQAgAAAAIgAAAGRycy9kb3ducmV2LnhtbFBL&#10;AQIUABQAAAAIAIdO4kDWNC7z+AEAAMcDAAAOAAAAAAAAAAEAIAAAACUBAABkcnMvZTJvRG9jLnht&#10;bFBLBQYAAAAABgAGAFkBAACPBQAAAAA=&#10;">
                <v:fill on="f" focussize="0,0"/>
                <v:stroke weight="2.25pt" color="#FF0000" joinstyle="round"/>
                <v:imagedata o:title=""/>
                <o:lock v:ext="edit" aspectratio="f"/>
              </v:line>
            </w:pict>
          </mc:Fallback>
        </mc:AlternateContent>
      </w:r>
    </w:p>
    <w:p>
      <w:pPr>
        <w:spacing w:line="400" w:lineRule="exact"/>
        <w:jc w:val="center"/>
        <w:rPr>
          <w:rFonts w:ascii="华文中宋" w:hAnsi="华文中宋" w:eastAsia="华文中宋"/>
          <w:b/>
          <w:sz w:val="32"/>
        </w:rPr>
      </w:pPr>
      <w:r>
        <w:rPr>
          <w:rFonts w:hint="eastAsia" w:ascii="华文中宋" w:hAnsi="华文中宋" w:eastAsia="华文中宋" w:cs="黑体"/>
          <w:b/>
          <w:sz w:val="32"/>
          <w:szCs w:val="32"/>
        </w:rPr>
        <w:t>关于举办《民法典.工程合同司法解释一》详解与</w:t>
      </w:r>
      <w:r>
        <w:rPr>
          <w:rFonts w:ascii="华文中宋" w:hAnsi="华文中宋" w:eastAsia="华文中宋"/>
          <w:b/>
          <w:sz w:val="32"/>
        </w:rPr>
        <w:t>新版《建设项目工程总承包合同（示范文本）》下EPC工程总承包项目全过程实战及工程索赔重点、</w:t>
      </w:r>
      <w:r>
        <w:rPr>
          <w:rFonts w:hint="eastAsia" w:ascii="华文中宋" w:hAnsi="华文中宋" w:eastAsia="华文中宋"/>
          <w:b/>
          <w:sz w:val="32"/>
        </w:rPr>
        <w:t>难点应对与风险防范</w:t>
      </w:r>
      <w:r>
        <w:rPr>
          <w:rFonts w:ascii="华文中宋" w:hAnsi="华文中宋" w:eastAsia="华文中宋"/>
          <w:b/>
          <w:sz w:val="32"/>
        </w:rPr>
        <w:t>”</w:t>
      </w:r>
      <w:r>
        <w:rPr>
          <w:rFonts w:hint="eastAsia" w:ascii="华文中宋" w:hAnsi="华文中宋" w:eastAsia="华文中宋" w:cs="黑体"/>
          <w:b/>
          <w:sz w:val="32"/>
          <w:szCs w:val="32"/>
        </w:rPr>
        <w:t>高级培训班的通知</w:t>
      </w:r>
    </w:p>
    <w:p>
      <w:pPr>
        <w:spacing w:line="280" w:lineRule="exact"/>
        <w:jc w:val="left"/>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各有关单位</w:t>
      </w:r>
      <w:r>
        <w:rPr>
          <w:rFonts w:ascii="仿宋" w:hAnsi="仿宋" w:eastAsia="仿宋" w:cs="仿宋_GB2312"/>
          <w:b/>
          <w:bCs/>
          <w:color w:val="000000"/>
          <w:sz w:val="28"/>
          <w:szCs w:val="28"/>
        </w:rPr>
        <w:t>:</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《中华人民共和国民法典》已于2021年1月1日起正式实施。《民法典》对于</w:t>
      </w:r>
      <w:r>
        <w:rPr>
          <w:rFonts w:ascii="仿宋" w:hAnsi="仿宋" w:eastAsia="仿宋" w:cs="仿宋_GB2312"/>
          <w:bCs/>
          <w:color w:val="000000"/>
          <w:sz w:val="28"/>
          <w:szCs w:val="28"/>
        </w:rPr>
        <w:t>建设工程的发包、承包、分包</w:t>
      </w:r>
      <w:r>
        <w:rPr>
          <w:rFonts w:hint="eastAsia" w:ascii="仿宋" w:hAnsi="仿宋" w:eastAsia="仿宋" w:cs="仿宋_GB2312"/>
          <w:bCs/>
          <w:color w:val="000000"/>
          <w:sz w:val="28"/>
          <w:szCs w:val="28"/>
        </w:rPr>
        <w:t>、 “情势变更” 及对建设工程合同效力的认定和价款纠纷的解决做了详细规定。民法典出台将对建设工程领域产生重要的影响。标志着我国民事权利保护将进入全新的“法典化时代”。《民法典》的实施必将促进我国建筑业市场的健康发展，为建设工程项目的实施提供坚强的法律和制度保障。</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最高人民法院关于审理建设工程施工合同纠纷案件适用法律问题的解释（一）》已于2020年12月25日由最高人民法院审判委员会第1825次会议通过，现予公布，自2021年1月1日起施行（原司法解释一、二作废）。为正确审理建设工程施工合同纠纷案件，依法保护当事人合法权益，维护建筑市场秩序，促进建筑市场健康发展。</w:t>
      </w:r>
      <w:r>
        <w:rPr>
          <w:rFonts w:hint="eastAsia" w:ascii="仿宋" w:hAnsi="仿宋" w:eastAsia="仿宋"/>
          <w:snapToGrid w:val="0"/>
          <w:color w:val="000000"/>
          <w:kern w:val="20"/>
          <w:position w:val="-4"/>
          <w:sz w:val="28"/>
          <w:szCs w:val="28"/>
        </w:rPr>
        <w:t>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进行了修订，制定了《建设项目工程总承包合同（示范文本）》（GF-2020-0216），自2021年1月1日起执行。</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为帮助各有关单位深入理解《民法典》实施后对我国建设工程领域的影响，深入学习《最高人民法院关于审理建设工程施工合同纠纷案件适用法律问题的解释（一）》及</w:t>
      </w:r>
      <w:r>
        <w:rPr>
          <w:rFonts w:hint="eastAsia" w:ascii="仿宋" w:hAnsi="仿宋" w:eastAsia="仿宋"/>
          <w:snapToGrid w:val="0"/>
          <w:color w:val="000000"/>
          <w:kern w:val="20"/>
          <w:position w:val="-4"/>
          <w:sz w:val="28"/>
          <w:szCs w:val="28"/>
        </w:rPr>
        <w:t>《建设项目工程总承包合同（示范文本）》（GF-2020-0216）</w:t>
      </w:r>
      <w:r>
        <w:rPr>
          <w:rFonts w:hint="eastAsia" w:ascii="仿宋" w:hAnsi="仿宋" w:eastAsia="仿宋" w:cs="仿宋_GB2312"/>
          <w:bCs/>
          <w:color w:val="000000"/>
          <w:sz w:val="28"/>
          <w:szCs w:val="28"/>
        </w:rPr>
        <w:t>，针对新政策下建设工程项目的梳理、工程过程的索赔与反索赔、提高项目管理水平。我会决定举办 “《民法典.工程合同司法解释一》详解与</w:t>
      </w:r>
      <w:r>
        <w:rPr>
          <w:rFonts w:ascii="仿宋" w:hAnsi="仿宋" w:eastAsia="仿宋" w:cs="仿宋_GB2312"/>
          <w:bCs/>
          <w:color w:val="000000"/>
          <w:sz w:val="28"/>
          <w:szCs w:val="28"/>
        </w:rPr>
        <w:t>新版《建设项目工程总承包合同（示范文本）》下EPC工程总承包项目全过程实战及工程索赔重点、</w:t>
      </w:r>
      <w:r>
        <w:rPr>
          <w:rFonts w:hint="eastAsia" w:ascii="仿宋" w:hAnsi="仿宋" w:eastAsia="仿宋" w:cs="仿宋_GB2312"/>
          <w:bCs/>
          <w:color w:val="000000"/>
          <w:sz w:val="28"/>
          <w:szCs w:val="28"/>
        </w:rPr>
        <w:t>难点应对与风险防范高级培训班”。</w:t>
      </w:r>
    </w:p>
    <w:p>
      <w:pPr>
        <w:spacing w:line="280" w:lineRule="exact"/>
        <w:ind w:firstLine="560" w:firstLineChars="200"/>
        <w:rPr>
          <w:rFonts w:ascii="仿宋" w:hAnsi="仿宋" w:eastAsia="仿宋" w:cs="仿宋_GB2312"/>
          <w:b/>
          <w:bCs/>
          <w:color w:val="000000"/>
          <w:sz w:val="28"/>
          <w:szCs w:val="28"/>
        </w:rPr>
      </w:pPr>
      <w:r>
        <w:rPr>
          <w:rFonts w:hint="eastAsia" w:ascii="仿宋" w:hAnsi="仿宋" w:eastAsia="仿宋" w:cs="仿宋_GB2312"/>
          <w:bCs/>
          <w:color w:val="000000"/>
          <w:sz w:val="28"/>
          <w:szCs w:val="28"/>
        </w:rPr>
        <w:t>本次培训班由中国国际工程咨询协会主办，北京市金培通信息技术有限责任公司、北京中科启迪教育咨询有限公司具体承办。请各单位积极组织本单位及相关人员参加。现将有关事宜通知如下：</w:t>
      </w:r>
    </w:p>
    <w:p>
      <w:pPr>
        <w:tabs>
          <w:tab w:val="left" w:pos="567"/>
          <w:tab w:val="left" w:pos="709"/>
        </w:tabs>
        <w:spacing w:line="280" w:lineRule="exact"/>
        <w:textAlignment w:val="baseline"/>
        <w:outlineLvl w:val="0"/>
        <w:rPr>
          <w:rFonts w:ascii="仿宋" w:hAnsi="仿宋" w:eastAsia="仿宋" w:cs="黑体"/>
          <w:b/>
          <w:bCs/>
          <w:color w:val="000000"/>
          <w:sz w:val="28"/>
          <w:szCs w:val="28"/>
        </w:rPr>
      </w:pPr>
    </w:p>
    <w:p>
      <w:pPr>
        <w:tabs>
          <w:tab w:val="left" w:pos="567"/>
          <w:tab w:val="left" w:pos="709"/>
        </w:tabs>
        <w:spacing w:line="280" w:lineRule="exact"/>
        <w:textAlignment w:val="baseline"/>
        <w:outlineLvl w:val="0"/>
        <w:rPr>
          <w:rFonts w:ascii="仿宋" w:hAnsi="仿宋" w:eastAsia="仿宋" w:cs="黑体"/>
          <w:b/>
          <w:bCs/>
          <w:color w:val="000000"/>
          <w:sz w:val="28"/>
          <w:szCs w:val="28"/>
        </w:rPr>
      </w:pPr>
      <w:r>
        <w:rPr>
          <w:rFonts w:hint="eastAsia" w:ascii="仿宋" w:hAnsi="仿宋" w:eastAsia="仿宋" w:cs="黑体"/>
          <w:b/>
          <w:bCs/>
          <w:color w:val="000000"/>
          <w:sz w:val="28"/>
          <w:szCs w:val="28"/>
        </w:rPr>
        <w:t>一、培训内容</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(一）《民法典.合同编》对于建设工程领域的影响及重点和难点解读；</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1、《民法典.合同编》关于</w:t>
      </w:r>
      <w:r>
        <w:rPr>
          <w:rFonts w:ascii="仿宋" w:hAnsi="仿宋" w:eastAsia="仿宋" w:cs="仿宋_GB2312"/>
          <w:bCs/>
          <w:color w:val="000000"/>
          <w:sz w:val="28"/>
          <w:szCs w:val="28"/>
        </w:rPr>
        <w:t>建设工程合同</w:t>
      </w:r>
      <w:r>
        <w:rPr>
          <w:rFonts w:hint="eastAsia" w:ascii="仿宋" w:hAnsi="仿宋" w:eastAsia="仿宋" w:cs="仿宋_GB2312"/>
          <w:bCs/>
          <w:color w:val="000000"/>
          <w:sz w:val="28"/>
          <w:szCs w:val="28"/>
        </w:rPr>
        <w:t>的</w:t>
      </w:r>
      <w:r>
        <w:rPr>
          <w:rFonts w:ascii="仿宋" w:hAnsi="仿宋" w:eastAsia="仿宋" w:cs="仿宋_GB2312"/>
          <w:bCs/>
          <w:color w:val="000000"/>
          <w:sz w:val="28"/>
          <w:szCs w:val="28"/>
        </w:rPr>
        <w:t>主要内容框架建议</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2、《民法典.合同编》关于</w:t>
      </w:r>
      <w:r>
        <w:rPr>
          <w:rFonts w:ascii="仿宋" w:hAnsi="仿宋" w:eastAsia="仿宋" w:cs="仿宋_GB2312"/>
          <w:bCs/>
          <w:color w:val="000000"/>
          <w:sz w:val="28"/>
          <w:szCs w:val="28"/>
        </w:rPr>
        <w:t>建设工程合同定义与合同种类</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3、《民法典.合同编》关于</w:t>
      </w:r>
      <w:r>
        <w:rPr>
          <w:rFonts w:ascii="仿宋" w:hAnsi="仿宋" w:eastAsia="仿宋" w:cs="仿宋_GB2312"/>
          <w:bCs/>
          <w:color w:val="000000"/>
          <w:sz w:val="28"/>
          <w:szCs w:val="28"/>
        </w:rPr>
        <w:t>建设工程合同形式的特别要求</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4、《民法典.合同编》关于</w:t>
      </w:r>
      <w:r>
        <w:rPr>
          <w:rFonts w:ascii="仿宋" w:hAnsi="仿宋" w:eastAsia="仿宋" w:cs="仿宋_GB2312"/>
          <w:bCs/>
          <w:color w:val="000000"/>
          <w:sz w:val="28"/>
          <w:szCs w:val="28"/>
        </w:rPr>
        <w:t>建设工程合同主体特有的适格性和具体发承包形式的合法性</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5、《民法典.合同编》关于</w:t>
      </w:r>
      <w:r>
        <w:rPr>
          <w:rFonts w:ascii="仿宋" w:hAnsi="仿宋" w:eastAsia="仿宋" w:cs="仿宋_GB2312"/>
          <w:bCs/>
          <w:color w:val="000000"/>
          <w:sz w:val="28"/>
          <w:szCs w:val="28"/>
        </w:rPr>
        <w:t>建设工程合同订立的特有程序和订约条件</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w:t>
      </w:r>
      <w:r>
        <w:rPr>
          <w:rFonts w:ascii="仿宋" w:hAnsi="仿宋" w:eastAsia="仿宋" w:cs="仿宋_GB2312"/>
          <w:bCs/>
          <w:color w:val="000000"/>
          <w:sz w:val="28"/>
          <w:szCs w:val="28"/>
        </w:rPr>
        <w:t>现行《合同法》和《民法典合同编》规定的发包人特有权利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w:t>
      </w:r>
      <w:r>
        <w:rPr>
          <w:rFonts w:ascii="仿宋" w:hAnsi="仿宋" w:eastAsia="仿宋" w:cs="仿宋_GB2312"/>
          <w:bCs/>
          <w:color w:val="000000"/>
          <w:sz w:val="28"/>
          <w:szCs w:val="28"/>
        </w:rPr>
        <w:t>现行《合同法》未规定、《民法典合同编》补充规定的发包人特有权利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w:t>
      </w:r>
      <w:r>
        <w:rPr>
          <w:rFonts w:ascii="仿宋" w:hAnsi="仿宋" w:eastAsia="仿宋" w:cs="仿宋_GB2312"/>
          <w:bCs/>
          <w:color w:val="000000"/>
          <w:sz w:val="28"/>
          <w:szCs w:val="28"/>
        </w:rPr>
        <w:t>现行《合同法》与《民法典合同编》均未规定的发包人特有权利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left="551" w:hanging="549" w:hangingChars="196"/>
        <w:textAlignment w:val="baseline"/>
        <w:outlineLvl w:val="0"/>
        <w:rPr>
          <w:rFonts w:ascii="仿宋" w:hAnsi="仿宋" w:eastAsia="仿宋" w:cs="仿宋_GB2312"/>
          <w:bCs/>
          <w:color w:val="000000"/>
          <w:sz w:val="28"/>
          <w:szCs w:val="28"/>
        </w:rPr>
      </w:pPr>
      <w:r>
        <w:rPr>
          <w:rFonts w:hint="eastAsia" w:ascii="仿宋" w:hAnsi="仿宋" w:eastAsia="仿宋" w:cs="黑体"/>
          <w:b/>
          <w:bCs/>
          <w:color w:val="000000"/>
          <w:sz w:val="28"/>
          <w:szCs w:val="28"/>
        </w:rPr>
        <w:t>（二）《民法典》实施对建设工程各方实体权利的调整</w:t>
      </w:r>
      <w:r>
        <w:rPr>
          <w:rFonts w:hint="eastAsia" w:ascii="仿宋" w:hAnsi="仿宋" w:eastAsia="仿宋" w:cs="微软雅黑"/>
          <w:color w:val="3B3A3A"/>
          <w:sz w:val="19"/>
          <w:szCs w:val="19"/>
        </w:rPr>
        <w:br w:type="textWrapping"/>
      </w:r>
      <w:r>
        <w:rPr>
          <w:rFonts w:hint="eastAsia" w:ascii="仿宋" w:hAnsi="仿宋" w:eastAsia="仿宋" w:cs="仿宋_GB2312"/>
          <w:bCs/>
          <w:color w:val="000000"/>
          <w:sz w:val="28"/>
          <w:szCs w:val="28"/>
        </w:rPr>
        <w:t>1、《民法典》下的建设工程各主体权利边界；</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2、政府方在政府项目中主体性质识别方法；</w:t>
      </w:r>
      <w:r>
        <w:rPr>
          <w:rFonts w:hint="eastAsia" w:eastAsia="仿宋" w:cs="仿宋_GB2312" w:asciiTheme="minorEastAsia" w:hAnsiTheme="minorEastAsia"/>
          <w:bCs/>
          <w:color w:val="000000"/>
          <w:sz w:val="28"/>
          <w:szCs w:val="28"/>
        </w:rPr>
        <w:t> </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3、政府在建设工程中民事主体的特殊性体现方式；</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4、政府超越民事主体权利所形成法律后果责任承担；</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5、政府民事权利缺位建设工程后果法律承担；</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6、《民法典》情势变更原则在建设工程中的适用；</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7、民法典》对违约赔偿原则的承继所释放的市场信号解读；</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8、《民法典》对建筑施工资质的承继所释放的市场信号解读；</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9、民法典》对建设工程无效合同的处理原则所释放的信号解读。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（三）《司法解释一》与现有建设工程法律体系对接解读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1、《民法典》</w:t>
      </w:r>
      <w:bookmarkStart w:id="0" w:name="_Hlk60475371"/>
      <w:r>
        <w:rPr>
          <w:rFonts w:hint="eastAsia" w:ascii="仿宋" w:hAnsi="仿宋" w:eastAsia="仿宋" w:cs="仿宋_GB2312"/>
          <w:bCs/>
          <w:color w:val="000000"/>
          <w:sz w:val="28"/>
          <w:szCs w:val="28"/>
        </w:rPr>
        <w:t>与《司法解释一》对接解读</w:t>
      </w:r>
      <w:bookmarkEnd w:id="0"/>
      <w:r>
        <w:rPr>
          <w:rFonts w:hint="eastAsia" w:ascii="仿宋" w:hAnsi="仿宋" w:eastAsia="仿宋" w:cs="仿宋_GB2312"/>
          <w:bCs/>
          <w:color w:val="000000"/>
          <w:sz w:val="28"/>
          <w:szCs w:val="28"/>
        </w:rPr>
        <w:t>；</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2、《预算法》与《司法解释一》对接解读；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3、《政府投资条例》与《司法解释一》对接解读；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4、《总承包管理办法》与《司法解释一》对接解读；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5、《公司法》与《司法解释一》对接解读；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6、《建设工程总承包合同示范文本》（GF-2020-0216）与《司法解释一》对接解读；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7、《民事诉讼法司法解释》与《司法解释一》对接解读。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（四）《司法解释一》下建设工程各方主体权利及边界</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1、建设工程施工主体合法权利构成；</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2、建设工程施工合同体系构成形式；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3、对建设工程施工主体具有约束力规范性文件认定；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4、施工单位承接不同类型建设项目实施举措之差异；</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5、不同类型工程项目业主付款路径考量；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6、施工单位对分包实施有效管理方式；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7、施工单位对项目实施闭环管理方法分析与运用；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 总包单位与分、子公司在项目实施过程中法律责任分配；</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9、政府项目利益最大化追求之边界。</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（五</w:t>
      </w:r>
      <w:r>
        <w:rPr>
          <w:rFonts w:ascii="仿宋" w:hAnsi="仿宋" w:eastAsia="仿宋" w:cs="仿宋_GB2312"/>
          <w:b/>
          <w:bCs/>
          <w:color w:val="000000"/>
          <w:sz w:val="28"/>
          <w:szCs w:val="28"/>
        </w:rPr>
        <w:t>）</w:t>
      </w:r>
      <w:r>
        <w:rPr>
          <w:rFonts w:hint="eastAsia" w:ascii="仿宋" w:hAnsi="仿宋" w:eastAsia="仿宋" w:cs="仿宋_GB2312"/>
          <w:b/>
          <w:bCs/>
          <w:color w:val="000000"/>
          <w:sz w:val="28"/>
          <w:szCs w:val="28"/>
        </w:rPr>
        <w:t>《司法解释一》下施工合同谈判边界管控要点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1、《司法解释一》下施工谈判价值取向之变化；</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2、建设工程施工合同有效性保障措施；</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3、建设工程施工合同无效情形梳理；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4、建设工程施工合同实质性条款的认定准则；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5、建设工程施工合同文本选择、编制原则；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6、建设工程施工合同选择固定总价应当具备的必要条件；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7、合同“陷进”条款的排查与认定；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8、“填平原则”在违约赔偿中的理解与适用；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9、施工企业放弃优先受偿权效力认定；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10、“先上车，后买票”项目实施合法权益救济路径。</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（六）《司法解释一》下建设工程项目招投标阶段风险管控实务</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1、要约与承诺在工程招投标过程中的理解与作用；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2、招标文件、投标文件、中标文件、中标合同在招投标过程中的效力阶位的认定新准则；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3、招投标文件编制基本依据与方法；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4、不平衡报价在招投标文件编制中的应用；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5、“挂靠”方式在建设工程中法律空间的变化及分析；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6、补充协议对中标合同修改的合法性认定准则；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7、招标工程量清单错误、遗漏、缺项责任归属；</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8、项目包中标后子项目调整合法合规性认定；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9、突破“拦标价”过低下的投标方案谋划；</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10、“两标并一标”在工程项目中的适用。</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（七）《司法解释一》下工程范围确定依据</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1、工程范围及施工界面确认原则；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2、合同中止施工界面确定方式与救济；</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3、合同工程范围条款约定不明结算规则；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4、竣工图中未反映的工程变更确定方式；</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5、合同工程范围之外工程价款认定依据；</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6、改变合同工程内容的认定标准；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7、改变合同工程范围的认定标准；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8、施工过程中工程内容、范围调整</w:t>
      </w:r>
      <w:r>
        <w:rPr>
          <w:rFonts w:ascii="仿宋" w:hAnsi="仿宋" w:eastAsia="仿宋" w:cs="仿宋_GB2312"/>
          <w:bCs/>
          <w:color w:val="000000"/>
          <w:sz w:val="28"/>
          <w:szCs w:val="28"/>
        </w:rPr>
        <w:t>合法性认定原则及救济方式</w:t>
      </w:r>
      <w:r>
        <w:rPr>
          <w:rFonts w:hint="eastAsia" w:ascii="仿宋" w:hAnsi="仿宋" w:eastAsia="仿宋" w:cs="仿宋_GB2312"/>
          <w:bCs/>
          <w:color w:val="000000"/>
          <w:sz w:val="28"/>
          <w:szCs w:val="28"/>
        </w:rPr>
        <w:t>；</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9、地下水文条件与工程范围的关系。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（八）《司法解释一》下建设项目工期管控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1、开工日约定不明认定标准；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2、数个开工日冲突下开工日认定标准；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3、建设方拖延竣工验收竣工日认定原则；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4、建设方擅自接管使用工程竣工日认定原则；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5、工期延误时效安排与法律效力；</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6、进入司法程序下的工期延误责任归属；</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7、“关键线路”在工期延误认定中的作用；</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8、施工单位未获签证下的工期顺延认定原则；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9、“权利可以放弃，义务必须履行”原则在工期顺延认定中的适用。</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（九）《司法解释一》下工程项目施工质量风险管控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 建设工程“质量优先”在《司法解释一》中的体现；</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2、现场质量管控岗位设计体系在实战中之运用；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3、工程项目各参建主体资源配置对项目质量风险构成分析；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4、施工现场危机隐患参建各方处置措施；</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5、施工现场信息流管理对项目风险管控的作用；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6、业主单位工程质量责任范围；</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7、施工企业工程质量责任范围；</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8、质保金与保修责任的风险匹配关系。</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9、建设工程交付后引发侵权责任承担原则；</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（十）《司法解释一》下建设工程计价风险管控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1、工程计价规范性性文件分析；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2、清单计价规范（GB50500-2013）法律地位认定；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3、《司法解释一》工程计价基本原则解读；</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4、市场价格波动下固定单价调差条件；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5、工程量清单计价下，打开“闭口价”的路径与方法；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6、补充协议与中标合同计价相悖计价认定原则；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7、中标合同与招投标文件不一致计价规则；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8、施工单位工程垫资款利息起计规则；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9、建设工程价款构成内容；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10、建设工程优先受偿权价款构成内容；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11、“优先受偿权”受限情形。</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（十一）《司法解释一》下建设工程计量风险管控实务</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1、竣工图与合同清单冲突结算依据的认定；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2、竣工图与工程现场实物不符结算依据认定；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3、工程签证单代签法律效力的认定；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4、工程签证单拒签的救济方法；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5、工程签证单缺失、遗漏计量救济方法；</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6、间接证据在工程量确认中的效用；</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7、施工阶段引发对第三人的侵权责任归属；</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8、工程变更与违约行为的区别；</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9、施工单位拒绝工程变更的法律博弈。</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（十二）《司法解释一》下建设工程索赔重点与难点应对</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1、17版F</w:t>
      </w:r>
      <w:r>
        <w:rPr>
          <w:rFonts w:ascii="仿宋" w:hAnsi="仿宋" w:eastAsia="仿宋" w:cs="仿宋_GB2312"/>
          <w:bCs/>
          <w:color w:val="000000"/>
          <w:sz w:val="28"/>
          <w:szCs w:val="28"/>
        </w:rPr>
        <w:t>IDIC</w:t>
      </w:r>
      <w:r>
        <w:rPr>
          <w:rFonts w:hint="eastAsia" w:ascii="仿宋" w:hAnsi="仿宋" w:eastAsia="仿宋" w:cs="仿宋_GB2312"/>
          <w:bCs/>
          <w:color w:val="000000"/>
          <w:sz w:val="28"/>
          <w:szCs w:val="28"/>
        </w:rPr>
        <w:t>条款银皮书对索赔最新释义；</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2、工程索赔的合法性基础；</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3、工程索赔与政府预算控制机制冲突化解；</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4、可能引发索赔的十五个亮点；</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5、十六项能够佐证索赔事件发生的证据固定；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6、促成索赔证据链闭合的举措；</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7、突发性索赔预留“敞口”的作用；</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8、预案性索赔成功实现基础性条件；</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9、索赔过程中的反索赔预警措施。</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（十三）《司法解释一》下建设工程竣工结算要点及实践</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1、《司法解释一》下的建设工程结算新规则；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 中标合同有效工程结算争议解决路径；</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3、多份施工合同均无效工程结算争议解决路径；</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4、合同无效工程款结算原则；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5、建设工程合同无效各方经济责任承担原则；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6、固定总价合同终止工程结算原则；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7、工程结算、期中结算、终止结算、竣工结算的区别；</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8、业主与被挂靠人之间工程款结算；</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9、政府审计结论在建设工程结算中的法律效力认定原则；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10、F</w:t>
      </w:r>
      <w:r>
        <w:rPr>
          <w:rFonts w:ascii="仿宋" w:hAnsi="仿宋" w:eastAsia="仿宋" w:cs="仿宋_GB2312"/>
          <w:bCs/>
          <w:color w:val="000000"/>
          <w:sz w:val="28"/>
          <w:szCs w:val="28"/>
        </w:rPr>
        <w:t>IDIC</w:t>
      </w:r>
      <w:r>
        <w:rPr>
          <w:rFonts w:hint="eastAsia" w:ascii="仿宋" w:hAnsi="仿宋" w:eastAsia="仿宋" w:cs="仿宋_GB2312"/>
          <w:bCs/>
          <w:color w:val="000000"/>
          <w:sz w:val="28"/>
          <w:szCs w:val="28"/>
        </w:rPr>
        <w:t>条件下E</w:t>
      </w:r>
      <w:r>
        <w:rPr>
          <w:rFonts w:ascii="仿宋" w:hAnsi="仿宋" w:eastAsia="仿宋" w:cs="仿宋_GB2312"/>
          <w:bCs/>
          <w:color w:val="000000"/>
          <w:sz w:val="28"/>
          <w:szCs w:val="28"/>
        </w:rPr>
        <w:t>PC</w:t>
      </w:r>
      <w:r>
        <w:rPr>
          <w:rFonts w:hint="eastAsia" w:ascii="仿宋" w:hAnsi="仿宋" w:eastAsia="仿宋" w:cs="仿宋_GB2312"/>
          <w:bCs/>
          <w:color w:val="000000"/>
          <w:sz w:val="28"/>
          <w:szCs w:val="28"/>
        </w:rPr>
        <w:t>与国内工程总承包总价合同差异解析。</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（十四）《司法解释一》对工程诉讼特别规定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1、建设工程诉讼中抗辩与反诉的认定；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2、司法鉴定责任风险分配；</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3、法院在司法鉴定启动中的责任范围；</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4、司法鉴定意见的性质计法律效力；</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5、施工方的“代为求偿权”在诉讼中的应用。</w:t>
      </w:r>
    </w:p>
    <w:p>
      <w:pPr>
        <w:spacing w:line="280" w:lineRule="exact"/>
        <w:rPr>
          <w:rFonts w:ascii="仿宋" w:hAnsi="仿宋" w:eastAsia="仿宋"/>
          <w:b/>
          <w:snapToGrid w:val="0"/>
          <w:color w:val="000000"/>
          <w:kern w:val="20"/>
          <w:position w:val="-4"/>
          <w:sz w:val="28"/>
          <w:szCs w:val="28"/>
        </w:rPr>
      </w:pPr>
      <w:r>
        <w:rPr>
          <w:rFonts w:hint="eastAsia" w:ascii="仿宋" w:hAnsi="仿宋" w:eastAsia="仿宋"/>
          <w:b/>
          <w:snapToGrid w:val="0"/>
          <w:color w:val="000000"/>
          <w:kern w:val="20"/>
          <w:position w:val="-4"/>
          <w:sz w:val="28"/>
          <w:szCs w:val="28"/>
        </w:rPr>
        <w:t>（十五）2020版《建设项目工程总承包合同（示范文本）》重点条款解读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1、合同价格形式相关条款解读；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2、合同风险分担相关条款解读；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3、工期进度相关条款解读；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4、变更调整相关条款解读；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5、竣工验收相关条款解读；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6、缺陷责任相关条款解读；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7、结算相关条款解读；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8、索赔相关条款解读。</w:t>
      </w:r>
    </w:p>
    <w:p>
      <w:pPr>
        <w:spacing w:line="280" w:lineRule="exact"/>
        <w:rPr>
          <w:rFonts w:ascii="仿宋" w:hAnsi="仿宋" w:eastAsia="仿宋"/>
          <w:b/>
          <w:snapToGrid w:val="0"/>
          <w:color w:val="000000"/>
          <w:kern w:val="20"/>
          <w:position w:val="-4"/>
          <w:sz w:val="28"/>
          <w:szCs w:val="28"/>
        </w:rPr>
      </w:pPr>
      <w:r>
        <w:rPr>
          <w:rFonts w:hint="eastAsia" w:ascii="仿宋" w:hAnsi="仿宋" w:eastAsia="仿宋"/>
          <w:b/>
          <w:snapToGrid w:val="0"/>
          <w:color w:val="000000"/>
          <w:kern w:val="20"/>
          <w:position w:val="-4"/>
          <w:sz w:val="28"/>
          <w:szCs w:val="28"/>
        </w:rPr>
        <w:t>（十六）</w:t>
      </w:r>
      <w:r>
        <w:rPr>
          <w:rFonts w:ascii="仿宋" w:hAnsi="仿宋" w:eastAsia="仿宋"/>
          <w:b/>
          <w:snapToGrid w:val="0"/>
          <w:color w:val="000000"/>
          <w:kern w:val="20"/>
          <w:position w:val="-4"/>
          <w:sz w:val="28"/>
          <w:szCs w:val="28"/>
        </w:rPr>
        <w:t>EPC工程总承包项目管理全流程实践</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国内外EPC总承包项目管理发展趋势；</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2</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工程总承包主要模式适用的项目类型及特点；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3</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工程总承包项目各相关方职责与工作界面；</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4</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工程总承包项目管理流程及管控要点；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5</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工程总承包项目决策阶段的管理（包括招标管理）；</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6</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工程总承包项目启动、策划阶段管控要点；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7</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工程总承包项目勘察设计阶段的管控要点；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8</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工程总承包项目采购阶段的管控要点；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9</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工程总承包项目施工、试运行阶段的管控要点；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10</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工程总承包项目收尾及关闭、移交阶段的管理；</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11</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联合体实施工程总承包的风险应对；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12</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工程总承包相关问题解答。</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二、参会对象</w:t>
      </w:r>
    </w:p>
    <w:p>
      <w:pPr>
        <w:tabs>
          <w:tab w:val="left" w:pos="567"/>
          <w:tab w:val="left" w:pos="709"/>
        </w:tabs>
        <w:spacing w:line="280" w:lineRule="exact"/>
        <w:ind w:firstLine="560" w:firstLineChars="2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280" w:lineRule="exact"/>
        <w:ind w:firstLine="560" w:firstLineChars="2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2、各业主单位项目管理、合同管理、造价管理、建设开发、财务审计等相关部门人员；</w:t>
      </w:r>
    </w:p>
    <w:p>
      <w:pPr>
        <w:tabs>
          <w:tab w:val="left" w:pos="567"/>
          <w:tab w:val="left" w:pos="709"/>
        </w:tabs>
        <w:spacing w:line="280" w:lineRule="exact"/>
        <w:ind w:firstLine="560" w:firstLineChars="200"/>
        <w:textAlignment w:val="baseline"/>
        <w:outlineLvl w:val="0"/>
        <w:rPr>
          <w:rFonts w:ascii="仿宋" w:hAnsi="仿宋" w:eastAsia="仿宋" w:cs="仿宋_GB2312"/>
          <w:b/>
          <w:bCs/>
          <w:color w:val="000000"/>
          <w:sz w:val="28"/>
          <w:szCs w:val="28"/>
        </w:rPr>
      </w:pPr>
      <w:r>
        <w:rPr>
          <w:rFonts w:hint="eastAsia" w:ascii="仿宋" w:hAnsi="仿宋" w:eastAsia="仿宋" w:cs="仿宋_GB2312"/>
          <w:bCs/>
          <w:color w:val="000000"/>
          <w:sz w:val="28"/>
          <w:szCs w:val="28"/>
        </w:rPr>
        <w:t>3、各类建筑施工企业、分包单位、设备材料供应、咨询代理等机构负责人。</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三、授课专家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本期培训班拟邀请《民法典.合同编》专家起草组成员、国家发改委、住建部相关部门及行业协会参与政策法规文件起草、行业规范编写，具有丰富实践经验的专家授课。培训将结合经典案例分析，进行现场答疑和互动交流。</w:t>
      </w:r>
    </w:p>
    <w:p>
      <w:pPr>
        <w:numPr>
          <w:ilvl w:val="0"/>
          <w:numId w:val="1"/>
        </w:num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培训时间</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w:t>
      </w:r>
      <w:r>
        <w:rPr>
          <w:rFonts w:hint="eastAsia" w:ascii="仿宋" w:hAnsi="仿宋" w:eastAsia="仿宋" w:cs="宋体"/>
          <w:b w:val="0"/>
          <w:bCs/>
          <w:snapToGrid w:val="0"/>
          <w:color w:val="000000"/>
          <w:w w:val="100"/>
          <w:kern w:val="20"/>
          <w:position w:val="-4"/>
          <w:sz w:val="28"/>
          <w:szCs w:val="28"/>
          <w:lang w:val="en-US" w:eastAsia="zh-CN"/>
        </w:rPr>
        <w:t>0</w:t>
      </w:r>
      <w:r>
        <w:rPr>
          <w:rFonts w:hint="eastAsia" w:ascii="仿宋" w:hAnsi="仿宋" w:eastAsia="仿宋" w:cs="宋体"/>
          <w:b w:val="0"/>
          <w:bCs/>
          <w:snapToGrid w:val="0"/>
          <w:color w:val="000000"/>
          <w:w w:val="100"/>
          <w:kern w:val="20"/>
          <w:position w:val="-4"/>
          <w:sz w:val="28"/>
          <w:szCs w:val="28"/>
        </w:rPr>
        <w:t>5月28日—</w:t>
      </w:r>
      <w:r>
        <w:rPr>
          <w:rFonts w:hint="eastAsia" w:ascii="仿宋" w:hAnsi="仿宋" w:eastAsia="仿宋" w:cs="宋体"/>
          <w:b w:val="0"/>
          <w:bCs/>
          <w:snapToGrid w:val="0"/>
          <w:color w:val="000000"/>
          <w:w w:val="100"/>
          <w:kern w:val="20"/>
          <w:position w:val="-4"/>
          <w:sz w:val="28"/>
          <w:szCs w:val="28"/>
          <w:lang w:val="en-US" w:eastAsia="zh-CN"/>
        </w:rPr>
        <w:t>0</w:t>
      </w:r>
      <w:r>
        <w:rPr>
          <w:rFonts w:hint="eastAsia" w:ascii="仿宋" w:hAnsi="仿宋" w:eastAsia="仿宋" w:cs="宋体"/>
          <w:b w:val="0"/>
          <w:bCs/>
          <w:snapToGrid w:val="0"/>
          <w:color w:val="000000"/>
          <w:w w:val="100"/>
          <w:kern w:val="20"/>
          <w:position w:val="-4"/>
          <w:sz w:val="28"/>
          <w:szCs w:val="28"/>
        </w:rPr>
        <w:t>6月01日  西安</w:t>
      </w:r>
      <w:r>
        <w:rPr>
          <w:rFonts w:hint="eastAsia" w:ascii="仿宋" w:hAnsi="仿宋" w:eastAsia="仿宋" w:cs="宋体"/>
          <w:b w:val="0"/>
          <w:bCs/>
          <w:snapToGrid w:val="0"/>
          <w:color w:val="000000"/>
          <w:w w:val="100"/>
          <w:kern w:val="20"/>
          <w:position w:val="-4"/>
          <w:sz w:val="28"/>
          <w:szCs w:val="28"/>
          <w:lang w:val="en-US" w:eastAsia="zh-CN"/>
        </w:rPr>
        <w:t>市</w:t>
      </w:r>
      <w:r>
        <w:rPr>
          <w:rFonts w:hint="eastAsia" w:ascii="仿宋" w:hAnsi="仿宋" w:eastAsia="仿宋" w:cs="宋体"/>
          <w:b w:val="0"/>
          <w:bCs/>
          <w:snapToGrid w:val="0"/>
          <w:color w:val="000000"/>
          <w:w w:val="100"/>
          <w:kern w:val="20"/>
          <w:position w:val="-4"/>
          <w:sz w:val="28"/>
          <w:szCs w:val="28"/>
        </w:rPr>
        <w:t>（28日全天报到）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2021年06月18日--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06月22日  长沙市（18日全天报到）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2021年07月09日--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 xml:space="preserve">07月13日  </w:t>
      </w:r>
      <w:r>
        <w:rPr>
          <w:rFonts w:hint="eastAsia" w:ascii="仿宋" w:hAnsi="仿宋" w:eastAsia="仿宋" w:cs="宋体"/>
          <w:b w:val="0"/>
          <w:bCs/>
          <w:snapToGrid w:val="0"/>
          <w:color w:val="000000"/>
          <w:w w:val="100"/>
          <w:kern w:val="20"/>
          <w:position w:val="-4"/>
          <w:sz w:val="28"/>
          <w:szCs w:val="28"/>
          <w:lang w:eastAsia="zh-CN"/>
        </w:rPr>
        <w:t>哈尔滨</w:t>
      </w:r>
      <w:bookmarkStart w:id="1" w:name="_GoBack"/>
      <w:bookmarkEnd w:id="1"/>
      <w:r>
        <w:rPr>
          <w:rFonts w:hint="eastAsia" w:ascii="仿宋" w:hAnsi="仿宋" w:eastAsia="仿宋" w:cs="宋体"/>
          <w:b w:val="0"/>
          <w:bCs/>
          <w:snapToGrid w:val="0"/>
          <w:color w:val="000000"/>
          <w:w w:val="100"/>
          <w:kern w:val="20"/>
          <w:position w:val="-4"/>
          <w:sz w:val="28"/>
          <w:szCs w:val="28"/>
        </w:rPr>
        <w:t>（09日全天报到）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2021年07月24日--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07月28日  贵阳市（24日全天报到）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2021年08月13日--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08月17日  银川市（13日全天报到）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2021年08月20日--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08月24日  青岛市（20日全天报到）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2021年09月10日--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09月14日  成都市（10日全天报到）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rPr>
        <w:t>2021年09月25日--</w:t>
      </w:r>
      <w:r>
        <w:rPr>
          <w:rFonts w:hint="eastAsia" w:ascii="仿宋" w:hAnsi="仿宋" w:eastAsia="仿宋" w:cs="宋体"/>
          <w:b w:val="0"/>
          <w:bCs/>
          <w:snapToGrid w:val="0"/>
          <w:color w:val="000000"/>
          <w:w w:val="100"/>
          <w:kern w:val="20"/>
          <w:position w:val="-4"/>
          <w:sz w:val="28"/>
          <w:szCs w:val="28"/>
          <w:lang w:val="en-US" w:eastAsia="zh-CN"/>
        </w:rPr>
        <w:t>-</w:t>
      </w:r>
      <w:r>
        <w:rPr>
          <w:rFonts w:hint="eastAsia" w:ascii="仿宋" w:hAnsi="仿宋" w:eastAsia="仿宋" w:cs="宋体"/>
          <w:b w:val="0"/>
          <w:bCs/>
          <w:snapToGrid w:val="0"/>
          <w:color w:val="000000"/>
          <w:w w:val="100"/>
          <w:kern w:val="20"/>
          <w:position w:val="-4"/>
          <w:sz w:val="28"/>
          <w:szCs w:val="28"/>
        </w:rPr>
        <w:t>09月29日  南京市（25日全天报到）</w:t>
      </w:r>
    </w:p>
    <w:p>
      <w:pPr>
        <w:numPr>
          <w:ilvl w:val="0"/>
          <w:numId w:val="0"/>
        </w:numPr>
        <w:tabs>
          <w:tab w:val="left" w:pos="567"/>
          <w:tab w:val="left" w:pos="709"/>
        </w:tabs>
        <w:spacing w:line="280" w:lineRule="exact"/>
        <w:ind w:firstLine="560" w:firstLineChars="200"/>
        <w:textAlignment w:val="baseline"/>
        <w:outlineLvl w:val="0"/>
        <w:rPr>
          <w:rFonts w:hint="eastAsia" w:ascii="仿宋" w:hAnsi="仿宋" w:eastAsia="仿宋" w:cs="宋体"/>
          <w:b w:val="0"/>
          <w:bCs/>
          <w:snapToGrid w:val="0"/>
          <w:color w:val="000000"/>
          <w:w w:val="100"/>
          <w:kern w:val="20"/>
          <w:position w:val="-4"/>
          <w:sz w:val="28"/>
          <w:szCs w:val="28"/>
        </w:rPr>
      </w:pPr>
      <w:r>
        <w:rPr>
          <w:rFonts w:hint="eastAsia" w:ascii="仿宋" w:hAnsi="仿宋" w:eastAsia="仿宋" w:cs="宋体"/>
          <w:b w:val="0"/>
          <w:bCs/>
          <w:snapToGrid w:val="0"/>
          <w:color w:val="000000"/>
          <w:w w:val="100"/>
          <w:kern w:val="20"/>
          <w:position w:val="-4"/>
          <w:sz w:val="28"/>
          <w:szCs w:val="28"/>
          <w:lang w:val="en-US" w:eastAsia="zh-CN"/>
        </w:rPr>
        <w:t>2021年10月22日---10月26日  珠海市（22日全天报到）</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五、收费标准</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A.2980元/人（含培训费、资料费、电子课件、场地、会议期间午餐），住宿统一安排，费用自理。</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B.3980元/人（含证书、培训费、资料费、电子课件、场地、会议期间午餐），住宿统一安排，费用自理。</w:t>
      </w:r>
    </w:p>
    <w:p>
      <w:pPr>
        <w:tabs>
          <w:tab w:val="left" w:pos="567"/>
          <w:tab w:val="left" w:pos="709"/>
        </w:tabs>
        <w:spacing w:line="280" w:lineRule="exact"/>
        <w:ind w:firstLine="420" w:firstLineChars="150"/>
        <w:textAlignment w:val="baseline"/>
        <w:outlineLvl w:val="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C.5980元/人（含证书、培训费、资料费、电子课件、场地、会议期间食宿、交流等）。</w:t>
      </w:r>
    </w:p>
    <w:p>
      <w:pPr>
        <w:tabs>
          <w:tab w:val="left" w:pos="567"/>
          <w:tab w:val="left" w:pos="709"/>
        </w:tabs>
        <w:spacing w:line="280" w:lineRule="exact"/>
        <w:ind w:firstLine="280" w:firstLineChars="1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备注：不参加线下培训，单独参加线上培训，考试成绩合格发证书。2800元/人。证书由我会颁发“《工程总包项目经理》、《合同经理》、《采购经理》”。证书报名材料：报名表一份、2寸照电子照片（白底免冠彩照）、身份证复印件一份、学历证书复印件一份。</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六、报名办法</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20" w:lineRule="exact"/>
        <w:ind w:firstLine="560" w:firstLineChars="200"/>
        <w:rPr>
          <w:rFonts w:hint="eastAsia" w:ascii="仿宋" w:hAnsi="仿宋" w:eastAsia="仿宋" w:cs="仿宋"/>
          <w:b/>
          <w:bCs/>
          <w:sz w:val="28"/>
          <w:szCs w:val="28"/>
        </w:rPr>
      </w:pPr>
      <w:r>
        <w:rPr>
          <w:rFonts w:hint="eastAsia" w:ascii="仿宋" w:hAnsi="仿宋" w:eastAsia="仿宋"/>
          <w:sz w:val="28"/>
          <w:szCs w:val="28"/>
        </w:rPr>
        <w:t>qq咨询：3177524020        网址查询：</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"http://www.zqgpchina.cn/" </w:instrText>
      </w:r>
      <w:r>
        <w:rPr>
          <w:rFonts w:hint="eastAsia" w:ascii="仿宋" w:hAnsi="仿宋" w:eastAsia="仿宋"/>
          <w:sz w:val="28"/>
          <w:szCs w:val="28"/>
        </w:rPr>
        <w:fldChar w:fldCharType="separate"/>
      </w:r>
      <w:r>
        <w:rPr>
          <w:rStyle w:val="15"/>
          <w:rFonts w:hint="eastAsia" w:ascii="仿宋" w:hAnsi="仿宋" w:eastAsia="仿宋"/>
          <w:sz w:val="28"/>
          <w:szCs w:val="28"/>
        </w:rPr>
        <w:t>http://www.zqgpchina.cn/</w:t>
      </w:r>
      <w:r>
        <w:rPr>
          <w:rStyle w:val="15"/>
          <w:rFonts w:hint="eastAsia" w:ascii="仿宋" w:hAnsi="仿宋" w:eastAsia="仿宋" w:cs="仿宋"/>
          <w:b/>
          <w:bCs/>
          <w:sz w:val="28"/>
          <w:szCs w:val="28"/>
        </w:rPr>
        <w:drawing>
          <wp:anchor distT="0" distB="0" distL="114300" distR="114300" simplePos="0" relativeHeight="251661312" behindDoc="0" locked="0" layoutInCell="1" allowOverlap="1">
            <wp:simplePos x="0" y="0"/>
            <wp:positionH relativeFrom="column">
              <wp:posOffset>3860800</wp:posOffset>
            </wp:positionH>
            <wp:positionV relativeFrom="paragraph">
              <wp:posOffset>66675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5">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r>
        <w:rPr>
          <w:rFonts w:hint="eastAsia" w:ascii="仿宋" w:hAnsi="仿宋" w:eastAsia="仿宋"/>
          <w:sz w:val="28"/>
          <w:szCs w:val="28"/>
        </w:rPr>
        <w:fldChar w:fldCharType="end"/>
      </w:r>
    </w:p>
    <w:p>
      <w:pPr>
        <w:spacing w:line="380" w:lineRule="exact"/>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附件：报名回执表</w:t>
      </w:r>
    </w:p>
    <w:p>
      <w:pPr>
        <w:spacing w:line="380" w:lineRule="exact"/>
        <w:ind w:firstLine="5600" w:firstLineChars="2000"/>
        <w:rPr>
          <w:rFonts w:hint="eastAsia" w:ascii="仿宋" w:hAnsi="仿宋" w:eastAsia="仿宋" w:cs="宋体"/>
          <w:snapToGrid w:val="0"/>
          <w:color w:val="000000"/>
          <w:kern w:val="20"/>
          <w:position w:val="-4"/>
          <w:sz w:val="28"/>
          <w:szCs w:val="28"/>
        </w:rPr>
      </w:pPr>
    </w:p>
    <w:p>
      <w:pPr>
        <w:spacing w:line="380" w:lineRule="exact"/>
        <w:ind w:firstLine="5600" w:firstLineChars="20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中国国际工程咨询协会</w:t>
      </w:r>
    </w:p>
    <w:p>
      <w:pPr>
        <w:spacing w:line="380" w:lineRule="exact"/>
        <w:ind w:firstLine="411" w:firstLineChars="147"/>
        <w:rPr>
          <w:rFonts w:hint="eastAsia" w:ascii="仿宋" w:hAnsi="仿宋" w:eastAsia="仿宋" w:cs="黑体"/>
          <w:b/>
          <w:sz w:val="28"/>
          <w:szCs w:val="28"/>
        </w:rPr>
      </w:pPr>
      <w:r>
        <w:rPr>
          <w:rFonts w:hint="eastAsia" w:ascii="仿宋" w:hAnsi="仿宋" w:eastAsia="仿宋" w:cs="宋体"/>
          <w:snapToGrid w:val="0"/>
          <w:color w:val="000000"/>
          <w:kern w:val="20"/>
          <w:position w:val="-4"/>
          <w:sz w:val="28"/>
          <w:szCs w:val="28"/>
        </w:rPr>
        <w:t xml:space="preserve">                                    二〇二一年四月二十一日</w:t>
      </w:r>
    </w:p>
    <w:p>
      <w:pPr>
        <w:tabs>
          <w:tab w:val="left" w:pos="567"/>
          <w:tab w:val="left" w:pos="709"/>
        </w:tabs>
        <w:spacing w:line="310" w:lineRule="exact"/>
        <w:jc w:val="center"/>
        <w:textAlignment w:val="baseline"/>
        <w:outlineLvl w:val="0"/>
        <w:rPr>
          <w:rFonts w:ascii="仿宋" w:hAnsi="仿宋" w:eastAsia="仿宋" w:cs="黑体"/>
          <w:b/>
          <w:sz w:val="28"/>
          <w:szCs w:val="28"/>
        </w:rPr>
      </w:pPr>
      <w:r>
        <w:rPr>
          <w:rFonts w:hint="eastAsia" w:ascii="仿宋" w:hAnsi="仿宋" w:eastAsia="仿宋" w:cs="黑体"/>
          <w:b/>
          <w:sz w:val="28"/>
          <w:szCs w:val="28"/>
        </w:rPr>
        <w:t>附件：《民法典.工程合同司法解释一》详解与</w:t>
      </w:r>
      <w:r>
        <w:rPr>
          <w:rFonts w:ascii="仿宋" w:hAnsi="仿宋" w:eastAsia="仿宋" w:cs="黑体"/>
          <w:b/>
          <w:sz w:val="28"/>
          <w:szCs w:val="28"/>
        </w:rPr>
        <w:t>新版《建设项目工程总承包合同（示范文本）》下EPC工程总承包项目全过程实战及工程索赔重点、</w:t>
      </w:r>
      <w:r>
        <w:rPr>
          <w:rFonts w:hint="eastAsia" w:ascii="仿宋" w:hAnsi="仿宋" w:eastAsia="仿宋" w:cs="黑体"/>
          <w:b/>
          <w:sz w:val="28"/>
          <w:szCs w:val="28"/>
        </w:rPr>
        <w:t>难点应对与风险防范</w:t>
      </w:r>
      <w:r>
        <w:rPr>
          <w:rFonts w:ascii="仿宋" w:hAnsi="仿宋" w:eastAsia="仿宋" w:cs="黑体"/>
          <w:b/>
          <w:sz w:val="28"/>
          <w:szCs w:val="28"/>
        </w:rPr>
        <w:t>”</w:t>
      </w:r>
      <w:r>
        <w:rPr>
          <w:rFonts w:hint="eastAsia" w:ascii="仿宋" w:hAnsi="仿宋" w:eastAsia="仿宋" w:cs="黑体"/>
          <w:b/>
          <w:sz w:val="28"/>
          <w:szCs w:val="28"/>
        </w:rPr>
        <w:t>高级培训班报名回执表</w:t>
      </w:r>
    </w:p>
    <w:tbl>
      <w:tblPr>
        <w:tblStyle w:val="10"/>
        <w:tblpPr w:leftFromText="180" w:rightFromText="180" w:vertAnchor="page" w:horzAnchor="page" w:tblpX="1087" w:tblpY="2528"/>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单位名称</w:t>
            </w:r>
          </w:p>
        </w:tc>
        <w:tc>
          <w:tcPr>
            <w:tcW w:w="4955" w:type="dxa"/>
            <w:gridSpan w:val="5"/>
            <w:vAlign w:val="center"/>
          </w:tcPr>
          <w:p>
            <w:pPr>
              <w:spacing w:line="300" w:lineRule="exact"/>
              <w:ind w:right="-147" w:rightChars="-70"/>
              <w:jc w:val="center"/>
              <w:rPr>
                <w:rFonts w:ascii="仿宋" w:hAnsi="仿宋" w:eastAsia="仿宋"/>
                <w:sz w:val="24"/>
              </w:rPr>
            </w:pPr>
          </w:p>
        </w:tc>
        <w:tc>
          <w:tcPr>
            <w:tcW w:w="850" w:type="dxa"/>
            <w:gridSpan w:val="3"/>
            <w:vAlign w:val="center"/>
          </w:tcPr>
          <w:p>
            <w:pPr>
              <w:spacing w:line="300" w:lineRule="exact"/>
              <w:ind w:right="-147" w:rightChars="-70"/>
              <w:rPr>
                <w:rFonts w:ascii="仿宋" w:hAnsi="仿宋" w:eastAsia="仿宋"/>
                <w:sz w:val="24"/>
              </w:rPr>
            </w:pPr>
            <w:r>
              <w:rPr>
                <w:rFonts w:ascii="仿宋" w:hAnsi="仿宋" w:eastAsia="仿宋"/>
                <w:sz w:val="24"/>
              </w:rPr>
              <w:t>邮编</w:t>
            </w:r>
          </w:p>
        </w:tc>
        <w:tc>
          <w:tcPr>
            <w:tcW w:w="2283" w:type="dxa"/>
            <w:gridSpan w:val="2"/>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单位地址</w:t>
            </w:r>
          </w:p>
        </w:tc>
        <w:tc>
          <w:tcPr>
            <w:tcW w:w="8088" w:type="dxa"/>
            <w:gridSpan w:val="10"/>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联系人</w:t>
            </w:r>
          </w:p>
        </w:tc>
        <w:tc>
          <w:tcPr>
            <w:tcW w:w="2128" w:type="dxa"/>
            <w:gridSpan w:val="2"/>
            <w:vAlign w:val="center"/>
          </w:tcPr>
          <w:p>
            <w:pPr>
              <w:spacing w:line="300" w:lineRule="exact"/>
              <w:ind w:right="-147" w:rightChars="-70" w:firstLine="96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职位/岗位</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办公电话</w:t>
            </w:r>
          </w:p>
        </w:tc>
        <w:tc>
          <w:tcPr>
            <w:tcW w:w="2128" w:type="dxa"/>
            <w:gridSpan w:val="2"/>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手    机</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传   真</w:t>
            </w:r>
          </w:p>
        </w:tc>
        <w:tc>
          <w:tcPr>
            <w:tcW w:w="2128" w:type="dxa"/>
            <w:gridSpan w:val="2"/>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电子信箱</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参加培训人员</w:t>
            </w:r>
          </w:p>
        </w:tc>
        <w:tc>
          <w:tcPr>
            <w:tcW w:w="847" w:type="dxa"/>
            <w:vAlign w:val="center"/>
          </w:tcPr>
          <w:p>
            <w:pPr>
              <w:spacing w:line="300" w:lineRule="exact"/>
              <w:ind w:right="-147" w:rightChars="-70"/>
              <w:jc w:val="center"/>
              <w:rPr>
                <w:rFonts w:ascii="仿宋" w:hAnsi="仿宋" w:eastAsia="仿宋"/>
                <w:sz w:val="24"/>
              </w:rPr>
            </w:pPr>
            <w:r>
              <w:rPr>
                <w:rFonts w:ascii="仿宋" w:hAnsi="仿宋" w:eastAsia="仿宋"/>
                <w:sz w:val="24"/>
              </w:rPr>
              <w:t>性别</w:t>
            </w:r>
          </w:p>
        </w:tc>
        <w:tc>
          <w:tcPr>
            <w:tcW w:w="1281" w:type="dxa"/>
            <w:vAlign w:val="center"/>
          </w:tcPr>
          <w:p>
            <w:pPr>
              <w:spacing w:line="300" w:lineRule="exact"/>
              <w:ind w:right="-147" w:rightChars="-70"/>
              <w:jc w:val="center"/>
              <w:rPr>
                <w:rFonts w:ascii="仿宋" w:hAnsi="仿宋" w:eastAsia="仿宋"/>
                <w:sz w:val="24"/>
              </w:rPr>
            </w:pPr>
            <w:r>
              <w:rPr>
                <w:rFonts w:ascii="仿宋" w:hAnsi="仿宋" w:eastAsia="仿宋"/>
                <w:sz w:val="24"/>
              </w:rPr>
              <w:t>职务</w:t>
            </w: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电话</w:t>
            </w:r>
          </w:p>
        </w:tc>
        <w:tc>
          <w:tcPr>
            <w:tcW w:w="1558" w:type="dxa"/>
            <w:gridSpan w:val="5"/>
            <w:vAlign w:val="center"/>
          </w:tcPr>
          <w:p>
            <w:pPr>
              <w:spacing w:line="300" w:lineRule="exact"/>
              <w:ind w:right="-147" w:rightChars="-70"/>
              <w:jc w:val="center"/>
              <w:rPr>
                <w:rFonts w:ascii="仿宋" w:hAnsi="仿宋" w:eastAsia="仿宋"/>
                <w:sz w:val="24"/>
              </w:rPr>
            </w:pPr>
            <w:r>
              <w:rPr>
                <w:rFonts w:ascii="仿宋" w:hAnsi="仿宋" w:eastAsia="仿宋"/>
                <w:sz w:val="24"/>
              </w:rPr>
              <w:t>手机</w:t>
            </w:r>
          </w:p>
        </w:tc>
        <w:tc>
          <w:tcPr>
            <w:tcW w:w="1991" w:type="dxa"/>
            <w:vAlign w:val="center"/>
          </w:tcPr>
          <w:p>
            <w:pPr>
              <w:spacing w:line="300" w:lineRule="exact"/>
              <w:ind w:right="-147" w:rightChars="-70"/>
              <w:jc w:val="center"/>
              <w:rPr>
                <w:rFonts w:ascii="仿宋" w:hAnsi="仿宋" w:eastAsia="仿宋"/>
                <w:sz w:val="24"/>
              </w:rPr>
            </w:pPr>
            <w:r>
              <w:rPr>
                <w:rFonts w:ascii="仿宋" w:hAnsi="仿宋" w:eastAsia="仿宋"/>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r>
              <w:rPr>
                <w:rFonts w:hint="eastAsia" w:ascii="仿宋" w:hAnsi="仿宋" w:eastAsia="仿宋"/>
                <w:sz w:val="24"/>
              </w:rPr>
              <w:t>是否住宿</w:t>
            </w:r>
          </w:p>
        </w:tc>
        <w:tc>
          <w:tcPr>
            <w:tcW w:w="2128" w:type="dxa"/>
            <w:gridSpan w:val="2"/>
            <w:vAlign w:val="center"/>
          </w:tcPr>
          <w:p>
            <w:pPr>
              <w:spacing w:line="300" w:lineRule="exact"/>
              <w:ind w:right="-147" w:rightChars="-70"/>
              <w:rPr>
                <w:rFonts w:ascii="仿宋" w:hAnsi="仿宋" w:eastAsia="仿宋"/>
                <w:sz w:val="24"/>
              </w:rPr>
            </w:pPr>
            <w:r>
              <w:rPr>
                <w:rFonts w:hint="eastAsia" w:ascii="仿宋" w:hAnsi="仿宋" w:eastAsia="仿宋"/>
                <w:sz w:val="24"/>
              </w:rPr>
              <w:t>是□    否□</w:t>
            </w:r>
          </w:p>
        </w:tc>
        <w:tc>
          <w:tcPr>
            <w:tcW w:w="2411" w:type="dxa"/>
            <w:gridSpan w:val="2"/>
            <w:vAlign w:val="center"/>
          </w:tcPr>
          <w:p>
            <w:pPr>
              <w:spacing w:line="300" w:lineRule="exact"/>
              <w:ind w:right="-147" w:rightChars="-70"/>
              <w:rPr>
                <w:rFonts w:ascii="仿宋" w:hAnsi="仿宋" w:eastAsia="仿宋"/>
                <w:sz w:val="24"/>
              </w:rPr>
            </w:pPr>
            <w:r>
              <w:rPr>
                <w:rFonts w:hint="eastAsia" w:ascii="仿宋" w:hAnsi="仿宋" w:eastAsia="仿宋"/>
                <w:sz w:val="24"/>
              </w:rPr>
              <w:t>住宿标准</w:t>
            </w:r>
          </w:p>
        </w:tc>
        <w:tc>
          <w:tcPr>
            <w:tcW w:w="3549" w:type="dxa"/>
            <w:gridSpan w:val="6"/>
            <w:vAlign w:val="center"/>
          </w:tcPr>
          <w:p>
            <w:pPr>
              <w:spacing w:line="300" w:lineRule="exact"/>
              <w:ind w:right="-147" w:rightChars="-70"/>
              <w:rPr>
                <w:rFonts w:ascii="仿宋" w:hAnsi="仿宋" w:eastAsia="仿宋"/>
                <w:sz w:val="24"/>
              </w:rPr>
            </w:pPr>
            <w:r>
              <w:rPr>
                <w:rFonts w:ascii="仿宋" w:hAnsi="仿宋" w:eastAsia="仿宋"/>
              </w:rPr>
              <w:t>□</w:t>
            </w:r>
            <w:r>
              <w:rPr>
                <w:rFonts w:hint="eastAsia" w:ascii="仿宋" w:hAnsi="仿宋" w:eastAsia="仿宋"/>
              </w:rPr>
              <w:t xml:space="preserve">单住(需另补床位费)     </w:t>
            </w:r>
            <w:r>
              <w:rPr>
                <w:rFonts w:ascii="仿宋" w:hAnsi="仿宋" w:eastAsia="仿宋"/>
              </w:rPr>
              <w:t>□</w:t>
            </w:r>
            <w:r>
              <w:rPr>
                <w:rFonts w:hint="eastAsia" w:ascii="仿宋" w:hAnsi="仿宋" w:eastAsia="仿宋"/>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664" w:type="dxa"/>
            <w:vAlign w:val="center"/>
          </w:tcPr>
          <w:p>
            <w:pPr>
              <w:spacing w:line="300" w:lineRule="exact"/>
              <w:ind w:right="-147" w:rightChars="-70" w:firstLine="240" w:firstLineChars="100"/>
              <w:rPr>
                <w:rFonts w:ascii="仿宋" w:hAnsi="仿宋" w:eastAsia="仿宋"/>
                <w:sz w:val="24"/>
              </w:rPr>
            </w:pPr>
            <w:r>
              <w:rPr>
                <w:rFonts w:hint="eastAsia" w:ascii="仿宋" w:hAnsi="仿宋" w:eastAsia="仿宋"/>
                <w:sz w:val="24"/>
              </w:rPr>
              <w:t>地点选择</w:t>
            </w:r>
          </w:p>
        </w:tc>
        <w:tc>
          <w:tcPr>
            <w:tcW w:w="2128" w:type="dxa"/>
            <w:gridSpan w:val="2"/>
            <w:vAlign w:val="center"/>
          </w:tcPr>
          <w:p>
            <w:pPr>
              <w:spacing w:line="300" w:lineRule="exact"/>
              <w:ind w:right="-147" w:rightChars="-70" w:firstLine="840" w:firstLineChars="350"/>
              <w:rPr>
                <w:rFonts w:ascii="仿宋" w:hAnsi="仿宋" w:eastAsia="仿宋"/>
                <w:sz w:val="24"/>
              </w:rPr>
            </w:pPr>
          </w:p>
        </w:tc>
        <w:tc>
          <w:tcPr>
            <w:tcW w:w="2411" w:type="dxa"/>
            <w:gridSpan w:val="2"/>
            <w:vAlign w:val="center"/>
          </w:tcPr>
          <w:p>
            <w:pPr>
              <w:spacing w:line="300" w:lineRule="exact"/>
              <w:ind w:right="-147" w:rightChars="-70" w:firstLine="840" w:firstLineChars="350"/>
              <w:rPr>
                <w:rFonts w:ascii="仿宋" w:hAnsi="仿宋" w:eastAsia="仿宋"/>
                <w:sz w:val="24"/>
              </w:rPr>
            </w:pPr>
            <w:r>
              <w:rPr>
                <w:rFonts w:hint="eastAsia" w:ascii="仿宋" w:hAnsi="仿宋" w:eastAsia="仿宋"/>
                <w:sz w:val="24"/>
              </w:rPr>
              <w:t>证书申报</w:t>
            </w:r>
          </w:p>
        </w:tc>
        <w:tc>
          <w:tcPr>
            <w:tcW w:w="3549" w:type="dxa"/>
            <w:gridSpan w:val="6"/>
            <w:vAlign w:val="center"/>
          </w:tcPr>
          <w:p>
            <w:pPr>
              <w:spacing w:line="300" w:lineRule="exact"/>
              <w:ind w:right="-147" w:rightChars="-70"/>
              <w:rPr>
                <w:rFonts w:ascii="仿宋" w:hAnsi="仿宋" w:eastAsia="仿宋"/>
                <w:sz w:val="24"/>
              </w:rPr>
            </w:pPr>
            <w:r>
              <w:rPr>
                <w:rFonts w:hint="eastAsia" w:ascii="仿宋" w:hAnsi="仿宋" w:eastAsia="仿宋"/>
                <w:sz w:val="24"/>
              </w:rPr>
              <w:t xml:space="preserve">采购经理□ </w:t>
            </w:r>
          </w:p>
          <w:p>
            <w:pPr>
              <w:spacing w:line="300" w:lineRule="exact"/>
              <w:ind w:right="-147" w:rightChars="-70"/>
              <w:rPr>
                <w:rFonts w:ascii="仿宋" w:hAnsi="仿宋" w:eastAsia="仿宋"/>
                <w:sz w:val="24"/>
              </w:rPr>
            </w:pPr>
            <w:r>
              <w:rPr>
                <w:rFonts w:hint="eastAsia" w:ascii="仿宋" w:hAnsi="仿宋" w:eastAsia="仿宋"/>
                <w:sz w:val="24"/>
              </w:rPr>
              <w:t xml:space="preserve">合同经理□    </w:t>
            </w:r>
          </w:p>
          <w:p>
            <w:pPr>
              <w:spacing w:line="300" w:lineRule="exact"/>
              <w:ind w:right="-147" w:rightChars="-70"/>
              <w:rPr>
                <w:rFonts w:ascii="仿宋" w:hAnsi="仿宋" w:eastAsia="仿宋"/>
                <w:sz w:val="24"/>
              </w:rPr>
            </w:pPr>
            <w:r>
              <w:rPr>
                <w:rFonts w:hint="eastAsia" w:ascii="仿宋" w:hAnsi="仿宋" w:eastAsia="仿宋"/>
                <w:sz w:val="24"/>
              </w:rPr>
              <w:t>工程总承包项目经理□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firstLine="240" w:firstLineChars="100"/>
              <w:rPr>
                <w:rFonts w:ascii="仿宋" w:hAnsi="仿宋" w:eastAsia="仿宋"/>
                <w:sz w:val="24"/>
              </w:rPr>
            </w:pPr>
            <w:r>
              <w:rPr>
                <w:rFonts w:hint="eastAsia" w:ascii="仿宋" w:hAnsi="仿宋" w:eastAsia="仿宋"/>
                <w:sz w:val="24"/>
              </w:rPr>
              <w:t>标准选项</w:t>
            </w:r>
            <w:r>
              <w:rPr>
                <w:rFonts w:hint="eastAsia" w:ascii="仿宋" w:hAnsi="仿宋" w:eastAsia="仿宋"/>
                <w:sz w:val="24"/>
              </w:rPr>
              <w:tab/>
            </w:r>
          </w:p>
        </w:tc>
        <w:tc>
          <w:tcPr>
            <w:tcW w:w="8088" w:type="dxa"/>
            <w:gridSpan w:val="10"/>
            <w:vAlign w:val="center"/>
          </w:tcPr>
          <w:p>
            <w:pPr>
              <w:spacing w:line="300" w:lineRule="exact"/>
              <w:ind w:right="-147" w:rightChars="-70"/>
              <w:rPr>
                <w:rFonts w:ascii="仿宋" w:hAnsi="仿宋" w:eastAsia="仿宋"/>
                <w:sz w:val="24"/>
              </w:rPr>
            </w:pPr>
            <w:r>
              <w:rPr>
                <w:rFonts w:hint="eastAsia" w:ascii="仿宋" w:hAnsi="仿宋" w:eastAsia="仿宋"/>
                <w:sz w:val="24"/>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64" w:type="dxa"/>
          </w:tcPr>
          <w:p>
            <w:pPr>
              <w:spacing w:line="300" w:lineRule="exact"/>
              <w:ind w:right="-147" w:rightChars="-70"/>
              <w:jc w:val="center"/>
              <w:rPr>
                <w:rFonts w:ascii="仿宋" w:hAnsi="仿宋" w:eastAsia="仿宋"/>
                <w:bCs/>
                <w:sz w:val="24"/>
              </w:rPr>
            </w:pPr>
            <w:r>
              <w:rPr>
                <w:rFonts w:ascii="仿宋" w:hAnsi="仿宋" w:eastAsia="仿宋"/>
                <w:bCs/>
                <w:sz w:val="24"/>
              </w:rPr>
              <w:t>付款方式</w:t>
            </w:r>
          </w:p>
        </w:tc>
        <w:tc>
          <w:tcPr>
            <w:tcW w:w="4268" w:type="dxa"/>
            <w:gridSpan w:val="3"/>
          </w:tcPr>
          <w:p>
            <w:pPr>
              <w:widowControl/>
              <w:spacing w:line="300" w:lineRule="exact"/>
              <w:ind w:right="-147" w:rightChars="-70"/>
              <w:jc w:val="center"/>
              <w:rPr>
                <w:rFonts w:ascii="仿宋" w:hAnsi="仿宋" w:eastAsia="仿宋"/>
                <w:sz w:val="24"/>
              </w:rPr>
            </w:pPr>
            <w:r>
              <w:rPr>
                <w:rFonts w:ascii="仿宋" w:hAnsi="仿宋" w:eastAsia="仿宋"/>
                <w:sz w:val="24"/>
              </w:rPr>
              <w:t xml:space="preserve">□通过银行     □通过网银 </w:t>
            </w:r>
          </w:p>
        </w:tc>
        <w:tc>
          <w:tcPr>
            <w:tcW w:w="996" w:type="dxa"/>
            <w:gridSpan w:val="4"/>
          </w:tcPr>
          <w:p>
            <w:pPr>
              <w:widowControl/>
              <w:spacing w:line="300" w:lineRule="exact"/>
              <w:ind w:right="-147" w:rightChars="-70"/>
              <w:jc w:val="center"/>
              <w:rPr>
                <w:rFonts w:ascii="仿宋" w:hAnsi="仿宋" w:eastAsia="仿宋"/>
                <w:sz w:val="24"/>
              </w:rPr>
            </w:pPr>
            <w:r>
              <w:rPr>
                <w:rFonts w:ascii="仿宋" w:hAnsi="仿宋" w:eastAsia="仿宋"/>
                <w:sz w:val="24"/>
              </w:rPr>
              <w:t>金额</w:t>
            </w:r>
          </w:p>
        </w:tc>
        <w:tc>
          <w:tcPr>
            <w:tcW w:w="2824" w:type="dxa"/>
            <w:gridSpan w:val="3"/>
          </w:tcPr>
          <w:p>
            <w:pPr>
              <w:widowControl/>
              <w:spacing w:line="300" w:lineRule="exact"/>
              <w:ind w:right="-147" w:rightChars="-7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00" w:lineRule="exact"/>
              <w:ind w:right="-147" w:rightChars="-70"/>
              <w:rPr>
                <w:rFonts w:ascii="仿宋" w:hAnsi="仿宋" w:eastAsia="仿宋"/>
                <w:bCs/>
                <w:sz w:val="24"/>
              </w:rPr>
            </w:pPr>
          </w:p>
          <w:p>
            <w:pPr>
              <w:spacing w:line="300" w:lineRule="exact"/>
              <w:ind w:right="-147" w:rightChars="-70"/>
              <w:rPr>
                <w:rFonts w:ascii="仿宋" w:hAnsi="仿宋" w:eastAsia="仿宋"/>
                <w:bCs/>
                <w:sz w:val="24"/>
              </w:rPr>
            </w:pPr>
            <w:r>
              <w:rPr>
                <w:rFonts w:hint="eastAsia" w:ascii="仿宋" w:hAnsi="仿宋" w:eastAsia="仿宋"/>
                <w:bCs/>
                <w:sz w:val="24"/>
              </w:rPr>
              <w:t>汇款方式</w:t>
            </w:r>
          </w:p>
        </w:tc>
        <w:tc>
          <w:tcPr>
            <w:tcW w:w="8088" w:type="dxa"/>
            <w:gridSpan w:val="10"/>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spacing w:line="300" w:lineRule="exact"/>
              <w:rPr>
                <w:rFonts w:ascii="宋体" w:hAnsi="宋体"/>
                <w:color w:val="000000"/>
                <w:kern w:val="0"/>
                <w:sz w:val="22"/>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00" w:lineRule="exact"/>
              <w:rPr>
                <w:rFonts w:ascii="仿宋" w:hAnsi="仿宋" w:eastAsia="仿宋"/>
                <w:sz w:val="24"/>
              </w:rPr>
            </w:pPr>
            <w:r>
              <w:rPr>
                <w:rFonts w:hint="eastAsia" w:ascii="仿宋" w:hAnsi="仿宋" w:eastAsia="仿宋"/>
                <w:bCs/>
                <w:sz w:val="24"/>
              </w:rPr>
              <w:t>发票类别</w:t>
            </w:r>
          </w:p>
        </w:tc>
        <w:tc>
          <w:tcPr>
            <w:tcW w:w="8088" w:type="dxa"/>
            <w:gridSpan w:val="10"/>
          </w:tcPr>
          <w:p>
            <w:pPr>
              <w:spacing w:line="300" w:lineRule="exact"/>
              <w:rPr>
                <w:rFonts w:ascii="仿宋" w:hAnsi="仿宋" w:eastAsia="仿宋"/>
                <w:bCs/>
                <w:sz w:val="24"/>
              </w:rPr>
            </w:pPr>
            <w:r>
              <w:rPr>
                <w:rFonts w:hint="eastAsia" w:ascii="仿宋" w:hAnsi="仿宋" w:eastAsia="仿宋"/>
                <w:bCs/>
                <w:sz w:val="24"/>
              </w:rPr>
              <w:t>增值税（□普通□专用）发票,开票信息如下：</w:t>
            </w:r>
          </w:p>
          <w:p>
            <w:pPr>
              <w:spacing w:line="300" w:lineRule="exact"/>
              <w:rPr>
                <w:rFonts w:ascii="仿宋" w:hAnsi="仿宋" w:eastAsia="仿宋"/>
                <w:bCs/>
                <w:sz w:val="24"/>
              </w:rPr>
            </w:pPr>
            <w:r>
              <w:rPr>
                <w:rFonts w:hint="eastAsia" w:ascii="仿宋" w:hAnsi="仿宋" w:eastAsia="仿宋"/>
                <w:bCs/>
                <w:sz w:val="24"/>
              </w:rPr>
              <w:t>单 位 名 称：</w:t>
            </w:r>
          </w:p>
          <w:p>
            <w:pPr>
              <w:spacing w:line="300" w:lineRule="exact"/>
              <w:rPr>
                <w:rFonts w:ascii="仿宋" w:hAnsi="仿宋" w:eastAsia="仿宋"/>
                <w:bCs/>
                <w:sz w:val="24"/>
              </w:rPr>
            </w:pPr>
            <w:r>
              <w:rPr>
                <w:rFonts w:hint="eastAsia" w:ascii="仿宋" w:hAnsi="仿宋" w:eastAsia="仿宋"/>
                <w:bCs/>
                <w:sz w:val="24"/>
              </w:rPr>
              <w:t>税       号：</w:t>
            </w:r>
          </w:p>
          <w:p>
            <w:pPr>
              <w:spacing w:line="300" w:lineRule="exact"/>
              <w:rPr>
                <w:rFonts w:ascii="仿宋" w:hAnsi="仿宋" w:eastAsia="仿宋"/>
                <w:bCs/>
                <w:sz w:val="24"/>
              </w:rPr>
            </w:pPr>
            <w:r>
              <w:rPr>
                <w:rFonts w:hint="eastAsia" w:ascii="仿宋" w:hAnsi="仿宋" w:eastAsia="仿宋"/>
                <w:bCs/>
                <w:sz w:val="24"/>
              </w:rPr>
              <w:t>地址、 电话：</w:t>
            </w:r>
          </w:p>
          <w:p>
            <w:pPr>
              <w:spacing w:line="300" w:lineRule="exact"/>
              <w:rPr>
                <w:rFonts w:ascii="仿宋" w:hAnsi="仿宋" w:eastAsia="仿宋"/>
                <w:bCs/>
                <w:sz w:val="24"/>
              </w:rPr>
            </w:pPr>
            <w:r>
              <w:rPr>
                <w:rFonts w:hint="eastAsia" w:ascii="仿宋" w:hAnsi="仿宋" w:eastAsia="仿宋"/>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00" w:lineRule="exact"/>
              <w:ind w:right="-147" w:rightChars="-70"/>
              <w:jc w:val="center"/>
              <w:rPr>
                <w:rFonts w:ascii="仿宋" w:hAnsi="仿宋" w:eastAsia="仿宋"/>
                <w:bCs/>
                <w:sz w:val="24"/>
              </w:rPr>
            </w:pPr>
            <w:r>
              <w:rPr>
                <w:rFonts w:ascii="仿宋" w:hAnsi="仿宋" w:eastAsia="仿宋"/>
                <w:sz w:val="24"/>
              </w:rPr>
              <w:t>备注</w:t>
            </w:r>
          </w:p>
        </w:tc>
        <w:tc>
          <w:tcPr>
            <w:tcW w:w="4961" w:type="dxa"/>
            <w:gridSpan w:val="6"/>
            <w:vAlign w:val="center"/>
          </w:tcPr>
          <w:p>
            <w:pPr>
              <w:spacing w:line="300" w:lineRule="exact"/>
              <w:ind w:right="-147" w:rightChars="-70"/>
              <w:rPr>
                <w:rFonts w:ascii="仿宋" w:hAnsi="仿宋" w:eastAsia="仿宋"/>
                <w:sz w:val="24"/>
              </w:rPr>
            </w:pPr>
            <w:r>
              <w:rPr>
                <w:rFonts w:ascii="仿宋" w:hAnsi="仿宋" w:eastAsia="仿宋"/>
                <w:sz w:val="24"/>
              </w:rPr>
              <w:tab/>
            </w:r>
            <w:r>
              <w:rPr>
                <w:rFonts w:ascii="仿宋" w:hAnsi="仿宋" w:eastAsia="仿宋"/>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spacing w:line="300" w:lineRule="exact"/>
              <w:ind w:right="-147" w:rightChars="-70" w:firstLine="1080" w:firstLineChars="450"/>
              <w:rPr>
                <w:rFonts w:ascii="仿宋" w:hAnsi="仿宋" w:eastAsia="仿宋"/>
                <w:sz w:val="24"/>
              </w:rPr>
            </w:pPr>
            <w:r>
              <w:rPr>
                <w:rFonts w:ascii="仿宋" w:hAnsi="仿宋" w:eastAsia="仿宋"/>
                <w:sz w:val="24"/>
              </w:rPr>
              <w:t>单位印章</w:t>
            </w:r>
          </w:p>
          <w:p>
            <w:pPr>
              <w:spacing w:line="300" w:lineRule="exact"/>
              <w:ind w:right="-147" w:rightChars="-70" w:firstLine="240" w:firstLineChars="100"/>
              <w:rPr>
                <w:rFonts w:ascii="仿宋" w:hAnsi="仿宋" w:eastAsia="仿宋"/>
                <w:sz w:val="24"/>
              </w:rPr>
            </w:pPr>
            <w:r>
              <w:rPr>
                <w:rFonts w:hint="eastAsia" w:ascii="仿宋" w:hAnsi="仿宋" w:eastAsia="仿宋"/>
                <w:sz w:val="24"/>
              </w:rPr>
              <w:t>二〇二一</w:t>
            </w:r>
            <w:r>
              <w:rPr>
                <w:rFonts w:ascii="仿宋" w:hAnsi="仿宋" w:eastAsia="仿宋"/>
                <w:sz w:val="24"/>
              </w:rPr>
              <w:t>年  月  日</w:t>
            </w:r>
          </w:p>
        </w:tc>
      </w:tr>
    </w:tbl>
    <w:p>
      <w:pPr>
        <w:spacing w:line="300" w:lineRule="exact"/>
        <w:ind w:right="-147" w:rightChars="-70"/>
        <w:rPr>
          <w:rFonts w:ascii="仿宋" w:hAnsi="仿宋" w:eastAsia="仿宋"/>
          <w:sz w:val="24"/>
        </w:rPr>
      </w:pPr>
      <w:r>
        <w:rPr>
          <w:rFonts w:hint="eastAsia" w:ascii="仿宋" w:hAnsi="仿宋" w:eastAsia="仿宋"/>
          <w:sz w:val="24"/>
        </w:rPr>
        <w:t>备注：培训班名额有限,请尽早报名，额满为止。</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qq咨询：3177524020        网址查询：http://www.zqgpchina.cn/</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9ED33"/>
    <w:multiLevelType w:val="singleLevel"/>
    <w:tmpl w:val="B819ED33"/>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03991"/>
    <w:rsid w:val="000232DE"/>
    <w:rsid w:val="000308AF"/>
    <w:rsid w:val="000342DF"/>
    <w:rsid w:val="00036898"/>
    <w:rsid w:val="00046647"/>
    <w:rsid w:val="000470E9"/>
    <w:rsid w:val="0005255C"/>
    <w:rsid w:val="000526D7"/>
    <w:rsid w:val="00056A27"/>
    <w:rsid w:val="000617F4"/>
    <w:rsid w:val="0006446E"/>
    <w:rsid w:val="00074E1A"/>
    <w:rsid w:val="00077A8C"/>
    <w:rsid w:val="00080A9D"/>
    <w:rsid w:val="00092650"/>
    <w:rsid w:val="00094B1E"/>
    <w:rsid w:val="00096021"/>
    <w:rsid w:val="000A1706"/>
    <w:rsid w:val="000C066B"/>
    <w:rsid w:val="000C7A80"/>
    <w:rsid w:val="000C7BB8"/>
    <w:rsid w:val="000E10CF"/>
    <w:rsid w:val="000E52B3"/>
    <w:rsid w:val="0010193B"/>
    <w:rsid w:val="00103FE5"/>
    <w:rsid w:val="00110043"/>
    <w:rsid w:val="00110F54"/>
    <w:rsid w:val="00114ABE"/>
    <w:rsid w:val="00115BBD"/>
    <w:rsid w:val="00117951"/>
    <w:rsid w:val="00117A73"/>
    <w:rsid w:val="00130DE1"/>
    <w:rsid w:val="0013280D"/>
    <w:rsid w:val="00141F04"/>
    <w:rsid w:val="00142B2F"/>
    <w:rsid w:val="001465C8"/>
    <w:rsid w:val="00147186"/>
    <w:rsid w:val="00150106"/>
    <w:rsid w:val="001511A0"/>
    <w:rsid w:val="001513F6"/>
    <w:rsid w:val="00153E9D"/>
    <w:rsid w:val="001542EE"/>
    <w:rsid w:val="00154D41"/>
    <w:rsid w:val="00164DF2"/>
    <w:rsid w:val="00176CF4"/>
    <w:rsid w:val="00177322"/>
    <w:rsid w:val="0019052F"/>
    <w:rsid w:val="001A3518"/>
    <w:rsid w:val="001B6B47"/>
    <w:rsid w:val="001C0221"/>
    <w:rsid w:val="001C481A"/>
    <w:rsid w:val="001C57FA"/>
    <w:rsid w:val="001C6954"/>
    <w:rsid w:val="001D12CD"/>
    <w:rsid w:val="001E0334"/>
    <w:rsid w:val="001F19FD"/>
    <w:rsid w:val="00202996"/>
    <w:rsid w:val="002135E2"/>
    <w:rsid w:val="002138B6"/>
    <w:rsid w:val="0022107C"/>
    <w:rsid w:val="00223B63"/>
    <w:rsid w:val="00224B28"/>
    <w:rsid w:val="002315D5"/>
    <w:rsid w:val="002368DA"/>
    <w:rsid w:val="002406D9"/>
    <w:rsid w:val="00263D06"/>
    <w:rsid w:val="00265856"/>
    <w:rsid w:val="002666CE"/>
    <w:rsid w:val="00280CFA"/>
    <w:rsid w:val="002811AE"/>
    <w:rsid w:val="002815F5"/>
    <w:rsid w:val="0028238A"/>
    <w:rsid w:val="00290A6E"/>
    <w:rsid w:val="00295FD2"/>
    <w:rsid w:val="002A0741"/>
    <w:rsid w:val="002A360A"/>
    <w:rsid w:val="002A6938"/>
    <w:rsid w:val="002B26B3"/>
    <w:rsid w:val="002B2A79"/>
    <w:rsid w:val="002B4033"/>
    <w:rsid w:val="002C2F3F"/>
    <w:rsid w:val="002C4C8C"/>
    <w:rsid w:val="002D7578"/>
    <w:rsid w:val="002E121D"/>
    <w:rsid w:val="002F5CBB"/>
    <w:rsid w:val="002F70E6"/>
    <w:rsid w:val="00301501"/>
    <w:rsid w:val="003018D1"/>
    <w:rsid w:val="0030751E"/>
    <w:rsid w:val="0032074D"/>
    <w:rsid w:val="003262A3"/>
    <w:rsid w:val="0032769F"/>
    <w:rsid w:val="003317EA"/>
    <w:rsid w:val="00331E3C"/>
    <w:rsid w:val="00335C6B"/>
    <w:rsid w:val="00340CE5"/>
    <w:rsid w:val="00362368"/>
    <w:rsid w:val="003659D3"/>
    <w:rsid w:val="003757C7"/>
    <w:rsid w:val="003803B9"/>
    <w:rsid w:val="003860F6"/>
    <w:rsid w:val="003C0CD0"/>
    <w:rsid w:val="003C33F0"/>
    <w:rsid w:val="003D112D"/>
    <w:rsid w:val="003D4A9A"/>
    <w:rsid w:val="003F2132"/>
    <w:rsid w:val="003F5394"/>
    <w:rsid w:val="004008E1"/>
    <w:rsid w:val="00407028"/>
    <w:rsid w:val="00422C30"/>
    <w:rsid w:val="00423C1C"/>
    <w:rsid w:val="00423FD8"/>
    <w:rsid w:val="0043096F"/>
    <w:rsid w:val="00441C2A"/>
    <w:rsid w:val="00442EE8"/>
    <w:rsid w:val="004569EF"/>
    <w:rsid w:val="00457F0B"/>
    <w:rsid w:val="00460A34"/>
    <w:rsid w:val="00460F5B"/>
    <w:rsid w:val="00464254"/>
    <w:rsid w:val="00465F9B"/>
    <w:rsid w:val="00470934"/>
    <w:rsid w:val="00471165"/>
    <w:rsid w:val="004738EA"/>
    <w:rsid w:val="00475F00"/>
    <w:rsid w:val="00477A26"/>
    <w:rsid w:val="00486285"/>
    <w:rsid w:val="004A4BEF"/>
    <w:rsid w:val="004A4FF4"/>
    <w:rsid w:val="004B0CD7"/>
    <w:rsid w:val="004B0ECD"/>
    <w:rsid w:val="004B15E2"/>
    <w:rsid w:val="004B20C0"/>
    <w:rsid w:val="004C6075"/>
    <w:rsid w:val="004D607B"/>
    <w:rsid w:val="004E143A"/>
    <w:rsid w:val="004E237C"/>
    <w:rsid w:val="004F265B"/>
    <w:rsid w:val="004F6A68"/>
    <w:rsid w:val="00507303"/>
    <w:rsid w:val="005206E5"/>
    <w:rsid w:val="00526E13"/>
    <w:rsid w:val="00531972"/>
    <w:rsid w:val="0053533B"/>
    <w:rsid w:val="005414A6"/>
    <w:rsid w:val="00546AF6"/>
    <w:rsid w:val="00550319"/>
    <w:rsid w:val="00552565"/>
    <w:rsid w:val="00564F7B"/>
    <w:rsid w:val="005662BA"/>
    <w:rsid w:val="00587B0D"/>
    <w:rsid w:val="0059259C"/>
    <w:rsid w:val="00593464"/>
    <w:rsid w:val="005960A9"/>
    <w:rsid w:val="0059749D"/>
    <w:rsid w:val="005A103C"/>
    <w:rsid w:val="005A4849"/>
    <w:rsid w:val="005B728E"/>
    <w:rsid w:val="005E1F51"/>
    <w:rsid w:val="005E4EFD"/>
    <w:rsid w:val="005E6A1C"/>
    <w:rsid w:val="005F17EB"/>
    <w:rsid w:val="006002D5"/>
    <w:rsid w:val="006043A3"/>
    <w:rsid w:val="0060660D"/>
    <w:rsid w:val="0061057E"/>
    <w:rsid w:val="0061060F"/>
    <w:rsid w:val="00620381"/>
    <w:rsid w:val="0063196E"/>
    <w:rsid w:val="00645259"/>
    <w:rsid w:val="006506B4"/>
    <w:rsid w:val="00660ECA"/>
    <w:rsid w:val="00661EB0"/>
    <w:rsid w:val="006637EB"/>
    <w:rsid w:val="00673B2F"/>
    <w:rsid w:val="0067507E"/>
    <w:rsid w:val="00675DE7"/>
    <w:rsid w:val="006858A0"/>
    <w:rsid w:val="006932E8"/>
    <w:rsid w:val="006938A1"/>
    <w:rsid w:val="006A33E5"/>
    <w:rsid w:val="006B025E"/>
    <w:rsid w:val="006C2CED"/>
    <w:rsid w:val="006D1043"/>
    <w:rsid w:val="006D4FCF"/>
    <w:rsid w:val="006E054F"/>
    <w:rsid w:val="006E28D9"/>
    <w:rsid w:val="006E4A26"/>
    <w:rsid w:val="006E5EC1"/>
    <w:rsid w:val="00716C3E"/>
    <w:rsid w:val="00720BC2"/>
    <w:rsid w:val="007211E2"/>
    <w:rsid w:val="00721AEB"/>
    <w:rsid w:val="00725DD5"/>
    <w:rsid w:val="00732548"/>
    <w:rsid w:val="00732767"/>
    <w:rsid w:val="00733AA0"/>
    <w:rsid w:val="007740D3"/>
    <w:rsid w:val="00777879"/>
    <w:rsid w:val="00797AA1"/>
    <w:rsid w:val="007A27FA"/>
    <w:rsid w:val="007A45EF"/>
    <w:rsid w:val="007A5669"/>
    <w:rsid w:val="007A7A53"/>
    <w:rsid w:val="007B2DEA"/>
    <w:rsid w:val="007B49DF"/>
    <w:rsid w:val="007C2681"/>
    <w:rsid w:val="007D595B"/>
    <w:rsid w:val="007F014A"/>
    <w:rsid w:val="007F2DDA"/>
    <w:rsid w:val="007F4DE4"/>
    <w:rsid w:val="007F5AA6"/>
    <w:rsid w:val="00802300"/>
    <w:rsid w:val="008036E9"/>
    <w:rsid w:val="00807356"/>
    <w:rsid w:val="00812431"/>
    <w:rsid w:val="00814AD1"/>
    <w:rsid w:val="00827624"/>
    <w:rsid w:val="00833D7A"/>
    <w:rsid w:val="00834BD9"/>
    <w:rsid w:val="00836499"/>
    <w:rsid w:val="00857FD9"/>
    <w:rsid w:val="00872F56"/>
    <w:rsid w:val="00880CF9"/>
    <w:rsid w:val="0088177E"/>
    <w:rsid w:val="0088357D"/>
    <w:rsid w:val="00890163"/>
    <w:rsid w:val="008B6F6E"/>
    <w:rsid w:val="008C4880"/>
    <w:rsid w:val="008D037D"/>
    <w:rsid w:val="008D2872"/>
    <w:rsid w:val="008D3603"/>
    <w:rsid w:val="008F0A8A"/>
    <w:rsid w:val="008F4FEA"/>
    <w:rsid w:val="00901B54"/>
    <w:rsid w:val="00906D0E"/>
    <w:rsid w:val="009075F7"/>
    <w:rsid w:val="00910F6D"/>
    <w:rsid w:val="009170EB"/>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0D9A"/>
    <w:rsid w:val="009C46E9"/>
    <w:rsid w:val="009E2B88"/>
    <w:rsid w:val="009E4166"/>
    <w:rsid w:val="009E4BCB"/>
    <w:rsid w:val="009E7C8B"/>
    <w:rsid w:val="009F1B4F"/>
    <w:rsid w:val="009F2B4A"/>
    <w:rsid w:val="009F70B7"/>
    <w:rsid w:val="00A0140F"/>
    <w:rsid w:val="00A01AC0"/>
    <w:rsid w:val="00A073FC"/>
    <w:rsid w:val="00A11394"/>
    <w:rsid w:val="00A138FB"/>
    <w:rsid w:val="00A34B75"/>
    <w:rsid w:val="00A37F32"/>
    <w:rsid w:val="00A435CF"/>
    <w:rsid w:val="00A54FE8"/>
    <w:rsid w:val="00A60EAA"/>
    <w:rsid w:val="00A64DAD"/>
    <w:rsid w:val="00A815A4"/>
    <w:rsid w:val="00A8540E"/>
    <w:rsid w:val="00A85F8A"/>
    <w:rsid w:val="00A92A3D"/>
    <w:rsid w:val="00A9550D"/>
    <w:rsid w:val="00AA0AAD"/>
    <w:rsid w:val="00AA16D6"/>
    <w:rsid w:val="00AB2966"/>
    <w:rsid w:val="00AB5AD3"/>
    <w:rsid w:val="00AB6628"/>
    <w:rsid w:val="00AC7EC0"/>
    <w:rsid w:val="00AD2089"/>
    <w:rsid w:val="00AD4CEB"/>
    <w:rsid w:val="00AD535B"/>
    <w:rsid w:val="00AD58CE"/>
    <w:rsid w:val="00AE1B23"/>
    <w:rsid w:val="00AE2EAF"/>
    <w:rsid w:val="00AE764D"/>
    <w:rsid w:val="00AF4BBA"/>
    <w:rsid w:val="00B0311B"/>
    <w:rsid w:val="00B07DE6"/>
    <w:rsid w:val="00B1643A"/>
    <w:rsid w:val="00B165B4"/>
    <w:rsid w:val="00B274A0"/>
    <w:rsid w:val="00B350D1"/>
    <w:rsid w:val="00B41CBB"/>
    <w:rsid w:val="00B46AA3"/>
    <w:rsid w:val="00B47E67"/>
    <w:rsid w:val="00B5301E"/>
    <w:rsid w:val="00B5331A"/>
    <w:rsid w:val="00B54CE0"/>
    <w:rsid w:val="00B72811"/>
    <w:rsid w:val="00B7364D"/>
    <w:rsid w:val="00B77E6D"/>
    <w:rsid w:val="00B81A75"/>
    <w:rsid w:val="00B84258"/>
    <w:rsid w:val="00B8481E"/>
    <w:rsid w:val="00B869E9"/>
    <w:rsid w:val="00B86BB9"/>
    <w:rsid w:val="00B92613"/>
    <w:rsid w:val="00B92FA8"/>
    <w:rsid w:val="00B93188"/>
    <w:rsid w:val="00BA17DE"/>
    <w:rsid w:val="00BB3624"/>
    <w:rsid w:val="00BC180F"/>
    <w:rsid w:val="00BC4B51"/>
    <w:rsid w:val="00BC5F5C"/>
    <w:rsid w:val="00BC6229"/>
    <w:rsid w:val="00BC7BDD"/>
    <w:rsid w:val="00BD335A"/>
    <w:rsid w:val="00BD5EF0"/>
    <w:rsid w:val="00BD6444"/>
    <w:rsid w:val="00BF185A"/>
    <w:rsid w:val="00BF48B2"/>
    <w:rsid w:val="00BF627C"/>
    <w:rsid w:val="00C03ECC"/>
    <w:rsid w:val="00C1084B"/>
    <w:rsid w:val="00C11786"/>
    <w:rsid w:val="00C122DC"/>
    <w:rsid w:val="00C204E4"/>
    <w:rsid w:val="00C26402"/>
    <w:rsid w:val="00C27933"/>
    <w:rsid w:val="00C30A83"/>
    <w:rsid w:val="00C327CA"/>
    <w:rsid w:val="00C35B98"/>
    <w:rsid w:val="00C42E7E"/>
    <w:rsid w:val="00C57D45"/>
    <w:rsid w:val="00C743BC"/>
    <w:rsid w:val="00C77044"/>
    <w:rsid w:val="00C8130A"/>
    <w:rsid w:val="00C83028"/>
    <w:rsid w:val="00C83BCE"/>
    <w:rsid w:val="00C9437E"/>
    <w:rsid w:val="00C95385"/>
    <w:rsid w:val="00CA0162"/>
    <w:rsid w:val="00CA08D2"/>
    <w:rsid w:val="00CA0D6D"/>
    <w:rsid w:val="00CA23AD"/>
    <w:rsid w:val="00CA2796"/>
    <w:rsid w:val="00CB06DF"/>
    <w:rsid w:val="00CB746D"/>
    <w:rsid w:val="00CC152A"/>
    <w:rsid w:val="00CC4E7C"/>
    <w:rsid w:val="00CD073C"/>
    <w:rsid w:val="00CD1C04"/>
    <w:rsid w:val="00CE5058"/>
    <w:rsid w:val="00D0561A"/>
    <w:rsid w:val="00D07ADD"/>
    <w:rsid w:val="00D104CF"/>
    <w:rsid w:val="00D13B44"/>
    <w:rsid w:val="00D2111E"/>
    <w:rsid w:val="00D36FDC"/>
    <w:rsid w:val="00D42F18"/>
    <w:rsid w:val="00D47FE5"/>
    <w:rsid w:val="00D53D56"/>
    <w:rsid w:val="00D5439B"/>
    <w:rsid w:val="00D610DA"/>
    <w:rsid w:val="00D628B4"/>
    <w:rsid w:val="00D62DA1"/>
    <w:rsid w:val="00D83A0B"/>
    <w:rsid w:val="00D90FE1"/>
    <w:rsid w:val="00D937B8"/>
    <w:rsid w:val="00D93CC0"/>
    <w:rsid w:val="00DA1750"/>
    <w:rsid w:val="00DA29D9"/>
    <w:rsid w:val="00DA2B5E"/>
    <w:rsid w:val="00DA3D21"/>
    <w:rsid w:val="00DA40E8"/>
    <w:rsid w:val="00DB3F1A"/>
    <w:rsid w:val="00DB68D0"/>
    <w:rsid w:val="00DC3389"/>
    <w:rsid w:val="00DC5D26"/>
    <w:rsid w:val="00DE4CF1"/>
    <w:rsid w:val="00DE51AD"/>
    <w:rsid w:val="00DE75D5"/>
    <w:rsid w:val="00DF3E0F"/>
    <w:rsid w:val="00DF7B46"/>
    <w:rsid w:val="00E05D46"/>
    <w:rsid w:val="00E067D1"/>
    <w:rsid w:val="00E11B43"/>
    <w:rsid w:val="00E15AAA"/>
    <w:rsid w:val="00E235A4"/>
    <w:rsid w:val="00E327BC"/>
    <w:rsid w:val="00E3445A"/>
    <w:rsid w:val="00E34CD4"/>
    <w:rsid w:val="00E36847"/>
    <w:rsid w:val="00E44770"/>
    <w:rsid w:val="00E45CFA"/>
    <w:rsid w:val="00E562D3"/>
    <w:rsid w:val="00E6094A"/>
    <w:rsid w:val="00E6168E"/>
    <w:rsid w:val="00E71937"/>
    <w:rsid w:val="00E72088"/>
    <w:rsid w:val="00E739C0"/>
    <w:rsid w:val="00E86258"/>
    <w:rsid w:val="00E905F5"/>
    <w:rsid w:val="00EA0C2C"/>
    <w:rsid w:val="00EA30EE"/>
    <w:rsid w:val="00EA3969"/>
    <w:rsid w:val="00EA4432"/>
    <w:rsid w:val="00EB2E46"/>
    <w:rsid w:val="00EB3517"/>
    <w:rsid w:val="00EB3CAE"/>
    <w:rsid w:val="00EB482C"/>
    <w:rsid w:val="00EC1011"/>
    <w:rsid w:val="00EC2F79"/>
    <w:rsid w:val="00EE56D1"/>
    <w:rsid w:val="00EE6FEB"/>
    <w:rsid w:val="00EF2191"/>
    <w:rsid w:val="00EF72ED"/>
    <w:rsid w:val="00F00F6C"/>
    <w:rsid w:val="00F111BD"/>
    <w:rsid w:val="00F11F60"/>
    <w:rsid w:val="00F17FFE"/>
    <w:rsid w:val="00F2132C"/>
    <w:rsid w:val="00F238CC"/>
    <w:rsid w:val="00F23F34"/>
    <w:rsid w:val="00F35CBE"/>
    <w:rsid w:val="00F36867"/>
    <w:rsid w:val="00F37322"/>
    <w:rsid w:val="00F42ECF"/>
    <w:rsid w:val="00F4480A"/>
    <w:rsid w:val="00F45A97"/>
    <w:rsid w:val="00F46481"/>
    <w:rsid w:val="00F55056"/>
    <w:rsid w:val="00F62FF6"/>
    <w:rsid w:val="00F6608C"/>
    <w:rsid w:val="00F670BD"/>
    <w:rsid w:val="00F74807"/>
    <w:rsid w:val="00F74E65"/>
    <w:rsid w:val="00F81D6E"/>
    <w:rsid w:val="00F87A32"/>
    <w:rsid w:val="00FA21B1"/>
    <w:rsid w:val="00FA61AD"/>
    <w:rsid w:val="00FB1F55"/>
    <w:rsid w:val="00FC3462"/>
    <w:rsid w:val="00FC62BC"/>
    <w:rsid w:val="00FC6989"/>
    <w:rsid w:val="00FD315B"/>
    <w:rsid w:val="00FE379E"/>
    <w:rsid w:val="00FF156F"/>
    <w:rsid w:val="00FF27EE"/>
    <w:rsid w:val="00FF2AE6"/>
    <w:rsid w:val="011869AB"/>
    <w:rsid w:val="017D07DB"/>
    <w:rsid w:val="018525FE"/>
    <w:rsid w:val="025D576C"/>
    <w:rsid w:val="02865BA2"/>
    <w:rsid w:val="02B37FBA"/>
    <w:rsid w:val="02C81F6B"/>
    <w:rsid w:val="0341422B"/>
    <w:rsid w:val="03535851"/>
    <w:rsid w:val="036971A1"/>
    <w:rsid w:val="03974C8A"/>
    <w:rsid w:val="044B05A6"/>
    <w:rsid w:val="04E75722"/>
    <w:rsid w:val="051F6F37"/>
    <w:rsid w:val="05994947"/>
    <w:rsid w:val="065320BA"/>
    <w:rsid w:val="06F904E6"/>
    <w:rsid w:val="07174066"/>
    <w:rsid w:val="077D4188"/>
    <w:rsid w:val="083D3D8F"/>
    <w:rsid w:val="08742D37"/>
    <w:rsid w:val="092D3638"/>
    <w:rsid w:val="094C2BE9"/>
    <w:rsid w:val="0969152B"/>
    <w:rsid w:val="097E6109"/>
    <w:rsid w:val="0AF007B2"/>
    <w:rsid w:val="0B1373FF"/>
    <w:rsid w:val="0B8B3C90"/>
    <w:rsid w:val="0CC17F35"/>
    <w:rsid w:val="0CD80741"/>
    <w:rsid w:val="0D187FC1"/>
    <w:rsid w:val="0D607878"/>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864B23"/>
    <w:rsid w:val="15D31A24"/>
    <w:rsid w:val="160A3EB0"/>
    <w:rsid w:val="163E125F"/>
    <w:rsid w:val="16562807"/>
    <w:rsid w:val="17282EEC"/>
    <w:rsid w:val="172C21CC"/>
    <w:rsid w:val="17432ED1"/>
    <w:rsid w:val="1743790C"/>
    <w:rsid w:val="1758171F"/>
    <w:rsid w:val="18225480"/>
    <w:rsid w:val="188A5136"/>
    <w:rsid w:val="189F579A"/>
    <w:rsid w:val="18C716DD"/>
    <w:rsid w:val="19787872"/>
    <w:rsid w:val="1A341559"/>
    <w:rsid w:val="1ACA602F"/>
    <w:rsid w:val="1B6C01B6"/>
    <w:rsid w:val="1C1A735D"/>
    <w:rsid w:val="1C6A3055"/>
    <w:rsid w:val="1C9B6920"/>
    <w:rsid w:val="1D316D1D"/>
    <w:rsid w:val="1D5B4B89"/>
    <w:rsid w:val="1DBF0CBB"/>
    <w:rsid w:val="1DC240E8"/>
    <w:rsid w:val="1DD0407D"/>
    <w:rsid w:val="1E3F75CB"/>
    <w:rsid w:val="1F2E3600"/>
    <w:rsid w:val="1F4C3447"/>
    <w:rsid w:val="1F805E87"/>
    <w:rsid w:val="202237EC"/>
    <w:rsid w:val="21E265C3"/>
    <w:rsid w:val="21EF13BE"/>
    <w:rsid w:val="22124569"/>
    <w:rsid w:val="22AA301A"/>
    <w:rsid w:val="231A79FB"/>
    <w:rsid w:val="23427490"/>
    <w:rsid w:val="23A74F81"/>
    <w:rsid w:val="23B87482"/>
    <w:rsid w:val="2534515B"/>
    <w:rsid w:val="25514918"/>
    <w:rsid w:val="25CC746F"/>
    <w:rsid w:val="25CD7195"/>
    <w:rsid w:val="26D97FC8"/>
    <w:rsid w:val="271746DF"/>
    <w:rsid w:val="275C2E99"/>
    <w:rsid w:val="27630FE2"/>
    <w:rsid w:val="27654257"/>
    <w:rsid w:val="276867BB"/>
    <w:rsid w:val="27E14DA2"/>
    <w:rsid w:val="2825101B"/>
    <w:rsid w:val="285F5923"/>
    <w:rsid w:val="28F14FED"/>
    <w:rsid w:val="28FA7512"/>
    <w:rsid w:val="29A0598C"/>
    <w:rsid w:val="2A5F24C7"/>
    <w:rsid w:val="2A8759F2"/>
    <w:rsid w:val="2BC86235"/>
    <w:rsid w:val="2BF61856"/>
    <w:rsid w:val="2BFA6DD9"/>
    <w:rsid w:val="2C451C26"/>
    <w:rsid w:val="2C917B80"/>
    <w:rsid w:val="2D1C0DD8"/>
    <w:rsid w:val="2E0B1A91"/>
    <w:rsid w:val="2E467FBA"/>
    <w:rsid w:val="2E651036"/>
    <w:rsid w:val="2EBB1E5C"/>
    <w:rsid w:val="2ED86F29"/>
    <w:rsid w:val="2F2B60A8"/>
    <w:rsid w:val="2F9068E6"/>
    <w:rsid w:val="2FED1450"/>
    <w:rsid w:val="30E45296"/>
    <w:rsid w:val="3187040E"/>
    <w:rsid w:val="319E4FAA"/>
    <w:rsid w:val="31CA4677"/>
    <w:rsid w:val="33B24883"/>
    <w:rsid w:val="33B72C9D"/>
    <w:rsid w:val="34A64039"/>
    <w:rsid w:val="34AF0B35"/>
    <w:rsid w:val="34E55454"/>
    <w:rsid w:val="35083BB2"/>
    <w:rsid w:val="3519586F"/>
    <w:rsid w:val="35716459"/>
    <w:rsid w:val="35C03643"/>
    <w:rsid w:val="35E36EA4"/>
    <w:rsid w:val="35F60F20"/>
    <w:rsid w:val="363E3C50"/>
    <w:rsid w:val="36C30E80"/>
    <w:rsid w:val="37837751"/>
    <w:rsid w:val="37E34461"/>
    <w:rsid w:val="382B423A"/>
    <w:rsid w:val="3864090B"/>
    <w:rsid w:val="38895F5A"/>
    <w:rsid w:val="393A0128"/>
    <w:rsid w:val="399F020A"/>
    <w:rsid w:val="39C2689A"/>
    <w:rsid w:val="39F024D2"/>
    <w:rsid w:val="39F25D24"/>
    <w:rsid w:val="3A72059F"/>
    <w:rsid w:val="3AC9262E"/>
    <w:rsid w:val="3B3A4564"/>
    <w:rsid w:val="3B9503EA"/>
    <w:rsid w:val="3BD43020"/>
    <w:rsid w:val="3C0E2504"/>
    <w:rsid w:val="3C8049D1"/>
    <w:rsid w:val="3CAD2090"/>
    <w:rsid w:val="3CB34BDA"/>
    <w:rsid w:val="3D26388F"/>
    <w:rsid w:val="3D3C2B7A"/>
    <w:rsid w:val="3D854F8E"/>
    <w:rsid w:val="3DB02209"/>
    <w:rsid w:val="3E514ED8"/>
    <w:rsid w:val="3E975B6C"/>
    <w:rsid w:val="3F276853"/>
    <w:rsid w:val="3F596611"/>
    <w:rsid w:val="3FEF0D6E"/>
    <w:rsid w:val="405E0718"/>
    <w:rsid w:val="4079252D"/>
    <w:rsid w:val="41D66FCC"/>
    <w:rsid w:val="423F4B39"/>
    <w:rsid w:val="425F6512"/>
    <w:rsid w:val="42606FC8"/>
    <w:rsid w:val="427A6C29"/>
    <w:rsid w:val="43A9737B"/>
    <w:rsid w:val="44471EF0"/>
    <w:rsid w:val="454855FC"/>
    <w:rsid w:val="45B10D5F"/>
    <w:rsid w:val="45D51F5C"/>
    <w:rsid w:val="465D0061"/>
    <w:rsid w:val="4671741C"/>
    <w:rsid w:val="46F61667"/>
    <w:rsid w:val="46F96486"/>
    <w:rsid w:val="47CE26FD"/>
    <w:rsid w:val="47D63F93"/>
    <w:rsid w:val="4801544B"/>
    <w:rsid w:val="480477FC"/>
    <w:rsid w:val="48086527"/>
    <w:rsid w:val="485B3261"/>
    <w:rsid w:val="48770DE2"/>
    <w:rsid w:val="49737182"/>
    <w:rsid w:val="4AAF6946"/>
    <w:rsid w:val="4AF93BC8"/>
    <w:rsid w:val="4B2A78AD"/>
    <w:rsid w:val="4BDF7960"/>
    <w:rsid w:val="4C257713"/>
    <w:rsid w:val="4E4C35E9"/>
    <w:rsid w:val="4E5C6A4B"/>
    <w:rsid w:val="4EDD069A"/>
    <w:rsid w:val="4F1A6A36"/>
    <w:rsid w:val="4F255DB4"/>
    <w:rsid w:val="4F502534"/>
    <w:rsid w:val="5086425C"/>
    <w:rsid w:val="50EB4984"/>
    <w:rsid w:val="511F4A02"/>
    <w:rsid w:val="511F77FB"/>
    <w:rsid w:val="51577817"/>
    <w:rsid w:val="51894D24"/>
    <w:rsid w:val="521336C8"/>
    <w:rsid w:val="526E7C4E"/>
    <w:rsid w:val="52B873DF"/>
    <w:rsid w:val="52EB1D81"/>
    <w:rsid w:val="53433460"/>
    <w:rsid w:val="53A0535F"/>
    <w:rsid w:val="53CA0CA6"/>
    <w:rsid w:val="54010ADE"/>
    <w:rsid w:val="542B162C"/>
    <w:rsid w:val="545F3AEE"/>
    <w:rsid w:val="54811502"/>
    <w:rsid w:val="54A045B2"/>
    <w:rsid w:val="553C14D6"/>
    <w:rsid w:val="55CF2235"/>
    <w:rsid w:val="563029D7"/>
    <w:rsid w:val="56567BA9"/>
    <w:rsid w:val="568E62EB"/>
    <w:rsid w:val="575E3358"/>
    <w:rsid w:val="57BD2129"/>
    <w:rsid w:val="57C14A09"/>
    <w:rsid w:val="5870386E"/>
    <w:rsid w:val="58CD7A24"/>
    <w:rsid w:val="5950539C"/>
    <w:rsid w:val="5A616693"/>
    <w:rsid w:val="5AF014CD"/>
    <w:rsid w:val="5B1950BD"/>
    <w:rsid w:val="5B4643C3"/>
    <w:rsid w:val="5B57314F"/>
    <w:rsid w:val="5B896D6D"/>
    <w:rsid w:val="5C4F65BE"/>
    <w:rsid w:val="5C7A40A7"/>
    <w:rsid w:val="5CAA0BA4"/>
    <w:rsid w:val="5E255F75"/>
    <w:rsid w:val="5E9C61EE"/>
    <w:rsid w:val="5EAD2585"/>
    <w:rsid w:val="5F502257"/>
    <w:rsid w:val="5F647DF3"/>
    <w:rsid w:val="5F705A0C"/>
    <w:rsid w:val="60D1271D"/>
    <w:rsid w:val="61310BC7"/>
    <w:rsid w:val="6186548A"/>
    <w:rsid w:val="61CE73B0"/>
    <w:rsid w:val="6224530F"/>
    <w:rsid w:val="622B2355"/>
    <w:rsid w:val="63442F70"/>
    <w:rsid w:val="63535B88"/>
    <w:rsid w:val="637067C7"/>
    <w:rsid w:val="63962E8A"/>
    <w:rsid w:val="63B90B4D"/>
    <w:rsid w:val="64A65681"/>
    <w:rsid w:val="650A73B1"/>
    <w:rsid w:val="65BA1C78"/>
    <w:rsid w:val="65BA2AD4"/>
    <w:rsid w:val="65D86D7D"/>
    <w:rsid w:val="66B53431"/>
    <w:rsid w:val="67165475"/>
    <w:rsid w:val="672659C0"/>
    <w:rsid w:val="6787266D"/>
    <w:rsid w:val="67D77787"/>
    <w:rsid w:val="67EB49D1"/>
    <w:rsid w:val="685C6586"/>
    <w:rsid w:val="68676780"/>
    <w:rsid w:val="687F42C4"/>
    <w:rsid w:val="6960453D"/>
    <w:rsid w:val="697D040D"/>
    <w:rsid w:val="698409ED"/>
    <w:rsid w:val="6A11215D"/>
    <w:rsid w:val="6A492A69"/>
    <w:rsid w:val="6A6C6DD2"/>
    <w:rsid w:val="6A74173C"/>
    <w:rsid w:val="6B3512F8"/>
    <w:rsid w:val="6B4A4762"/>
    <w:rsid w:val="6B81373D"/>
    <w:rsid w:val="6BF06556"/>
    <w:rsid w:val="6BF46113"/>
    <w:rsid w:val="6C2329A7"/>
    <w:rsid w:val="6C5A5C1A"/>
    <w:rsid w:val="6CA25F3E"/>
    <w:rsid w:val="6DD0135D"/>
    <w:rsid w:val="6DE81B9B"/>
    <w:rsid w:val="6E777FC9"/>
    <w:rsid w:val="6E921E4C"/>
    <w:rsid w:val="6EC04D44"/>
    <w:rsid w:val="6ED33FB9"/>
    <w:rsid w:val="6ED9516E"/>
    <w:rsid w:val="6F2522CE"/>
    <w:rsid w:val="6F5942CE"/>
    <w:rsid w:val="6FA07554"/>
    <w:rsid w:val="6FD35462"/>
    <w:rsid w:val="70004829"/>
    <w:rsid w:val="700753D0"/>
    <w:rsid w:val="71527F3D"/>
    <w:rsid w:val="71726E1F"/>
    <w:rsid w:val="718A2199"/>
    <w:rsid w:val="723B294E"/>
    <w:rsid w:val="72A75B9F"/>
    <w:rsid w:val="73C3795E"/>
    <w:rsid w:val="73E26068"/>
    <w:rsid w:val="7441451E"/>
    <w:rsid w:val="754164CF"/>
    <w:rsid w:val="755556E5"/>
    <w:rsid w:val="7583497A"/>
    <w:rsid w:val="75BB7057"/>
    <w:rsid w:val="75C83C9E"/>
    <w:rsid w:val="76841FCA"/>
    <w:rsid w:val="76FB3F41"/>
    <w:rsid w:val="781E4804"/>
    <w:rsid w:val="785966C9"/>
    <w:rsid w:val="78693F6B"/>
    <w:rsid w:val="78E6558A"/>
    <w:rsid w:val="790348B2"/>
    <w:rsid w:val="79895EB2"/>
    <w:rsid w:val="7B166D76"/>
    <w:rsid w:val="7B347CE7"/>
    <w:rsid w:val="7B927BA1"/>
    <w:rsid w:val="7C544BD7"/>
    <w:rsid w:val="7CCF6E56"/>
    <w:rsid w:val="7D014BF7"/>
    <w:rsid w:val="7D6D1340"/>
    <w:rsid w:val="7DA720F2"/>
    <w:rsid w:val="7E473B6E"/>
    <w:rsid w:val="7E7244F2"/>
    <w:rsid w:val="7EF0300D"/>
    <w:rsid w:val="7F8F0389"/>
    <w:rsid w:val="7FD90AA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9"/>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22"/>
    <w:rPr>
      <w:rFonts w:cs="Times New Roman"/>
      <w:b/>
      <w:bCs/>
    </w:rPr>
  </w:style>
  <w:style w:type="character" w:styleId="13">
    <w:name w:val="page number"/>
    <w:basedOn w:val="11"/>
    <w:qFormat/>
    <w:uiPriority w:val="0"/>
  </w:style>
  <w:style w:type="character" w:styleId="14">
    <w:name w:val="Emphasis"/>
    <w:basedOn w:val="11"/>
    <w:qFormat/>
    <w:uiPriority w:val="99"/>
    <w:rPr>
      <w:rFonts w:cs="Times New Roman"/>
      <w:i/>
      <w:iCs/>
    </w:rPr>
  </w:style>
  <w:style w:type="character" w:styleId="15">
    <w:name w:val="Hyperlink"/>
    <w:basedOn w:val="11"/>
    <w:qFormat/>
    <w:uiPriority w:val="99"/>
    <w:rPr>
      <w:rFonts w:cs="Times New Roman"/>
      <w:color w:val="444444"/>
      <w:u w:val="none"/>
    </w:rPr>
  </w:style>
  <w:style w:type="paragraph" w:customStyle="1" w:styleId="16">
    <w:name w:val="Char Char Char Char Char Char Char"/>
    <w:basedOn w:val="1"/>
    <w:qFormat/>
    <w:uiPriority w:val="0"/>
    <w:pPr>
      <w:widowControl/>
      <w:spacing w:after="160" w:line="240" w:lineRule="exact"/>
      <w:jc w:val="left"/>
    </w:pPr>
  </w:style>
  <w:style w:type="character" w:customStyle="1" w:styleId="17">
    <w:name w:val="标题 1 Char"/>
    <w:basedOn w:val="11"/>
    <w:link w:val="2"/>
    <w:qFormat/>
    <w:locked/>
    <w:uiPriority w:val="99"/>
    <w:rPr>
      <w:rFonts w:ascii="宋体" w:eastAsia="宋体" w:cs="宋体"/>
      <w:b/>
      <w:bCs/>
      <w:kern w:val="36"/>
      <w:sz w:val="48"/>
      <w:szCs w:val="48"/>
    </w:rPr>
  </w:style>
  <w:style w:type="character" w:customStyle="1" w:styleId="18">
    <w:name w:val="文档结构图 Char"/>
    <w:basedOn w:val="11"/>
    <w:link w:val="3"/>
    <w:semiHidden/>
    <w:qFormat/>
    <w:locked/>
    <w:uiPriority w:val="99"/>
    <w:rPr>
      <w:rFonts w:ascii="宋体" w:hAnsi="Calibri" w:cs="宋体"/>
      <w:kern w:val="2"/>
      <w:sz w:val="18"/>
      <w:szCs w:val="18"/>
    </w:rPr>
  </w:style>
  <w:style w:type="character" w:customStyle="1" w:styleId="19">
    <w:name w:val="批注框文本 Char"/>
    <w:basedOn w:val="11"/>
    <w:link w:val="6"/>
    <w:qFormat/>
    <w:locked/>
    <w:uiPriority w:val="99"/>
    <w:rPr>
      <w:rFonts w:ascii="Calibri" w:hAnsi="Calibri" w:eastAsia="宋体" w:cs="宋体"/>
      <w:kern w:val="2"/>
      <w:sz w:val="18"/>
      <w:szCs w:val="18"/>
    </w:rPr>
  </w:style>
  <w:style w:type="character" w:customStyle="1" w:styleId="20">
    <w:name w:val="页脚 Char"/>
    <w:basedOn w:val="11"/>
    <w:link w:val="7"/>
    <w:qFormat/>
    <w:locked/>
    <w:uiPriority w:val="99"/>
    <w:rPr>
      <w:rFonts w:ascii="Calibri" w:hAnsi="Calibri" w:eastAsia="宋体" w:cs="宋体"/>
      <w:kern w:val="2"/>
      <w:sz w:val="18"/>
      <w:szCs w:val="18"/>
    </w:rPr>
  </w:style>
  <w:style w:type="character" w:customStyle="1" w:styleId="21">
    <w:name w:val="页眉 Char"/>
    <w:basedOn w:val="11"/>
    <w:link w:val="8"/>
    <w:qFormat/>
    <w:locked/>
    <w:uiPriority w:val="99"/>
    <w:rPr>
      <w:rFonts w:ascii="Calibri" w:hAnsi="Calibri" w:eastAsia="宋体" w:cs="宋体"/>
      <w:kern w:val="2"/>
      <w:sz w:val="18"/>
      <w:szCs w:val="18"/>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99"/>
    <w:pPr>
      <w:ind w:firstLine="420" w:firstLineChars="200"/>
    </w:pPr>
    <w:rPr>
      <w:rFonts w:cs="Times New Roman"/>
      <w:szCs w:val="22"/>
    </w:rPr>
  </w:style>
  <w:style w:type="character" w:customStyle="1" w:styleId="24">
    <w:name w:val="日期 Char"/>
    <w:basedOn w:val="11"/>
    <w:link w:val="5"/>
    <w:semiHidden/>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98B8E-1EE5-45CA-9272-28840140D188}">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6</Pages>
  <Words>901</Words>
  <Characters>5142</Characters>
  <Lines>42</Lines>
  <Paragraphs>12</Paragraphs>
  <TotalTime>4</TotalTime>
  <ScaleCrop>false</ScaleCrop>
  <LinksUpToDate>false</LinksUpToDate>
  <CharactersWithSpaces>6031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2021-05-18T09:25:57Z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92B6F320E6DE4FB19DE5FE3E39359DAD</vt:lpwstr>
  </property>
</Properties>
</file>