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color w:val="FF0000"/>
          <w:w w:val="66"/>
          <w:sz w:val="116"/>
          <w:szCs w:val="116"/>
        </w:rPr>
      </w:pPr>
      <w:r>
        <w:rPr>
          <w:rFonts w:hint="eastAsia" w:ascii="宋体" w:hAnsi="宋体"/>
          <w:b/>
          <w:color w:val="FF0000"/>
          <w:w w:val="66"/>
          <w:sz w:val="116"/>
          <w:szCs w:val="116"/>
        </w:rPr>
        <w:t>中国建设教育协会培训中心</w:t>
      </w:r>
    </w:p>
    <w:p>
      <w:pPr>
        <w:tabs>
          <w:tab w:val="left" w:pos="1390"/>
          <w:tab w:val="center" w:pos="5233"/>
        </w:tabs>
        <w:jc w:val="center"/>
        <w:rPr>
          <w:rFonts w:ascii="宋体" w:hAnsi="宋体" w:cs="宋体"/>
          <w:kern w:val="0"/>
          <w:sz w:val="30"/>
          <w:szCs w:val="30"/>
          <w:lang w:val="zh-CN"/>
        </w:rPr>
      </w:pPr>
      <w:r>
        <w:rPr>
          <w:rFonts w:ascii="方正小标宋简体" w:eastAsia="方正小标宋简体"/>
          <w:color w:val="FF0000"/>
          <w:sz w:val="52"/>
          <w:szCs w:val="52"/>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320675</wp:posOffset>
                </wp:positionV>
                <wp:extent cx="6059805" cy="635"/>
                <wp:effectExtent l="0" t="0" r="0" b="0"/>
                <wp:wrapNone/>
                <wp:docPr id="1" name="AutoShape 3"/>
                <wp:cNvGraphicFramePr/>
                <a:graphic xmlns:a="http://schemas.openxmlformats.org/drawingml/2006/main">
                  <a:graphicData uri="http://schemas.microsoft.com/office/word/2010/wordprocessingShape">
                    <wps:wsp>
                      <wps:cNvCnPr/>
                      <wps:spPr>
                        <a:xfrm>
                          <a:off x="0" y="0"/>
                          <a:ext cx="6059805" cy="635"/>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AutoShape 3" o:spid="_x0000_s1026" o:spt="32" type="#_x0000_t32" style="position:absolute;left:0pt;margin-left:0.65pt;margin-top:25.25pt;height:0.05pt;width:477.15pt;z-index:251659264;mso-width-relative:page;mso-height-relative:page;" filled="f" stroked="t" coordsize="21600,21600" o:gfxdata="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jk7CbUAAAABwEAAA8A&#10;AAAAAAAAAQAgAAAAIgAAAGRycy9kb3ducmV2LnhtbFBLAQIUABQAAAAIAIdO4kAvX0iS4gEAAOMD&#10;AAAOAAAAAAAAAAEAIAAAACMBAABkcnMvZTJvRG9jLnhtbFBLBQYAAAAABgAGAFkBAAB3BQAAAAA=&#10;">
                <v:fill on="f" focussize="0,0"/>
                <v:stroke weight="1.5pt" color="#FF0000" joinstyle="round"/>
                <v:imagedata o:title=""/>
                <o:lock v:ext="edit" aspectratio="f"/>
              </v:shape>
            </w:pict>
          </mc:Fallback>
        </mc:AlternateContent>
      </w:r>
      <w:r>
        <w:rPr>
          <w:rFonts w:hint="eastAsia" w:ascii="宋体" w:hAnsi="宋体" w:cs="宋体"/>
          <w:bCs/>
          <w:sz w:val="28"/>
          <w:szCs w:val="28"/>
        </w:rPr>
        <w:t>建教协培〔2021〕40号</w:t>
      </w:r>
    </w:p>
    <w:p>
      <w:pPr>
        <w:tabs>
          <w:tab w:val="left" w:pos="1390"/>
          <w:tab w:val="center" w:pos="5233"/>
        </w:tabs>
        <w:jc w:val="center"/>
        <w:rPr>
          <w:rFonts w:ascii="宋体" w:hAnsi="宋体" w:cs="宋体"/>
          <w:b/>
          <w:bCs/>
          <w:kern w:val="0"/>
          <w:sz w:val="32"/>
          <w:szCs w:val="32"/>
        </w:rPr>
      </w:pPr>
      <w:r>
        <w:rPr>
          <w:rFonts w:hint="eastAsia" w:ascii="宋体" w:hAnsi="宋体" w:cs="宋体"/>
          <w:b/>
          <w:bCs/>
          <w:kern w:val="0"/>
          <w:sz w:val="32"/>
          <w:szCs w:val="32"/>
        </w:rPr>
        <w:t>关于举办2021年安全生产万里行“危大工程安全管控关键技术与</w:t>
      </w:r>
    </w:p>
    <w:p>
      <w:pPr>
        <w:widowControl/>
        <w:spacing w:line="520" w:lineRule="exact"/>
        <w:jc w:val="center"/>
        <w:rPr>
          <w:rFonts w:ascii="仿宋" w:hAnsi="仿宋" w:eastAsia="仿宋" w:cs="仿宋"/>
          <w:color w:val="000000"/>
          <w:kern w:val="0"/>
          <w:sz w:val="36"/>
          <w:szCs w:val="36"/>
        </w:rPr>
      </w:pPr>
      <w:r>
        <w:rPr>
          <w:rFonts w:hint="eastAsia" w:ascii="宋体" w:hAnsi="宋体" w:cs="宋体"/>
          <w:b/>
          <w:bCs/>
          <w:kern w:val="0"/>
          <w:sz w:val="32"/>
          <w:szCs w:val="32"/>
        </w:rPr>
        <w:t>双重预防体系建设”职业能力培训班的通知</w:t>
      </w:r>
    </w:p>
    <w:p>
      <w:pPr>
        <w:snapToGrid w:val="0"/>
        <w:spacing w:line="400" w:lineRule="exact"/>
        <w:rPr>
          <w:rFonts w:ascii="仿宋" w:hAnsi="仿宋" w:eastAsia="仿宋" w:cs="仿宋"/>
          <w:color w:val="000000"/>
          <w:kern w:val="0"/>
          <w:sz w:val="28"/>
          <w:szCs w:val="28"/>
        </w:rPr>
      </w:pPr>
    </w:p>
    <w:p>
      <w:pPr>
        <w:snapToGrid w:val="0"/>
        <w:spacing w:line="420" w:lineRule="exact"/>
        <w:rPr>
          <w:rFonts w:ascii="仿宋" w:hAnsi="仿宋" w:eastAsia="仿宋" w:cs="仿宋"/>
          <w:color w:val="000000"/>
          <w:kern w:val="0"/>
          <w:sz w:val="30"/>
          <w:szCs w:val="30"/>
        </w:rPr>
      </w:pPr>
      <w:r>
        <w:rPr>
          <w:rFonts w:hint="eastAsia" w:ascii="仿宋" w:hAnsi="仿宋" w:eastAsia="仿宋" w:cs="仿宋"/>
          <w:color w:val="000000"/>
          <w:kern w:val="0"/>
          <w:sz w:val="30"/>
          <w:szCs w:val="30"/>
        </w:rPr>
        <w:t>各有关单位：</w:t>
      </w:r>
    </w:p>
    <w:p>
      <w:pPr>
        <w:snapToGrid w:val="0"/>
        <w:spacing w:line="42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今年是安全生产专项整治三年行动集中攻坚之年。国务院安委会办公室、应急管理部公布了《关于开展2021年全国“安全生产月”活动的通知》，通知突出“落实安全责任，推动安全发展”为主题，注重总结经验做法，强化问题隐患警示曝光，开展好“安全生产万里行”活动。</w:t>
      </w:r>
    </w:p>
    <w:p>
      <w:pPr>
        <w:snapToGrid w:val="0"/>
        <w:spacing w:line="42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为深入贯彻落实习近平总书记关于安全生产重要论述，扎实推进全国安全生产专项整治三年行动集中攻坚，围绕防范化解风险隐患、遏制重特大事故，宣传推广安全生产责任落实和安全诚信、安全承诺、专家服务、精准执法、举报奖励等经验做法，鼓励各地创新安全管理体制机制，提升安全生产工作水平，进一步深化建筑施工安全标准化工作，推进信息技术与安全生产深度融合，加快建设建筑施工安全监管信息系统，切实有效加强建筑施工生产安全法制建设。中国建设教育协会培训中心将于2021年6月、7月下旬在北京市、兰州市举办“</w:t>
      </w:r>
      <w:r>
        <w:rPr>
          <w:rFonts w:hint="eastAsia" w:ascii="仿宋" w:hAnsi="仿宋" w:eastAsia="仿宋" w:cs="仿宋"/>
          <w:kern w:val="0"/>
          <w:sz w:val="30"/>
          <w:szCs w:val="30"/>
        </w:rPr>
        <w:t>2021安全生产万里行危大工程安全管控关键技术与双重预防体系建设</w:t>
      </w:r>
      <w:r>
        <w:rPr>
          <w:rFonts w:hint="eastAsia" w:ascii="仿宋" w:hAnsi="仿宋" w:eastAsia="仿宋" w:cs="仿宋"/>
          <w:color w:val="000000"/>
          <w:kern w:val="0"/>
          <w:sz w:val="30"/>
          <w:szCs w:val="30"/>
        </w:rPr>
        <w:t>”职业能力培训班。有关事项通知如下：</w:t>
      </w:r>
    </w:p>
    <w:p>
      <w:pPr>
        <w:numPr>
          <w:ilvl w:val="0"/>
          <w:numId w:val="1"/>
        </w:numPr>
        <w:spacing w:line="420" w:lineRule="exact"/>
        <w:ind w:firstLine="600" w:firstLineChars="200"/>
        <w:rPr>
          <w:rFonts w:ascii="仿宋" w:hAnsi="仿宋" w:eastAsia="仿宋" w:cs="仿宋"/>
          <w:b/>
          <w:bCs/>
          <w:sz w:val="30"/>
          <w:szCs w:val="30"/>
        </w:rPr>
      </w:pPr>
      <w:r>
        <w:rPr>
          <w:rFonts w:hint="eastAsia" w:ascii="仿宋" w:hAnsi="仿宋" w:eastAsia="仿宋" w:cs="仿宋"/>
          <w:b/>
          <w:bCs/>
          <w:sz w:val="30"/>
          <w:szCs w:val="30"/>
        </w:rPr>
        <w:t>培训内容</w:t>
      </w:r>
    </w:p>
    <w:p>
      <w:pPr>
        <w:spacing w:line="420" w:lineRule="exact"/>
        <w:ind w:firstLine="600" w:firstLineChars="200"/>
        <w:rPr>
          <w:rFonts w:ascii="仿宋" w:hAnsi="仿宋" w:eastAsia="仿宋" w:cs="仿宋"/>
          <w:b/>
          <w:bCs/>
          <w:kern w:val="28"/>
          <w:sz w:val="30"/>
          <w:szCs w:val="30"/>
        </w:rPr>
      </w:pPr>
      <w:r>
        <w:rPr>
          <w:rFonts w:hint="eastAsia" w:ascii="仿宋" w:hAnsi="仿宋" w:eastAsia="仿宋" w:cs="仿宋"/>
          <w:b/>
          <w:bCs/>
          <w:kern w:val="28"/>
          <w:sz w:val="30"/>
          <w:szCs w:val="30"/>
        </w:rPr>
        <w:t>(一)建筑企业双重预防体系建设</w:t>
      </w:r>
    </w:p>
    <w:p>
      <w:pPr>
        <w:snapToGrid w:val="0"/>
        <w:spacing w:line="420" w:lineRule="exact"/>
        <w:ind w:firstLine="600" w:firstLineChars="200"/>
        <w:rPr>
          <w:rFonts w:ascii="仿宋" w:hAnsi="仿宋" w:eastAsia="仿宋" w:cs="仿宋"/>
          <w:kern w:val="28"/>
          <w:sz w:val="30"/>
          <w:szCs w:val="30"/>
        </w:rPr>
      </w:pPr>
      <w:r>
        <w:rPr>
          <w:rFonts w:hint="eastAsia" w:ascii="仿宋" w:hAnsi="仿宋" w:eastAsia="仿宋" w:cs="仿宋"/>
          <w:kern w:val="28"/>
          <w:sz w:val="30"/>
          <w:szCs w:val="30"/>
        </w:rPr>
        <w:t>1.双重预防体系概述；</w:t>
      </w:r>
    </w:p>
    <w:p>
      <w:pPr>
        <w:snapToGrid w:val="0"/>
        <w:spacing w:line="420" w:lineRule="exact"/>
        <w:ind w:firstLine="600" w:firstLineChars="200"/>
        <w:rPr>
          <w:rFonts w:ascii="仿宋" w:hAnsi="仿宋" w:eastAsia="仿宋" w:cs="仿宋"/>
          <w:kern w:val="28"/>
          <w:sz w:val="30"/>
          <w:szCs w:val="30"/>
        </w:rPr>
      </w:pPr>
      <w:r>
        <w:rPr>
          <w:rFonts w:hint="eastAsia" w:ascii="仿宋" w:hAnsi="仿宋" w:eastAsia="仿宋" w:cs="仿宋"/>
          <w:kern w:val="28"/>
          <w:sz w:val="30"/>
          <w:szCs w:val="30"/>
        </w:rPr>
        <w:t>2.双重预防体系建设基本要求；</w:t>
      </w:r>
    </w:p>
    <w:p>
      <w:pPr>
        <w:snapToGrid w:val="0"/>
        <w:spacing w:line="420" w:lineRule="exact"/>
        <w:ind w:firstLine="600" w:firstLineChars="200"/>
        <w:rPr>
          <w:rFonts w:ascii="仿宋" w:hAnsi="仿宋" w:eastAsia="仿宋" w:cs="仿宋"/>
          <w:kern w:val="28"/>
          <w:sz w:val="30"/>
          <w:szCs w:val="30"/>
        </w:rPr>
      </w:pPr>
      <w:r>
        <w:rPr>
          <w:rFonts w:hint="eastAsia" w:ascii="仿宋" w:hAnsi="仿宋" w:eastAsia="仿宋" w:cs="仿宋"/>
          <w:kern w:val="28"/>
          <w:sz w:val="30"/>
          <w:szCs w:val="30"/>
        </w:rPr>
        <w:t>3.风险分级管控体系建设；</w:t>
      </w:r>
    </w:p>
    <w:p>
      <w:pPr>
        <w:snapToGrid w:val="0"/>
        <w:spacing w:line="420" w:lineRule="exact"/>
        <w:ind w:firstLine="600" w:firstLineChars="200"/>
        <w:rPr>
          <w:rFonts w:ascii="仿宋" w:hAnsi="仿宋" w:eastAsia="仿宋" w:cs="仿宋"/>
          <w:kern w:val="28"/>
          <w:sz w:val="30"/>
          <w:szCs w:val="30"/>
        </w:rPr>
      </w:pPr>
      <w:r>
        <w:rPr>
          <w:rFonts w:hint="eastAsia" w:ascii="仿宋" w:hAnsi="仿宋" w:eastAsia="仿宋" w:cs="仿宋"/>
          <w:kern w:val="28"/>
          <w:sz w:val="30"/>
          <w:szCs w:val="30"/>
        </w:rPr>
        <w:t>4.隐患排查治理体系建设。</w:t>
      </w:r>
    </w:p>
    <w:p>
      <w:pPr>
        <w:snapToGrid w:val="0"/>
        <w:spacing w:line="420" w:lineRule="exact"/>
        <w:ind w:firstLine="300" w:firstLineChars="100"/>
        <w:rPr>
          <w:rFonts w:ascii="仿宋" w:hAnsi="仿宋" w:eastAsia="仿宋" w:cs="仿宋"/>
          <w:b/>
          <w:bCs/>
          <w:kern w:val="28"/>
          <w:sz w:val="30"/>
          <w:szCs w:val="30"/>
        </w:rPr>
      </w:pPr>
      <w:r>
        <w:rPr>
          <w:rFonts w:hint="eastAsia" w:ascii="仿宋" w:hAnsi="仿宋" w:eastAsia="仿宋" w:cs="仿宋"/>
          <w:b/>
          <w:bCs/>
          <w:kern w:val="28"/>
          <w:sz w:val="30"/>
          <w:szCs w:val="30"/>
        </w:rPr>
        <w:t>（二）合理规避安全事故引起的刑事法律风险</w:t>
      </w:r>
    </w:p>
    <w:p>
      <w:pPr>
        <w:snapToGrid w:val="0"/>
        <w:spacing w:line="420" w:lineRule="exact"/>
        <w:ind w:firstLine="600" w:firstLineChars="200"/>
        <w:rPr>
          <w:rFonts w:ascii="仿宋" w:hAnsi="仿宋" w:eastAsia="仿宋" w:cs="仿宋"/>
          <w:kern w:val="28"/>
          <w:sz w:val="30"/>
          <w:szCs w:val="30"/>
        </w:rPr>
      </w:pPr>
      <w:r>
        <w:rPr>
          <w:rFonts w:hint="eastAsia" w:ascii="仿宋" w:hAnsi="仿宋" w:eastAsia="仿宋" w:cs="仿宋"/>
          <w:kern w:val="28"/>
          <w:sz w:val="30"/>
          <w:szCs w:val="30"/>
        </w:rPr>
        <w:t>1.企业主要负责人和安全生产管理人员安全生产方面的基本职责；</w:t>
      </w:r>
    </w:p>
    <w:p>
      <w:pPr>
        <w:snapToGrid w:val="0"/>
        <w:spacing w:line="420" w:lineRule="exact"/>
        <w:ind w:firstLine="600" w:firstLineChars="200"/>
        <w:rPr>
          <w:rFonts w:ascii="仿宋" w:hAnsi="仿宋" w:eastAsia="仿宋" w:cs="仿宋"/>
          <w:kern w:val="28"/>
          <w:sz w:val="30"/>
          <w:szCs w:val="30"/>
        </w:rPr>
      </w:pPr>
      <w:r>
        <w:rPr>
          <w:rFonts w:hint="eastAsia" w:ascii="仿宋" w:hAnsi="仿宋" w:eastAsia="仿宋" w:cs="仿宋"/>
          <w:kern w:val="28"/>
          <w:sz w:val="30"/>
          <w:szCs w:val="30"/>
        </w:rPr>
        <w:t>2.企业主要负责人和安全生产管理人员常见的刑事法律风险；</w:t>
      </w:r>
    </w:p>
    <w:p>
      <w:pPr>
        <w:snapToGrid w:val="0"/>
        <w:spacing w:line="420" w:lineRule="exact"/>
        <w:ind w:firstLine="600" w:firstLineChars="200"/>
        <w:rPr>
          <w:rFonts w:ascii="仿宋" w:hAnsi="仿宋" w:eastAsia="仿宋" w:cs="仿宋"/>
          <w:kern w:val="28"/>
          <w:sz w:val="30"/>
          <w:szCs w:val="30"/>
        </w:rPr>
      </w:pPr>
      <w:r>
        <w:rPr>
          <w:rFonts w:hint="eastAsia" w:ascii="仿宋" w:hAnsi="仿宋" w:eastAsia="仿宋" w:cs="仿宋"/>
          <w:kern w:val="28"/>
          <w:sz w:val="30"/>
          <w:szCs w:val="30"/>
        </w:rPr>
        <w:t>3.典型的安全事故追责案件辩护实录及精解；</w:t>
      </w:r>
    </w:p>
    <w:p>
      <w:pPr>
        <w:snapToGrid w:val="0"/>
        <w:spacing w:line="420" w:lineRule="exact"/>
        <w:ind w:firstLine="600" w:firstLineChars="200"/>
        <w:rPr>
          <w:rFonts w:ascii="仿宋" w:hAnsi="仿宋" w:eastAsia="仿宋" w:cs="仿宋"/>
          <w:kern w:val="28"/>
          <w:sz w:val="30"/>
          <w:szCs w:val="30"/>
        </w:rPr>
      </w:pPr>
      <w:r>
        <w:rPr>
          <w:rFonts w:hint="eastAsia" w:ascii="仿宋" w:hAnsi="仿宋" w:eastAsia="仿宋" w:cs="仿宋"/>
          <w:kern w:val="28"/>
          <w:sz w:val="30"/>
          <w:szCs w:val="30"/>
        </w:rPr>
        <w:t>4.刑辩律师视角下看企业主要负责人和安全生产管理人员应如何规避安全事故引发的刑事法律风险；</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5.刑法修正案有关生产安全的内容。</w:t>
      </w:r>
    </w:p>
    <w:p>
      <w:pPr>
        <w:spacing w:line="420" w:lineRule="exact"/>
        <w:ind w:firstLine="600" w:firstLineChars="200"/>
        <w:rPr>
          <w:rFonts w:ascii="仿宋" w:hAnsi="仿宋" w:eastAsia="仿宋" w:cs="仿宋"/>
          <w:b/>
          <w:bCs/>
          <w:sz w:val="30"/>
          <w:szCs w:val="30"/>
        </w:rPr>
      </w:pPr>
      <w:r>
        <w:rPr>
          <w:rFonts w:hint="eastAsia" w:ascii="仿宋" w:hAnsi="仿宋" w:eastAsia="仿宋" w:cs="仿宋"/>
          <w:b/>
          <w:bCs/>
          <w:sz w:val="30"/>
          <w:szCs w:val="30"/>
        </w:rPr>
        <w:t>(三)安全管理信息化建设项目解决方案</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1.建筑施工安全信息化管理现状；</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2.网络及数据的安全管理信息系统；</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3.统一隐患排查标准；</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4.跟进隐患整改并落实到位；</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5.加强安全教育培训，杜绝管理疏漏。</w:t>
      </w:r>
    </w:p>
    <w:p>
      <w:pPr>
        <w:spacing w:line="420" w:lineRule="exact"/>
        <w:ind w:firstLine="600" w:firstLineChars="200"/>
        <w:rPr>
          <w:rFonts w:ascii="仿宋" w:hAnsi="仿宋" w:eastAsia="仿宋" w:cs="仿宋"/>
          <w:sz w:val="30"/>
          <w:szCs w:val="30"/>
        </w:rPr>
      </w:pPr>
      <w:r>
        <w:rPr>
          <w:rFonts w:hint="eastAsia" w:ascii="仿宋" w:hAnsi="仿宋" w:eastAsia="仿宋" w:cs="仿宋"/>
          <w:b/>
          <w:bCs/>
          <w:sz w:val="30"/>
          <w:szCs w:val="30"/>
        </w:rPr>
        <w:t>(四)建筑施工安全风险分级管控与关键技术实务操作</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1.深基坑工程设计施工中的安全问题与管控；</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(1)深基坑工程的特点及重点</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(2)深基坑工程的概念设计</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(3)深基坑工程的施工方法</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(4)基坑支护结构设计与施工</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(5)深基坑设计及施工安全问题与管控案例及分析</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2.建筑施工脚手架安全技术标准及案例分析；</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(1)专项施工方案及论证</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(2)安全技术标准及监管要点</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3.建筑施工高处作业吊篮安全管理的标准及案例分析；</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(1)高处作业吊篮施工安全监管现状</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(2)高处作业吊篮相关标准解读</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(3)高处作业吊篮事故案例分析</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4.模板支架应用技术；</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5.建设施工过程中安全隐患排查治理的技术应用与创新。</w:t>
      </w:r>
    </w:p>
    <w:p>
      <w:pPr>
        <w:spacing w:line="420" w:lineRule="exact"/>
        <w:ind w:firstLine="600" w:firstLineChars="200"/>
        <w:rPr>
          <w:rFonts w:ascii="仿宋" w:hAnsi="仿宋" w:eastAsia="仿宋" w:cs="仿宋"/>
          <w:sz w:val="30"/>
          <w:szCs w:val="30"/>
        </w:rPr>
      </w:pPr>
      <w:r>
        <w:rPr>
          <w:rFonts w:hint="eastAsia" w:ascii="仿宋" w:hAnsi="仿宋" w:eastAsia="仿宋" w:cs="仿宋"/>
          <w:b/>
          <w:bCs/>
          <w:sz w:val="30"/>
          <w:szCs w:val="30"/>
        </w:rPr>
        <w:t>(五)危大工程安全管理</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1.超过一定规模的危险性较大的分部分项工程范围；</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2.专项施工方案编制、审核、实施及验收中存在的疑点、难点问题解析；</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3.建设各方工程技术风险的控制职责及各阶段的风险控制要点深度解析；</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4.危大工程安全违法行为查处、事故问责与刑事责任追究；</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5.安全事故预防与安全管控措施，经验交流等；</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6.大型工程勘察、设计、施工各阶段的风险控制要点；</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7.大型工程技术风险评估报告、总结报告、工作月报等格式要求与要点。</w:t>
      </w:r>
    </w:p>
    <w:p>
      <w:pPr>
        <w:spacing w:line="420" w:lineRule="exact"/>
        <w:ind w:firstLine="600" w:firstLineChars="200"/>
        <w:rPr>
          <w:rFonts w:ascii="仿宋" w:hAnsi="仿宋" w:eastAsia="仿宋" w:cs="仿宋"/>
          <w:b/>
          <w:bCs/>
          <w:sz w:val="30"/>
          <w:szCs w:val="30"/>
        </w:rPr>
      </w:pPr>
      <w:r>
        <w:rPr>
          <w:rFonts w:hint="eastAsia" w:ascii="仿宋" w:hAnsi="仿宋" w:eastAsia="仿宋" w:cs="仿宋"/>
          <w:b/>
          <w:bCs/>
          <w:sz w:val="30"/>
          <w:szCs w:val="30"/>
        </w:rPr>
        <w:t>二、培训对象</w:t>
      </w:r>
    </w:p>
    <w:p>
      <w:pPr>
        <w:spacing w:line="420" w:lineRule="exact"/>
        <w:rPr>
          <w:rFonts w:ascii="仿宋" w:hAnsi="仿宋" w:eastAsia="仿宋" w:cs="仿宋"/>
          <w:sz w:val="30"/>
          <w:szCs w:val="30"/>
        </w:rPr>
      </w:pPr>
      <w:r>
        <w:rPr>
          <w:rFonts w:hint="eastAsia" w:ascii="仿宋" w:hAnsi="仿宋" w:eastAsia="仿宋" w:cs="仿宋"/>
          <w:sz w:val="30"/>
          <w:szCs w:val="30"/>
        </w:rPr>
        <w:t xml:space="preserve">    各建筑工程单位质量安全监督主管领导和有关人员；各建设单位、施工单位、监理单位主要负责人和相关人员；各房地产开发企业、建筑机械租赁、安拆装单位质量安全技术负责人及项目负责人；设计院总工程师；公司技术负责人、安全部门负责人、法务负责人、项目负责人、专职安全生产管理人员。</w:t>
      </w:r>
    </w:p>
    <w:p>
      <w:pPr>
        <w:spacing w:line="420" w:lineRule="exact"/>
        <w:ind w:firstLine="600" w:firstLineChars="200"/>
        <w:rPr>
          <w:rFonts w:ascii="仿宋" w:hAnsi="仿宋" w:eastAsia="仿宋" w:cs="仿宋"/>
          <w:b/>
          <w:bCs/>
          <w:sz w:val="30"/>
          <w:szCs w:val="30"/>
        </w:rPr>
      </w:pPr>
      <w:r>
        <w:rPr>
          <w:rFonts w:hint="eastAsia" w:ascii="仿宋" w:hAnsi="仿宋" w:eastAsia="仿宋" w:cs="仿宋"/>
          <w:b/>
          <w:bCs/>
          <w:sz w:val="30"/>
          <w:szCs w:val="30"/>
        </w:rPr>
        <w:t>三、培训费用</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培训费用3000元/人（含资料费）。食宿统一安排，费用自理。</w:t>
      </w:r>
    </w:p>
    <w:p>
      <w:pPr>
        <w:spacing w:line="420" w:lineRule="exact"/>
        <w:ind w:firstLine="600" w:firstLineChars="200"/>
        <w:rPr>
          <w:rFonts w:ascii="仿宋" w:hAnsi="仿宋" w:eastAsia="仿宋" w:cs="仿宋"/>
          <w:sz w:val="30"/>
          <w:szCs w:val="30"/>
        </w:rPr>
      </w:pPr>
      <w:r>
        <w:rPr>
          <w:rFonts w:hint="eastAsia" w:ascii="仿宋" w:hAnsi="仿宋" w:eastAsia="仿宋" w:cs="仿宋"/>
          <w:b/>
          <w:bCs/>
          <w:sz w:val="30"/>
          <w:szCs w:val="30"/>
        </w:rPr>
        <w:t>四、培训时间地点</w:t>
      </w:r>
    </w:p>
    <w:p>
      <w:pPr>
        <w:spacing w:line="420" w:lineRule="exact"/>
        <w:ind w:firstLine="600" w:firstLineChars="200"/>
        <w:rPr>
          <w:rFonts w:ascii="仿宋" w:hAnsi="仿宋" w:eastAsia="仿宋" w:cs="仿宋"/>
          <w:b/>
          <w:bCs/>
          <w:sz w:val="30"/>
          <w:szCs w:val="30"/>
        </w:rPr>
      </w:pPr>
      <w:r>
        <w:rPr>
          <w:rFonts w:hint="eastAsia" w:ascii="仿宋" w:hAnsi="仿宋" w:eastAsia="仿宋" w:cs="仿宋"/>
          <w:sz w:val="30"/>
          <w:szCs w:val="30"/>
        </w:rPr>
        <w:t>2021年6月24日～27日（24日全天报到） 北京市</w:t>
      </w:r>
      <w:r>
        <w:rPr>
          <w:rFonts w:hint="eastAsia" w:ascii="仿宋" w:hAnsi="仿宋" w:eastAsia="仿宋" w:cs="仿宋"/>
          <w:b/>
          <w:bCs/>
          <w:sz w:val="30"/>
          <w:szCs w:val="30"/>
        </w:rPr>
        <w:t xml:space="preserve"> </w:t>
      </w:r>
    </w:p>
    <w:p>
      <w:pPr>
        <w:spacing w:line="420" w:lineRule="exact"/>
        <w:rPr>
          <w:rFonts w:ascii="仿宋" w:hAnsi="仿宋" w:eastAsia="仿宋" w:cs="仿宋"/>
          <w:b/>
          <w:bCs/>
          <w:sz w:val="30"/>
          <w:szCs w:val="30"/>
        </w:rPr>
      </w:pPr>
      <w:r>
        <w:rPr>
          <w:rFonts w:hint="eastAsia" w:ascii="仿宋" w:hAnsi="仿宋" w:eastAsia="仿宋" w:cs="仿宋"/>
          <w:b/>
          <w:bCs/>
          <w:sz w:val="30"/>
          <w:szCs w:val="30"/>
        </w:rPr>
        <w:t xml:space="preserve">    </w:t>
      </w:r>
      <w:r>
        <w:rPr>
          <w:rFonts w:hint="eastAsia" w:ascii="仿宋" w:hAnsi="仿宋" w:eastAsia="仿宋" w:cs="仿宋"/>
          <w:sz w:val="30"/>
          <w:szCs w:val="30"/>
        </w:rPr>
        <w:t>2021年7月22日～25日（22日全天报到） 兰州市</w:t>
      </w:r>
    </w:p>
    <w:p>
      <w:pPr>
        <w:spacing w:line="420" w:lineRule="exact"/>
        <w:ind w:firstLine="600" w:firstLineChars="200"/>
        <w:rPr>
          <w:rFonts w:ascii="仿宋" w:hAnsi="仿宋" w:eastAsia="仿宋" w:cs="仿宋"/>
          <w:b/>
          <w:bCs/>
          <w:sz w:val="30"/>
          <w:szCs w:val="30"/>
        </w:rPr>
      </w:pPr>
      <w:r>
        <w:rPr>
          <w:rFonts w:hint="eastAsia" w:ascii="仿宋" w:hAnsi="仿宋" w:eastAsia="仿宋" w:cs="仿宋"/>
          <w:b/>
          <w:bCs/>
          <w:sz w:val="30"/>
          <w:szCs w:val="30"/>
        </w:rPr>
        <w:t>五、证书</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培训期满，经考核合格者，由中国建设教育协会培训中心颁发《安全管理》职业能力证书。</w:t>
      </w:r>
    </w:p>
    <w:p>
      <w:pPr>
        <w:spacing w:line="420" w:lineRule="exact"/>
        <w:ind w:firstLine="600" w:firstLineChars="200"/>
        <w:rPr>
          <w:rFonts w:ascii="仿宋" w:hAnsi="仿宋" w:eastAsia="仿宋" w:cs="仿宋"/>
          <w:sz w:val="30"/>
          <w:szCs w:val="30"/>
        </w:rPr>
      </w:pPr>
      <w:r>
        <w:rPr>
          <w:rFonts w:hint="eastAsia" w:ascii="仿宋" w:hAnsi="仿宋" w:eastAsia="仿宋" w:cs="仿宋"/>
          <w:b/>
          <w:bCs/>
          <w:sz w:val="30"/>
          <w:szCs w:val="30"/>
        </w:rPr>
        <w:t>六、报名办法及联系方式</w:t>
      </w:r>
      <w:r>
        <w:rPr>
          <w:rFonts w:hint="eastAsia" w:ascii="仿宋" w:hAnsi="仿宋" w:eastAsia="仿宋" w:cs="仿宋"/>
          <w:sz w:val="30"/>
          <w:szCs w:val="30"/>
        </w:rPr>
        <w:t xml:space="preserve">   </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请参加培训班的同志认真填写报名回执表，尽快通过传真或电子邮件发至会务组。</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会务组联系人：</w:t>
      </w:r>
      <w:r>
        <w:rPr>
          <w:rFonts w:hint="eastAsia" w:ascii="仿宋" w:hAnsi="仿宋" w:eastAsia="仿宋" w:cs="仿宋"/>
          <w:sz w:val="30"/>
          <w:szCs w:val="30"/>
          <w:lang w:eastAsia="zh-CN"/>
        </w:rPr>
        <w:t>聂红军</w:t>
      </w:r>
      <w:r>
        <w:rPr>
          <w:rFonts w:hint="eastAsia" w:ascii="仿宋" w:hAnsi="仿宋" w:eastAsia="仿宋" w:cs="仿宋"/>
          <w:sz w:val="30"/>
          <w:szCs w:val="30"/>
        </w:rPr>
        <w:t xml:space="preserve">  宋文根</w:t>
      </w:r>
    </w:p>
    <w:p>
      <w:pPr>
        <w:spacing w:line="42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电话：</w:t>
      </w:r>
      <w:r>
        <w:rPr>
          <w:rFonts w:hint="eastAsia" w:ascii="仿宋" w:hAnsi="仿宋" w:eastAsia="仿宋" w:cs="仿宋"/>
          <w:sz w:val="30"/>
          <w:szCs w:val="30"/>
          <w:lang w:val="en-US" w:eastAsia="zh-CN"/>
        </w:rPr>
        <w:t>18211071700</w:t>
      </w:r>
      <w:r>
        <w:rPr>
          <w:rFonts w:hint="eastAsia" w:ascii="仿宋" w:hAnsi="仿宋" w:eastAsia="仿宋" w:cs="仿宋"/>
          <w:sz w:val="30"/>
          <w:szCs w:val="30"/>
        </w:rPr>
        <w:t xml:space="preserve">  010-</w:t>
      </w:r>
      <w:r>
        <w:rPr>
          <w:rFonts w:hint="eastAsia" w:ascii="仿宋" w:hAnsi="仿宋" w:eastAsia="仿宋" w:cs="仿宋"/>
          <w:sz w:val="30"/>
          <w:szCs w:val="30"/>
          <w:lang w:val="en-US" w:eastAsia="zh-CN"/>
        </w:rPr>
        <w:t>87697580</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邮箱：</w:t>
      </w:r>
      <w:r>
        <w:rPr>
          <w:rFonts w:hint="eastAsia" w:ascii="仿宋" w:hAnsi="仿宋" w:eastAsia="仿宋" w:cs="仿宋"/>
          <w:sz w:val="30"/>
          <w:szCs w:val="30"/>
          <w:lang w:val="en-US" w:eastAsia="zh-CN"/>
        </w:rPr>
        <w:t>zqgphwz@126.com</w:t>
      </w:r>
      <w:bookmarkStart w:id="0" w:name="_GoBack"/>
      <w:bookmarkEnd w:id="0"/>
      <w:r>
        <w:rPr>
          <w:rFonts w:hint="eastAsia" w:ascii="仿宋" w:hAnsi="仿宋" w:eastAsia="仿宋" w:cs="仿宋"/>
          <w:sz w:val="30"/>
          <w:szCs w:val="30"/>
        </w:rPr>
        <w:t xml:space="preserve"> </w:t>
      </w:r>
    </w:p>
    <w:p>
      <w:pPr>
        <w:spacing w:line="420" w:lineRule="exact"/>
        <w:ind w:firstLine="600" w:firstLineChars="200"/>
        <w:rPr>
          <w:rFonts w:ascii="仿宋" w:hAnsi="仿宋" w:eastAsia="仿宋" w:cs="仿宋"/>
          <w:b/>
          <w:bCs/>
          <w:sz w:val="30"/>
          <w:szCs w:val="30"/>
        </w:rPr>
      </w:pPr>
      <w:r>
        <w:rPr>
          <w:rFonts w:hint="eastAsia" w:ascii="仿宋" w:hAnsi="仿宋" w:eastAsia="仿宋" w:cs="仿宋"/>
          <w:b/>
          <w:bCs/>
          <w:sz w:val="30"/>
          <w:szCs w:val="30"/>
        </w:rPr>
        <w:t>特别提示：</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培训通知分别在中国建设教育协会官网</w:t>
      </w:r>
      <w:r>
        <w:rPr>
          <w:rFonts w:hint="eastAsia" w:ascii="仿宋" w:hAnsi="仿宋" w:eastAsia="仿宋" w:cs="仿宋"/>
          <w:spacing w:val="-20"/>
          <w:w w:val="90"/>
          <w:sz w:val="30"/>
          <w:szCs w:val="30"/>
        </w:rPr>
        <w:t>（http://www.ccen.com.cn）</w:t>
      </w:r>
      <w:r>
        <w:rPr>
          <w:rFonts w:hint="eastAsia" w:ascii="仿宋" w:hAnsi="仿宋" w:eastAsia="仿宋" w:cs="仿宋"/>
          <w:sz w:val="30"/>
          <w:szCs w:val="30"/>
        </w:rPr>
        <w:t>和中国建设教育协会培训中心官网（https://www.ccenpx.com.cn）上发布。</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中国建设教育协会培训中心培训质量监督电话：010-57811213</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通讯地址：北京市海淀区三里河路11号南新楼3层313室</w:t>
      </w:r>
    </w:p>
    <w:p>
      <w:pPr>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drawing>
          <wp:anchor distT="0" distB="0" distL="114300" distR="114300" simplePos="0" relativeHeight="251661312" behindDoc="1" locked="0" layoutInCell="1" allowOverlap="1">
            <wp:simplePos x="0" y="0"/>
            <wp:positionH relativeFrom="column">
              <wp:posOffset>2893695</wp:posOffset>
            </wp:positionH>
            <wp:positionV relativeFrom="paragraph">
              <wp:posOffset>186055</wp:posOffset>
            </wp:positionV>
            <wp:extent cx="1862455" cy="1794510"/>
            <wp:effectExtent l="0" t="0" r="0" b="0"/>
            <wp:wrapNone/>
            <wp:docPr id="2" name="图片 1" descr="Macintosh HD:Users:pudun: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Macintosh HD:Users:pudun:Desktop:111.png"/>
                    <pic:cNvPicPr>
                      <a:picLocks noChangeAspect="1" noChangeArrowheads="1"/>
                    </pic:cNvPicPr>
                  </pic:nvPicPr>
                  <pic:blipFill>
                    <a:blip r:embed="rId4" cstate="print">
                      <a:lum bright="20000"/>
                    </a:blip>
                    <a:srcRect/>
                    <a:stretch>
                      <a:fillRect/>
                    </a:stretch>
                  </pic:blipFill>
                  <pic:spPr>
                    <a:xfrm rot="3245384">
                      <a:off x="0" y="0"/>
                      <a:ext cx="1862455" cy="1794510"/>
                    </a:xfrm>
                    <a:prstGeom prst="rect">
                      <a:avLst/>
                    </a:prstGeom>
                    <a:noFill/>
                    <a:ln w="9525">
                      <a:noFill/>
                      <a:miter lim="800000"/>
                      <a:headEnd/>
                      <a:tailEnd/>
                    </a:ln>
                  </pic:spPr>
                </pic:pic>
              </a:graphicData>
            </a:graphic>
          </wp:anchor>
        </w:drawing>
      </w:r>
      <w:r>
        <w:rPr>
          <w:rFonts w:hint="eastAsia" w:ascii="仿宋" w:hAnsi="仿宋" w:eastAsia="仿宋" w:cs="仿宋"/>
          <w:sz w:val="30"/>
          <w:szCs w:val="30"/>
        </w:rPr>
        <w:t>邮政编码：100831</w:t>
      </w:r>
    </w:p>
    <w:p>
      <w:pPr>
        <w:spacing w:line="400" w:lineRule="exact"/>
        <w:ind w:firstLine="600" w:firstLineChars="200"/>
        <w:rPr>
          <w:rFonts w:ascii="仿宋" w:hAnsi="仿宋" w:eastAsia="仿宋" w:cs="仿宋"/>
          <w:sz w:val="30"/>
          <w:szCs w:val="30"/>
        </w:rPr>
      </w:pPr>
    </w:p>
    <w:p>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附件：报名回执表</w:t>
      </w:r>
    </w:p>
    <w:p>
      <w:pPr>
        <w:spacing w:line="400" w:lineRule="exact"/>
        <w:ind w:firstLine="600" w:firstLineChars="200"/>
        <w:rPr>
          <w:rFonts w:ascii="仿宋" w:hAnsi="仿宋" w:eastAsia="仿宋" w:cs="仿宋"/>
          <w:sz w:val="30"/>
          <w:szCs w:val="30"/>
        </w:rPr>
      </w:pPr>
    </w:p>
    <w:p>
      <w:pPr>
        <w:spacing w:line="400" w:lineRule="exact"/>
        <w:ind w:firstLine="4200" w:firstLineChars="1400"/>
        <w:rPr>
          <w:rFonts w:ascii="仿宋" w:hAnsi="仿宋" w:eastAsia="仿宋" w:cs="仿宋"/>
          <w:kern w:val="28"/>
          <w:sz w:val="30"/>
          <w:szCs w:val="30"/>
        </w:rPr>
      </w:pPr>
      <w:r>
        <w:rPr>
          <w:rFonts w:hint="eastAsia" w:ascii="仿宋" w:hAnsi="仿宋" w:eastAsia="仿宋" w:cs="仿宋"/>
          <w:kern w:val="28"/>
          <w:sz w:val="30"/>
          <w:szCs w:val="30"/>
        </w:rPr>
        <w:t>中国建设教育协会培训中心</w:t>
      </w:r>
    </w:p>
    <w:p>
      <w:pPr>
        <w:spacing w:line="440" w:lineRule="exact"/>
        <w:rPr>
          <w:rFonts w:ascii="仿宋" w:hAnsi="仿宋" w:eastAsia="仿宋" w:cs="仿宋"/>
          <w:kern w:val="28"/>
          <w:sz w:val="30"/>
          <w:szCs w:val="30"/>
        </w:rPr>
      </w:pPr>
      <w:r>
        <w:rPr>
          <w:rFonts w:hint="eastAsia" w:ascii="仿宋" w:hAnsi="仿宋" w:eastAsia="仿宋" w:cs="仿宋"/>
          <w:kern w:val="28"/>
          <w:sz w:val="30"/>
          <w:szCs w:val="30"/>
        </w:rPr>
        <w:t xml:space="preserve">                                 2021年5月17日</w:t>
      </w:r>
    </w:p>
    <w:p>
      <w:pPr>
        <w:spacing w:line="360" w:lineRule="exact"/>
        <w:rPr>
          <w:rFonts w:hint="eastAsia" w:ascii="仿宋" w:hAnsi="仿宋" w:eastAsia="仿宋" w:cs="仿宋"/>
          <w:sz w:val="28"/>
          <w:szCs w:val="28"/>
        </w:rPr>
      </w:pPr>
    </w:p>
    <w:p>
      <w:pPr>
        <w:spacing w:line="360" w:lineRule="exact"/>
        <w:rPr>
          <w:rFonts w:hint="eastAsia" w:ascii="仿宋" w:hAnsi="仿宋" w:eastAsia="仿宋" w:cs="仿宋"/>
          <w:b/>
          <w:bCs/>
          <w:kern w:val="0"/>
          <w:sz w:val="28"/>
          <w:szCs w:val="28"/>
          <w:lang w:bidi="ar"/>
        </w:rPr>
      </w:pPr>
      <w:r>
        <w:rPr>
          <w:rFonts w:hint="eastAsia" w:ascii="仿宋" w:hAnsi="仿宋" w:eastAsia="仿宋" w:cs="仿宋"/>
          <w:sz w:val="28"/>
          <w:szCs w:val="28"/>
        </w:rPr>
        <w:t>附件：</w:t>
      </w:r>
    </w:p>
    <w:p>
      <w:pPr>
        <w:widowControl/>
        <w:spacing w:line="420" w:lineRule="exact"/>
        <w:jc w:val="center"/>
        <w:rPr>
          <w:rFonts w:hint="eastAsia" w:ascii="仿宋" w:hAnsi="仿宋" w:eastAsia="仿宋" w:cs="仿宋"/>
          <w:b w:val="0"/>
          <w:bCs w:val="0"/>
          <w:kern w:val="0"/>
          <w:sz w:val="28"/>
          <w:szCs w:val="28"/>
          <w:lang w:bidi="ar"/>
        </w:rPr>
      </w:pPr>
      <w:r>
        <w:rPr>
          <w:rFonts w:hint="eastAsia" w:ascii="仿宋" w:hAnsi="仿宋" w:eastAsia="仿宋" w:cs="仿宋"/>
          <w:b w:val="0"/>
          <w:bCs w:val="0"/>
          <w:kern w:val="0"/>
          <w:sz w:val="28"/>
          <w:szCs w:val="28"/>
        </w:rPr>
        <w:t>2021安全生产万里行</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危大工程安全管控关键技术与双重预防体系建设</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职业能力培训班</w:t>
      </w:r>
      <w:r>
        <w:rPr>
          <w:rFonts w:hint="eastAsia" w:ascii="仿宋" w:hAnsi="仿宋" w:eastAsia="仿宋" w:cs="仿宋"/>
          <w:b w:val="0"/>
          <w:bCs w:val="0"/>
          <w:sz w:val="28"/>
          <w:szCs w:val="28"/>
        </w:rPr>
        <w:t>报名回执表</w:t>
      </w:r>
    </w:p>
    <w:tbl>
      <w:tblPr>
        <w:tblStyle w:val="3"/>
        <w:tblpPr w:leftFromText="180" w:rightFromText="180" w:vertAnchor="text" w:horzAnchor="margin" w:tblpXSpec="center" w:tblpY="134"/>
        <w:tblW w:w="10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1"/>
        <w:gridCol w:w="729"/>
        <w:gridCol w:w="1633"/>
        <w:gridCol w:w="1612"/>
        <w:gridCol w:w="1123"/>
        <w:gridCol w:w="247"/>
        <w:gridCol w:w="515"/>
        <w:gridCol w:w="437"/>
        <w:gridCol w:w="11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单位名称</w:t>
            </w:r>
          </w:p>
        </w:tc>
        <w:tc>
          <w:tcPr>
            <w:tcW w:w="5097" w:type="dxa"/>
            <w:gridSpan w:val="4"/>
            <w:vAlign w:val="center"/>
          </w:tcPr>
          <w:p>
            <w:pPr>
              <w:widowControl/>
              <w:adjustRightInd w:val="0"/>
              <w:snapToGrid w:val="0"/>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1317" w:type="dxa"/>
            <w:gridSpan w:val="4"/>
            <w:vAlign w:val="center"/>
          </w:tcPr>
          <w:p>
            <w:pPr>
              <w:widowControl/>
              <w:adjustRightInd w:val="0"/>
              <w:snapToGri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邮  编</w:t>
            </w:r>
          </w:p>
        </w:tc>
        <w:tc>
          <w:tcPr>
            <w:tcW w:w="2092" w:type="dxa"/>
            <w:vAlign w:val="center"/>
          </w:tcPr>
          <w:p>
            <w:pPr>
              <w:widowControl/>
              <w:adjustRightInd w:val="0"/>
              <w:snapToGrid w:val="0"/>
              <w:spacing w:line="400" w:lineRule="exac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通讯地址</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联 系 人</w:t>
            </w:r>
          </w:p>
        </w:tc>
        <w:tc>
          <w:tcPr>
            <w:tcW w:w="3974" w:type="dxa"/>
            <w:gridSpan w:val="3"/>
            <w:vAlign w:val="center"/>
          </w:tcPr>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137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E-mail/QQ</w:t>
            </w:r>
          </w:p>
        </w:tc>
        <w:tc>
          <w:tcPr>
            <w:tcW w:w="316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电    话</w:t>
            </w:r>
          </w:p>
        </w:tc>
        <w:tc>
          <w:tcPr>
            <w:tcW w:w="3974" w:type="dxa"/>
            <w:gridSpan w:val="3"/>
            <w:vAlign w:val="center"/>
          </w:tcPr>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c>
          <w:tcPr>
            <w:tcW w:w="137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传  真</w:t>
            </w:r>
          </w:p>
        </w:tc>
        <w:tc>
          <w:tcPr>
            <w:tcW w:w="3162" w:type="dxa"/>
            <w:gridSpan w:val="4"/>
            <w:vAlign w:val="center"/>
          </w:tcPr>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参会代表姓名</w:t>
            </w: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性别</w:t>
            </w: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部  门</w:t>
            </w: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职  务</w:t>
            </w: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手 机</w:t>
            </w: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729"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33"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1612" w:type="dxa"/>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322"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rPr>
            </w:pPr>
          </w:p>
        </w:tc>
        <w:tc>
          <w:tcPr>
            <w:tcW w:w="2210" w:type="dxa"/>
            <w:gridSpan w:val="2"/>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住宿选择</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单间□    标准间□    </w:t>
            </w:r>
            <w:r>
              <w:rPr>
                <w:rFonts w:hint="eastAsia" w:ascii="仿宋" w:hAnsi="仿宋" w:eastAsia="仿宋" w:cs="仿宋"/>
                <w:bCs/>
                <w:color w:val="auto"/>
                <w:sz w:val="28"/>
                <w:szCs w:val="28"/>
              </w:rPr>
              <w:t xml:space="preserve">订房数量    间      </w:t>
            </w:r>
            <w:r>
              <w:rPr>
                <w:rFonts w:hint="eastAsia" w:ascii="仿宋" w:hAnsi="仿宋" w:eastAsia="仿宋" w:cs="仿宋"/>
                <w:color w:val="auto"/>
                <w:sz w:val="28"/>
                <w:szCs w:val="28"/>
              </w:rPr>
              <w:t>自行安排□</w:t>
            </w:r>
            <w:r>
              <w:rPr>
                <w:rFonts w:hint="eastAsia" w:ascii="仿宋" w:hAnsi="仿宋" w:eastAsia="仿宋" w:cs="仿宋"/>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地点选择</w:t>
            </w:r>
          </w:p>
        </w:tc>
        <w:tc>
          <w:tcPr>
            <w:tcW w:w="5097"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北京市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兰州市 </w:t>
            </w:r>
          </w:p>
        </w:tc>
        <w:tc>
          <w:tcPr>
            <w:tcW w:w="1317" w:type="dxa"/>
            <w:gridSpan w:val="4"/>
            <w:vAlign w:val="center"/>
          </w:tcPr>
          <w:p>
            <w:pPr>
              <w:widowControl/>
              <w:adjustRightInd w:val="0"/>
              <w:snapToGrid w:val="0"/>
              <w:spacing w:line="0" w:lineRule="atLeas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费用选择</w:t>
            </w:r>
          </w:p>
        </w:tc>
        <w:tc>
          <w:tcPr>
            <w:tcW w:w="2092" w:type="dxa"/>
            <w:vAlign w:val="center"/>
          </w:tcPr>
          <w:p>
            <w:pPr>
              <w:widowControl/>
              <w:adjustRightInd w:val="0"/>
              <w:snapToGrid w:val="0"/>
              <w:spacing w:line="0" w:lineRule="atLeast"/>
              <w:ind w:firstLine="280" w:firstLineChars="10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801" w:type="dxa"/>
            <w:vAlign w:val="top"/>
          </w:tcPr>
          <w:p>
            <w:pPr>
              <w:widowControl/>
              <w:spacing w:line="36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kern w:val="0"/>
                <w:sz w:val="28"/>
                <w:szCs w:val="28"/>
                <w:lang w:eastAsia="zh-CN"/>
              </w:rPr>
              <w:t>开票信息</w:t>
            </w:r>
          </w:p>
        </w:tc>
        <w:tc>
          <w:tcPr>
            <w:tcW w:w="8506" w:type="dxa"/>
            <w:gridSpan w:val="9"/>
            <w:vAlign w:val="top"/>
          </w:tcPr>
          <w:p>
            <w:pPr>
              <w:widowControl/>
              <w:spacing w:line="360" w:lineRule="exact"/>
              <w:jc w:val="both"/>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kern w:val="0"/>
                <w:sz w:val="28"/>
                <w:szCs w:val="28"/>
                <w:lang w:eastAsia="zh-CN"/>
              </w:rPr>
              <w:t>增值税专用发票（</w:t>
            </w:r>
            <w:r>
              <w:rPr>
                <w:rFonts w:hint="eastAsia" w:ascii="仿宋" w:hAnsi="仿宋" w:eastAsia="仿宋" w:cs="仿宋"/>
                <w:b/>
                <w:bCs/>
                <w:color w:val="auto"/>
                <w:kern w:val="0"/>
                <w:sz w:val="28"/>
                <w:szCs w:val="28"/>
                <w:lang w:val="en-US" w:eastAsia="zh-CN"/>
              </w:rPr>
              <w:t>注：开专用发票的单位请提前汇款</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 xml:space="preserve"> </w:t>
            </w:r>
          </w:p>
          <w:p>
            <w:pPr>
              <w:widowControl/>
              <w:spacing w:line="36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kern w:val="0"/>
                <w:sz w:val="28"/>
                <w:szCs w:val="28"/>
                <w:lang w:val="en-US" w:eastAsia="zh-CN"/>
              </w:rPr>
              <w:t>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801" w:type="dxa"/>
            <w:vAlign w:val="center"/>
          </w:tcPr>
          <w:p>
            <w:pPr>
              <w:widowControl/>
              <w:spacing w:line="3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eastAsia="zh-CN"/>
              </w:rPr>
              <w:t>单位名称</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801" w:type="dxa"/>
            <w:vAlign w:val="center"/>
          </w:tcPr>
          <w:p>
            <w:pPr>
              <w:widowControl/>
              <w:spacing w:line="3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纳税人识别号</w:t>
            </w:r>
          </w:p>
        </w:tc>
        <w:tc>
          <w:tcPr>
            <w:tcW w:w="8506" w:type="dxa"/>
            <w:gridSpan w:val="9"/>
            <w:vAlign w:val="center"/>
          </w:tcPr>
          <w:p>
            <w:pPr>
              <w:widowControl/>
              <w:adjustRightInd w:val="0"/>
              <w:snapToGrid w:val="0"/>
              <w:spacing w:line="0" w:lineRule="atLeast"/>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801" w:type="dxa"/>
            <w:vAlign w:val="center"/>
          </w:tcPr>
          <w:p>
            <w:pPr>
              <w:widowControl/>
              <w:spacing w:line="3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地址、电话</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1801" w:type="dxa"/>
            <w:vAlign w:val="center"/>
          </w:tcPr>
          <w:p>
            <w:pPr>
              <w:widowControl/>
              <w:spacing w:line="3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开户行、账号</w:t>
            </w:r>
          </w:p>
        </w:tc>
        <w:tc>
          <w:tcPr>
            <w:tcW w:w="8506" w:type="dxa"/>
            <w:gridSpan w:val="9"/>
            <w:vAlign w:val="center"/>
          </w:tcPr>
          <w:p>
            <w:pPr>
              <w:widowControl/>
              <w:adjustRightInd w:val="0"/>
              <w:snapToGrid w:val="0"/>
              <w:spacing w:line="0" w:lineRule="atLeast"/>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8" w:hRule="exac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会    务</w:t>
            </w:r>
          </w:p>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指定账户</w:t>
            </w:r>
          </w:p>
        </w:tc>
        <w:tc>
          <w:tcPr>
            <w:tcW w:w="5859" w:type="dxa"/>
            <w:gridSpan w:val="6"/>
            <w:vAlign w:val="center"/>
          </w:tcPr>
          <w:p>
            <w:pPr>
              <w:widowControl/>
              <w:adjustRightInd w:val="0"/>
              <w:snapToGrid w:val="0"/>
              <w:spacing w:line="0" w:lineRule="atLeast"/>
              <w:rPr>
                <w:rFonts w:hint="eastAsia" w:ascii="仿宋" w:hAnsi="仿宋" w:eastAsia="仿宋" w:cs="仿宋"/>
                <w:bCs/>
                <w:color w:val="auto"/>
                <w:sz w:val="28"/>
                <w:szCs w:val="28"/>
              </w:rPr>
            </w:pPr>
            <w:r>
              <w:rPr>
                <w:rFonts w:hint="eastAsia" w:ascii="仿宋" w:hAnsi="仿宋" w:eastAsia="仿宋" w:cs="仿宋"/>
                <w:bCs/>
                <w:color w:val="auto"/>
                <w:sz w:val="28"/>
                <w:szCs w:val="28"/>
              </w:rPr>
              <w:t>户  名：卓智时代（北京）信息咨询有限公司</w:t>
            </w:r>
          </w:p>
          <w:p>
            <w:pPr>
              <w:widowControl/>
              <w:adjustRightInd w:val="0"/>
              <w:snapToGrid w:val="0"/>
              <w:spacing w:line="0" w:lineRule="atLeast"/>
              <w:rPr>
                <w:rFonts w:hint="eastAsia" w:ascii="仿宋" w:hAnsi="仿宋" w:eastAsia="仿宋" w:cs="仿宋"/>
                <w:bCs/>
                <w:color w:val="auto"/>
                <w:sz w:val="28"/>
                <w:szCs w:val="28"/>
              </w:rPr>
            </w:pPr>
            <w:r>
              <w:rPr>
                <w:rFonts w:hint="eastAsia" w:ascii="仿宋" w:hAnsi="仿宋" w:eastAsia="仿宋" w:cs="仿宋"/>
                <w:bCs/>
                <w:color w:val="auto"/>
                <w:sz w:val="28"/>
                <w:szCs w:val="28"/>
              </w:rPr>
              <w:t>开户行：工商银行北京永定路支行</w:t>
            </w:r>
          </w:p>
          <w:p>
            <w:pPr>
              <w:widowControl/>
              <w:adjustRightInd w:val="0"/>
              <w:snapToGrid w:val="0"/>
              <w:spacing w:line="0" w:lineRule="atLeast"/>
              <w:rPr>
                <w:rFonts w:hint="eastAsia" w:ascii="仿宋" w:hAnsi="仿宋" w:eastAsia="仿宋" w:cs="仿宋"/>
                <w:bCs/>
                <w:color w:val="auto"/>
                <w:sz w:val="28"/>
                <w:szCs w:val="28"/>
              </w:rPr>
            </w:pPr>
            <w:r>
              <w:rPr>
                <w:rFonts w:hint="eastAsia" w:ascii="仿宋" w:hAnsi="仿宋" w:eastAsia="仿宋" w:cs="仿宋"/>
                <w:bCs/>
                <w:color w:val="auto"/>
                <w:sz w:val="28"/>
                <w:szCs w:val="28"/>
              </w:rPr>
              <w:t>账  号：0200  2019  0920  0047  188</w:t>
            </w:r>
          </w:p>
        </w:tc>
        <w:tc>
          <w:tcPr>
            <w:tcW w:w="2647" w:type="dxa"/>
            <w:gridSpan w:val="3"/>
            <w:vMerge w:val="restart"/>
            <w:vAlign w:val="center"/>
          </w:tcPr>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   单位印章</w:t>
            </w:r>
          </w:p>
          <w:p>
            <w:pPr>
              <w:widowControl/>
              <w:adjustRightInd w:val="0"/>
              <w:snapToGrid w:val="0"/>
              <w:spacing w:line="0" w:lineRule="atLeast"/>
              <w:rPr>
                <w:rFonts w:hint="eastAsia" w:ascii="仿宋" w:hAnsi="仿宋" w:eastAsia="仿宋" w:cs="仿宋"/>
                <w:color w:val="auto"/>
                <w:sz w:val="28"/>
                <w:szCs w:val="28"/>
              </w:rPr>
            </w:pPr>
          </w:p>
          <w:p>
            <w:pPr>
              <w:widowControl/>
              <w:adjustRightInd w:val="0"/>
              <w:snapToGrid w:val="0"/>
              <w:spacing w:line="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日期：   月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exact"/>
          <w:jc w:val="center"/>
        </w:trPr>
        <w:tc>
          <w:tcPr>
            <w:tcW w:w="1801" w:type="dxa"/>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参会须知</w:t>
            </w:r>
          </w:p>
        </w:tc>
        <w:tc>
          <w:tcPr>
            <w:tcW w:w="5859" w:type="dxa"/>
            <w:gridSpan w:val="6"/>
            <w:vAlign w:val="center"/>
          </w:tcPr>
          <w:p>
            <w:pPr>
              <w:widowControl/>
              <w:adjustRightInd w:val="0"/>
              <w:snapToGrid w:val="0"/>
              <w:spacing w:line="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参会单位请把报名表回传或发E-mail至会务组</w:t>
            </w:r>
          </w:p>
          <w:p>
            <w:pPr>
              <w:widowControl/>
              <w:adjustRightInd w:val="0"/>
              <w:snapToGrid w:val="0"/>
              <w:spacing w:line="0" w:lineRule="atLeast"/>
              <w:rPr>
                <w:rFonts w:hint="eastAsia" w:ascii="仿宋" w:hAnsi="仿宋" w:eastAsia="仿宋" w:cs="仿宋"/>
                <w:bCs/>
                <w:color w:val="auto"/>
                <w:sz w:val="28"/>
                <w:szCs w:val="28"/>
              </w:rPr>
            </w:pPr>
            <w:r>
              <w:rPr>
                <w:rFonts w:hint="eastAsia" w:ascii="仿宋" w:hAnsi="仿宋" w:eastAsia="仿宋" w:cs="仿宋"/>
                <w:color w:val="auto"/>
                <w:sz w:val="28"/>
                <w:szCs w:val="28"/>
              </w:rPr>
              <w:t>会务组将在开班前10天发报到通知，详告报到时间、地点、食宿等具体安排事项。</w:t>
            </w:r>
          </w:p>
        </w:tc>
        <w:tc>
          <w:tcPr>
            <w:tcW w:w="2647" w:type="dxa"/>
            <w:gridSpan w:val="3"/>
            <w:vMerge w:val="continue"/>
            <w:vAlign w:val="center"/>
          </w:tcPr>
          <w:p>
            <w:pPr>
              <w:widowControl/>
              <w:adjustRightInd w:val="0"/>
              <w:snapToGrid w:val="0"/>
              <w:spacing w:line="0" w:lineRule="atLeast"/>
              <w:jc w:val="center"/>
              <w:rPr>
                <w:rFonts w:hint="eastAsia" w:ascii="仿宋" w:hAnsi="仿宋" w:eastAsia="仿宋" w:cs="仿宋"/>
                <w:color w:val="auto"/>
                <w:sz w:val="28"/>
                <w:szCs w:val="28"/>
              </w:rPr>
            </w:pPr>
          </w:p>
        </w:tc>
      </w:tr>
    </w:tbl>
    <w:p>
      <w:pPr>
        <w:keepNext w:val="0"/>
        <w:keepLines w:val="0"/>
        <w:pageBreakBefore w:val="0"/>
        <w:widowControl/>
        <w:kinsoku/>
        <w:wordWrap/>
        <w:overflowPunct/>
        <w:topLinePunct w:val="0"/>
        <w:autoSpaceDE w:val="0"/>
        <w:autoSpaceDN w:val="0"/>
        <w:bidi w:val="0"/>
        <w:adjustRightInd w:val="0"/>
        <w:snapToGrid w:val="0"/>
        <w:spacing w:line="400" w:lineRule="exact"/>
        <w:textAlignment w:val="auto"/>
        <w:outlineLvl w:val="9"/>
        <w:rPr>
          <w:rFonts w:hint="eastAsia" w:ascii="仿宋" w:hAnsi="仿宋" w:eastAsia="仿宋" w:cs="仿宋"/>
          <w:bCs/>
          <w:color w:val="auto"/>
          <w:kern w:val="0"/>
          <w:sz w:val="28"/>
          <w:szCs w:val="28"/>
          <w:lang w:eastAsia="zh-CN"/>
        </w:rPr>
      </w:pPr>
      <w:r>
        <w:rPr>
          <w:rFonts w:hint="eastAsia" w:ascii="仿宋" w:hAnsi="仿宋" w:eastAsia="仿宋" w:cs="仿宋"/>
          <w:bCs/>
          <w:color w:val="auto"/>
          <w:kern w:val="0"/>
          <w:sz w:val="28"/>
          <w:szCs w:val="28"/>
        </w:rPr>
        <w:t>备注：</w:t>
      </w:r>
      <w:r>
        <w:rPr>
          <w:rFonts w:hint="eastAsia" w:ascii="仿宋" w:hAnsi="仿宋" w:eastAsia="仿宋" w:cs="仿宋"/>
          <w:bCs/>
          <w:color w:val="auto"/>
          <w:kern w:val="0"/>
          <w:sz w:val="28"/>
          <w:szCs w:val="28"/>
          <w:lang w:val="en-US" w:eastAsia="zh-CN"/>
        </w:rPr>
        <w:t>1、</w:t>
      </w:r>
      <w:r>
        <w:rPr>
          <w:rFonts w:hint="eastAsia" w:ascii="仿宋" w:hAnsi="仿宋" w:eastAsia="仿宋" w:cs="仿宋"/>
          <w:bCs/>
          <w:color w:val="auto"/>
          <w:kern w:val="0"/>
          <w:sz w:val="28"/>
          <w:szCs w:val="28"/>
        </w:rPr>
        <w:t>本表格可复印，传真件有效，请用正楷字填写</w:t>
      </w:r>
      <w:r>
        <w:rPr>
          <w:rFonts w:hint="eastAsia" w:ascii="仿宋" w:hAnsi="仿宋" w:eastAsia="仿宋" w:cs="仿宋"/>
          <w:bCs/>
          <w:color w:val="auto"/>
          <w:kern w:val="0"/>
          <w:sz w:val="28"/>
          <w:szCs w:val="28"/>
          <w:lang w:eastAsia="zh-CN"/>
        </w:rPr>
        <w:t>；</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400" w:lineRule="exact"/>
        <w:ind w:left="840" w:leftChars="0" w:firstLine="0" w:firstLineChars="0"/>
        <w:textAlignment w:val="auto"/>
        <w:outlineLvl w:val="9"/>
        <w:rPr>
          <w:rFonts w:hint="eastAsia" w:ascii="仿宋" w:hAnsi="仿宋" w:eastAsia="仿宋" w:cs="仿宋"/>
          <w:b/>
          <w:bCs w:val="0"/>
          <w:color w:val="auto"/>
          <w:kern w:val="0"/>
          <w:sz w:val="28"/>
          <w:szCs w:val="28"/>
          <w:lang w:val="en-US" w:eastAsia="zh-CN"/>
        </w:rPr>
      </w:pPr>
      <w:r>
        <w:rPr>
          <w:rFonts w:hint="eastAsia" w:ascii="仿宋" w:hAnsi="仿宋" w:eastAsia="仿宋" w:cs="仿宋"/>
          <w:b/>
          <w:bCs w:val="0"/>
          <w:color w:val="auto"/>
          <w:kern w:val="0"/>
          <w:sz w:val="28"/>
          <w:szCs w:val="28"/>
          <w:lang w:val="en-US" w:eastAsia="zh-CN"/>
        </w:rPr>
        <w:t>本次培训内容及相关课题均可赴企业提供内训及咨询服务。</w:t>
      </w:r>
    </w:p>
    <w:p>
      <w:pPr>
        <w:spacing w:line="340" w:lineRule="exact"/>
        <w:ind w:left="561" w:leftChars="267" w:firstLine="0" w:firstLineChars="0"/>
        <w:rPr>
          <w:rFonts w:hint="eastAsia" w:ascii="宋体" w:hAnsi="宋体" w:eastAsia="宋体" w:cs="宋体"/>
          <w:b/>
          <w:color w:val="000000"/>
          <w:sz w:val="28"/>
          <w:szCs w:val="28"/>
        </w:rPr>
      </w:pPr>
      <w:r>
        <w:rPr>
          <w:rFonts w:hint="eastAsia" w:ascii="宋体" w:hAnsi="宋体" w:eastAsia="宋体" w:cs="宋体"/>
          <w:b/>
          <w:color w:val="000000"/>
          <w:sz w:val="28"/>
          <w:szCs w:val="28"/>
        </w:rPr>
        <w:t xml:space="preserve">报名负责人：聂红军 主任18211071700（微信）   </w:t>
      </w:r>
    </w:p>
    <w:p>
      <w:pPr>
        <w:tabs>
          <w:tab w:val="left" w:pos="261"/>
        </w:tabs>
        <w:spacing w:line="340" w:lineRule="exact"/>
        <w:ind w:left="561" w:leftChars="267" w:firstLine="0" w:firstLineChars="0"/>
        <w:rPr>
          <w:rFonts w:hint="eastAsia" w:ascii="宋体" w:hAnsi="宋体" w:eastAsia="宋体" w:cs="宋体"/>
          <w:b/>
          <w:color w:val="000000"/>
          <w:sz w:val="28"/>
          <w:szCs w:val="28"/>
        </w:rPr>
      </w:pPr>
      <w:r>
        <w:rPr>
          <w:rFonts w:hint="eastAsia" w:ascii="宋体" w:hAnsi="宋体" w:eastAsia="宋体" w:cs="宋体"/>
          <w:b/>
          <w:color w:val="000000"/>
          <w:sz w:val="28"/>
          <w:szCs w:val="28"/>
        </w:rPr>
        <w:t xml:space="preserve">电  话：010-87697580      邮    箱：zqgphwz@126.com  </w:t>
      </w:r>
    </w:p>
    <w:p>
      <w:pPr>
        <w:keepNext w:val="0"/>
        <w:keepLines w:val="0"/>
        <w:pageBreakBefore w:val="0"/>
        <w:kinsoku/>
        <w:wordWrap/>
        <w:overflowPunct/>
        <w:topLinePunct w:val="0"/>
        <w:bidi w:val="0"/>
        <w:spacing w:line="400" w:lineRule="exact"/>
        <w:ind w:firstLine="562" w:firstLineChars="200"/>
        <w:textAlignment w:val="auto"/>
        <w:outlineLvl w:val="9"/>
        <w:rPr>
          <w:rFonts w:ascii="仿宋" w:hAnsi="仿宋" w:eastAsia="仿宋" w:cs="仿宋"/>
          <w:bCs/>
          <w:sz w:val="28"/>
          <w:szCs w:val="28"/>
        </w:rPr>
      </w:pPr>
      <w:r>
        <w:rPr>
          <w:rFonts w:hint="eastAsia" w:ascii="宋体" w:hAnsi="宋体" w:eastAsia="宋体" w:cs="宋体"/>
          <w:b/>
          <w:color w:val="000000"/>
          <w:sz w:val="28"/>
          <w:szCs w:val="28"/>
        </w:rPr>
        <w:t>qq咨询：3177524020        网址查询：http://www.zqgpchina.cn/</w:t>
      </w:r>
      <w:r>
        <w:rPr>
          <w:rFonts w:hint="eastAsia" w:ascii="宋体" w:hAnsi="宋体" w:eastAsia="宋体" w:cs="宋体"/>
          <w:b/>
          <w:color w:val="000000"/>
          <w:sz w:val="28"/>
          <w:szCs w:val="28"/>
          <w:lang w:val="en-US" w:eastAsia="zh-CN"/>
        </w:rPr>
        <w:t xml:space="preserve"> </w:t>
      </w:r>
    </w:p>
    <w:sectPr>
      <w:pgSz w:w="11906" w:h="16838"/>
      <w:pgMar w:top="1253" w:right="1286" w:bottom="1157" w:left="13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0000000000000000000"/>
    <w:charset w:val="86"/>
    <w:family w:val="script"/>
    <w:pitch w:val="default"/>
    <w:sig w:usb0="00000000" w:usb1="0000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B34718"/>
    <w:multiLevelType w:val="singleLevel"/>
    <w:tmpl w:val="9AB34718"/>
    <w:lvl w:ilvl="0" w:tentative="0">
      <w:start w:val="1"/>
      <w:numFmt w:val="chineseCounting"/>
      <w:suff w:val="nothing"/>
      <w:lvlText w:val="%1、"/>
      <w:lvlJc w:val="left"/>
      <w:rPr>
        <w:rFonts w:hint="eastAsia"/>
      </w:rPr>
    </w:lvl>
  </w:abstractNum>
  <w:abstractNum w:abstractNumId="1">
    <w:nsid w:val="E201B183"/>
    <w:multiLevelType w:val="singleLevel"/>
    <w:tmpl w:val="E201B183"/>
    <w:lvl w:ilvl="0" w:tentative="0">
      <w:start w:val="2"/>
      <w:numFmt w:val="decimal"/>
      <w:suff w:val="nothing"/>
      <w:lvlText w:val="%1、"/>
      <w:lvlJc w:val="left"/>
      <w:pPr>
        <w:ind w:left="84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E61E9"/>
    <w:rsid w:val="00162A6D"/>
    <w:rsid w:val="00195764"/>
    <w:rsid w:val="00236942"/>
    <w:rsid w:val="00592F51"/>
    <w:rsid w:val="00686F18"/>
    <w:rsid w:val="006F62A6"/>
    <w:rsid w:val="008B6E91"/>
    <w:rsid w:val="00967A87"/>
    <w:rsid w:val="00A81661"/>
    <w:rsid w:val="00BF2238"/>
    <w:rsid w:val="00C3076B"/>
    <w:rsid w:val="00C372CF"/>
    <w:rsid w:val="00C512DB"/>
    <w:rsid w:val="00CD017C"/>
    <w:rsid w:val="00D22F93"/>
    <w:rsid w:val="00D83DB0"/>
    <w:rsid w:val="00DA05C0"/>
    <w:rsid w:val="00EF5705"/>
    <w:rsid w:val="00F95089"/>
    <w:rsid w:val="010E4B88"/>
    <w:rsid w:val="011A32FB"/>
    <w:rsid w:val="014E2C89"/>
    <w:rsid w:val="01595446"/>
    <w:rsid w:val="01AE61E9"/>
    <w:rsid w:val="04A71081"/>
    <w:rsid w:val="04B269AC"/>
    <w:rsid w:val="05561E7A"/>
    <w:rsid w:val="06651C83"/>
    <w:rsid w:val="06B1602A"/>
    <w:rsid w:val="06B473A3"/>
    <w:rsid w:val="06D95B89"/>
    <w:rsid w:val="07055152"/>
    <w:rsid w:val="073D7EA7"/>
    <w:rsid w:val="07467985"/>
    <w:rsid w:val="07B6114B"/>
    <w:rsid w:val="07BE715D"/>
    <w:rsid w:val="0864691B"/>
    <w:rsid w:val="09011167"/>
    <w:rsid w:val="09B0283E"/>
    <w:rsid w:val="09C556F2"/>
    <w:rsid w:val="0A5550AE"/>
    <w:rsid w:val="0A885C4C"/>
    <w:rsid w:val="0B27330B"/>
    <w:rsid w:val="0B440FAC"/>
    <w:rsid w:val="0B454259"/>
    <w:rsid w:val="0D70343C"/>
    <w:rsid w:val="0DC7668B"/>
    <w:rsid w:val="0E271071"/>
    <w:rsid w:val="0E55629E"/>
    <w:rsid w:val="0F48348B"/>
    <w:rsid w:val="0FD90EBF"/>
    <w:rsid w:val="101666BF"/>
    <w:rsid w:val="10D10675"/>
    <w:rsid w:val="132D5DD4"/>
    <w:rsid w:val="134224E3"/>
    <w:rsid w:val="1351700D"/>
    <w:rsid w:val="14154A0D"/>
    <w:rsid w:val="144C31F7"/>
    <w:rsid w:val="156D565A"/>
    <w:rsid w:val="158F070D"/>
    <w:rsid w:val="15B63925"/>
    <w:rsid w:val="15C675E9"/>
    <w:rsid w:val="15F16AE1"/>
    <w:rsid w:val="16171900"/>
    <w:rsid w:val="166051B9"/>
    <w:rsid w:val="173D6B85"/>
    <w:rsid w:val="179F1253"/>
    <w:rsid w:val="17F07A16"/>
    <w:rsid w:val="181352CD"/>
    <w:rsid w:val="185E7DDF"/>
    <w:rsid w:val="18733702"/>
    <w:rsid w:val="187D1719"/>
    <w:rsid w:val="18801224"/>
    <w:rsid w:val="1A304A45"/>
    <w:rsid w:val="1A780139"/>
    <w:rsid w:val="1A944B4F"/>
    <w:rsid w:val="1B6C7A10"/>
    <w:rsid w:val="1BF06615"/>
    <w:rsid w:val="1C171FEE"/>
    <w:rsid w:val="1C2C4858"/>
    <w:rsid w:val="1D1E634E"/>
    <w:rsid w:val="1D682D10"/>
    <w:rsid w:val="1F0278AC"/>
    <w:rsid w:val="1F0B4909"/>
    <w:rsid w:val="20005C97"/>
    <w:rsid w:val="20251AF0"/>
    <w:rsid w:val="211467A4"/>
    <w:rsid w:val="21A47451"/>
    <w:rsid w:val="22A44E62"/>
    <w:rsid w:val="22BC702B"/>
    <w:rsid w:val="22DC5B82"/>
    <w:rsid w:val="23362D11"/>
    <w:rsid w:val="25C92427"/>
    <w:rsid w:val="261E11BD"/>
    <w:rsid w:val="26EF58C7"/>
    <w:rsid w:val="28F866E2"/>
    <w:rsid w:val="2AD3134A"/>
    <w:rsid w:val="2AF041DF"/>
    <w:rsid w:val="2B3201C8"/>
    <w:rsid w:val="2B8F70B2"/>
    <w:rsid w:val="2C8F2475"/>
    <w:rsid w:val="2CF033B4"/>
    <w:rsid w:val="2D7875F8"/>
    <w:rsid w:val="2E01544A"/>
    <w:rsid w:val="2EF4239F"/>
    <w:rsid w:val="300900CC"/>
    <w:rsid w:val="320C070D"/>
    <w:rsid w:val="328A0F7E"/>
    <w:rsid w:val="32923F67"/>
    <w:rsid w:val="33B83104"/>
    <w:rsid w:val="34993FC8"/>
    <w:rsid w:val="358170FD"/>
    <w:rsid w:val="358E2FBE"/>
    <w:rsid w:val="35CF1876"/>
    <w:rsid w:val="362857BE"/>
    <w:rsid w:val="366B4327"/>
    <w:rsid w:val="36B711FB"/>
    <w:rsid w:val="36CA4DDA"/>
    <w:rsid w:val="370C155C"/>
    <w:rsid w:val="37290C01"/>
    <w:rsid w:val="373B3E76"/>
    <w:rsid w:val="37CF02D2"/>
    <w:rsid w:val="38712C0F"/>
    <w:rsid w:val="397B6287"/>
    <w:rsid w:val="3A566DDA"/>
    <w:rsid w:val="3BEF3D64"/>
    <w:rsid w:val="3C2D71B1"/>
    <w:rsid w:val="3C434F5C"/>
    <w:rsid w:val="3C6A0A74"/>
    <w:rsid w:val="3D3F47D6"/>
    <w:rsid w:val="3D5A0083"/>
    <w:rsid w:val="3E0C2F01"/>
    <w:rsid w:val="3E49180E"/>
    <w:rsid w:val="3E7014C2"/>
    <w:rsid w:val="3F447FE7"/>
    <w:rsid w:val="40E10DEF"/>
    <w:rsid w:val="40F27362"/>
    <w:rsid w:val="41006CE3"/>
    <w:rsid w:val="41023331"/>
    <w:rsid w:val="419B5DB4"/>
    <w:rsid w:val="41E2091B"/>
    <w:rsid w:val="43617963"/>
    <w:rsid w:val="43765E0E"/>
    <w:rsid w:val="43B5003F"/>
    <w:rsid w:val="44E74181"/>
    <w:rsid w:val="45784BA7"/>
    <w:rsid w:val="457F739C"/>
    <w:rsid w:val="45B336EE"/>
    <w:rsid w:val="46261E90"/>
    <w:rsid w:val="46657A48"/>
    <w:rsid w:val="47A87126"/>
    <w:rsid w:val="47FB0446"/>
    <w:rsid w:val="482F3852"/>
    <w:rsid w:val="48E65E19"/>
    <w:rsid w:val="49B101CB"/>
    <w:rsid w:val="4A032343"/>
    <w:rsid w:val="4A493D50"/>
    <w:rsid w:val="4CF928CF"/>
    <w:rsid w:val="4D1F49AA"/>
    <w:rsid w:val="4D213B29"/>
    <w:rsid w:val="4D4644F7"/>
    <w:rsid w:val="4DF207AB"/>
    <w:rsid w:val="4E1D2CB8"/>
    <w:rsid w:val="4E96050A"/>
    <w:rsid w:val="4EE7097C"/>
    <w:rsid w:val="4EE87602"/>
    <w:rsid w:val="4F7044BA"/>
    <w:rsid w:val="4FDB3BA7"/>
    <w:rsid w:val="50A125E3"/>
    <w:rsid w:val="50E053E2"/>
    <w:rsid w:val="517709F0"/>
    <w:rsid w:val="523638E1"/>
    <w:rsid w:val="54D54DCE"/>
    <w:rsid w:val="54E01171"/>
    <w:rsid w:val="55215C20"/>
    <w:rsid w:val="55797457"/>
    <w:rsid w:val="563351BF"/>
    <w:rsid w:val="57FE2EF9"/>
    <w:rsid w:val="58C91B80"/>
    <w:rsid w:val="5947059A"/>
    <w:rsid w:val="59A029C1"/>
    <w:rsid w:val="5BD152E9"/>
    <w:rsid w:val="5BD77890"/>
    <w:rsid w:val="5BF3418F"/>
    <w:rsid w:val="5C1A478D"/>
    <w:rsid w:val="5C3E2E8B"/>
    <w:rsid w:val="5D004B89"/>
    <w:rsid w:val="5D4B37AD"/>
    <w:rsid w:val="5E393CDB"/>
    <w:rsid w:val="5E66541C"/>
    <w:rsid w:val="5F11626C"/>
    <w:rsid w:val="60B652C1"/>
    <w:rsid w:val="61744420"/>
    <w:rsid w:val="61E17343"/>
    <w:rsid w:val="631E27A5"/>
    <w:rsid w:val="648F559F"/>
    <w:rsid w:val="658023AA"/>
    <w:rsid w:val="65B91F00"/>
    <w:rsid w:val="65C56DDE"/>
    <w:rsid w:val="665034E2"/>
    <w:rsid w:val="66890A7A"/>
    <w:rsid w:val="66E37E9B"/>
    <w:rsid w:val="67606B78"/>
    <w:rsid w:val="67AB25D0"/>
    <w:rsid w:val="67E27FC4"/>
    <w:rsid w:val="68276BFE"/>
    <w:rsid w:val="68F06280"/>
    <w:rsid w:val="691C573D"/>
    <w:rsid w:val="691F4E37"/>
    <w:rsid w:val="692A79A3"/>
    <w:rsid w:val="69967EB9"/>
    <w:rsid w:val="69C53353"/>
    <w:rsid w:val="6A6E2452"/>
    <w:rsid w:val="6BE97FA9"/>
    <w:rsid w:val="6C6C71C8"/>
    <w:rsid w:val="6C940504"/>
    <w:rsid w:val="6D535020"/>
    <w:rsid w:val="6D617A54"/>
    <w:rsid w:val="6DDA2FBC"/>
    <w:rsid w:val="6E0B18D3"/>
    <w:rsid w:val="6EE54DAF"/>
    <w:rsid w:val="6F70104F"/>
    <w:rsid w:val="6FEF1C78"/>
    <w:rsid w:val="706366FA"/>
    <w:rsid w:val="708349A6"/>
    <w:rsid w:val="70C32017"/>
    <w:rsid w:val="71B95CAB"/>
    <w:rsid w:val="7226670B"/>
    <w:rsid w:val="72F1706A"/>
    <w:rsid w:val="73593A95"/>
    <w:rsid w:val="73A8019E"/>
    <w:rsid w:val="74080BBC"/>
    <w:rsid w:val="74560942"/>
    <w:rsid w:val="746F3A46"/>
    <w:rsid w:val="7595540D"/>
    <w:rsid w:val="769B381D"/>
    <w:rsid w:val="77072A3F"/>
    <w:rsid w:val="773153DE"/>
    <w:rsid w:val="773912F4"/>
    <w:rsid w:val="7780419C"/>
    <w:rsid w:val="77E053C2"/>
    <w:rsid w:val="78053176"/>
    <w:rsid w:val="78547D11"/>
    <w:rsid w:val="78635490"/>
    <w:rsid w:val="78A62866"/>
    <w:rsid w:val="793B0075"/>
    <w:rsid w:val="793F2D60"/>
    <w:rsid w:val="797E037C"/>
    <w:rsid w:val="798B4B89"/>
    <w:rsid w:val="79CD3F9D"/>
    <w:rsid w:val="7A620232"/>
    <w:rsid w:val="7A9414E1"/>
    <w:rsid w:val="7AE03620"/>
    <w:rsid w:val="7B4D164B"/>
    <w:rsid w:val="7B704AAC"/>
    <w:rsid w:val="7BDE35E0"/>
    <w:rsid w:val="7C5E614E"/>
    <w:rsid w:val="7EA65C9B"/>
    <w:rsid w:val="7F566FFE"/>
    <w:rsid w:val="7F994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style>
  <w:style w:type="character" w:styleId="7">
    <w:name w:val="FollowedHyperlink"/>
    <w:basedOn w:val="5"/>
    <w:qFormat/>
    <w:uiPriority w:val="0"/>
    <w:rPr>
      <w:color w:val="333333"/>
      <w:u w:val="none"/>
    </w:rPr>
  </w:style>
  <w:style w:type="character" w:styleId="8">
    <w:name w:val="Hyperlink"/>
    <w:basedOn w:val="5"/>
    <w:qFormat/>
    <w:uiPriority w:val="0"/>
    <w:rPr>
      <w:color w:val="333333"/>
      <w:u w:val="none"/>
    </w:rPr>
  </w:style>
  <w:style w:type="paragraph" w:customStyle="1" w:styleId="9">
    <w:name w:val="paragraphindentn"/>
    <w:basedOn w:val="1"/>
    <w:qFormat/>
    <w:uiPriority w:val="0"/>
    <w:pPr>
      <w:spacing w:before="210" w:line="480" w:lineRule="atLeast"/>
      <w:ind w:firstLine="420"/>
      <w:jc w:val="left"/>
    </w:pPr>
    <w:rPr>
      <w:rFonts w:hint="eastAsia" w:ascii="宋体" w:hAnsi="宋体"/>
      <w:color w:val="4E4E4E"/>
      <w:kern w:val="0"/>
      <w:sz w:val="24"/>
    </w:rPr>
  </w:style>
  <w:style w:type="character" w:customStyle="1" w:styleId="10">
    <w:name w:val="bds_more"/>
    <w:basedOn w:val="5"/>
    <w:qFormat/>
    <w:uiPriority w:val="0"/>
  </w:style>
  <w:style w:type="character" w:customStyle="1" w:styleId="11">
    <w:name w:val="disabled"/>
    <w:basedOn w:val="5"/>
    <w:qFormat/>
    <w:uiPriority w:val="0"/>
    <w:rPr>
      <w:vanish/>
    </w:rPr>
  </w:style>
  <w:style w:type="paragraph" w:customStyle="1" w:styleId="12">
    <w:name w:val="Body text|1"/>
    <w:basedOn w:val="1"/>
    <w:qFormat/>
    <w:uiPriority w:val="0"/>
    <w:pPr>
      <w:spacing w:after="20" w:line="331" w:lineRule="auto"/>
      <w:ind w:firstLine="40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093;\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388</Words>
  <Characters>2217</Characters>
  <Lines>18</Lines>
  <Paragraphs>5</Paragraphs>
  <TotalTime>2</TotalTime>
  <ScaleCrop>false</ScaleCrop>
  <LinksUpToDate>false</LinksUpToDate>
  <CharactersWithSpaces>2600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2020-08-08T08:55:00Z</dcterms:created>
  <dc:creator> 刘</dc:creator>
  <cp:lastModifiedBy>Administrator</cp:lastModifiedBy>
  <cp:lastPrinted>2020-08-24T05:50:00Z</cp:lastPrinted>
  <dcterms:modified xsi:type="dcterms:W3CDTF">2021-05-18T09:37:16Z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30591598C5F7467689A6A257CB272717</vt:lpwstr>
  </property>
</Properties>
</file>