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b/>
          <w:bCs/>
          <w:color w:val="FF0000"/>
          <w:w w:val="58"/>
          <w:sz w:val="96"/>
          <w:szCs w:val="96"/>
        </w:rPr>
      </w:pPr>
    </w:p>
    <w:p>
      <w:pPr>
        <w:spacing w:line="360" w:lineRule="auto"/>
        <w:ind w:firstLine="537" w:firstLineChars="100"/>
        <w:rPr>
          <w:rFonts w:ascii="仿宋" w:hAnsi="仿宋" w:cs="仿宋"/>
          <w:b/>
          <w:bCs/>
          <w:color w:val="FF0000"/>
          <w:w w:val="58"/>
          <w:sz w:val="92"/>
          <w:szCs w:val="92"/>
        </w:rPr>
      </w:pPr>
      <w:r>
        <w:rPr>
          <w:rFonts w:hint="eastAsia" w:ascii="宋体" w:hAnsi="宋体" w:eastAsia="宋体" w:cs="宋体"/>
          <w:b/>
          <w:bCs/>
          <w:color w:val="FF0000"/>
          <w:w w:val="58"/>
          <w:sz w:val="92"/>
          <w:szCs w:val="92"/>
        </w:rPr>
        <w:t>中国投资协会投资咨询专业委员会文件</w:t>
      </w:r>
    </w:p>
    <w:p>
      <w:pPr>
        <w:widowControl/>
        <w:spacing w:line="380" w:lineRule="exact"/>
        <w:ind w:firstLine="3080" w:firstLineChars="1100"/>
        <w:jc w:val="left"/>
        <w:rPr>
          <w:rFonts w:ascii="仿宋" w:hAnsi="仿宋" w:cs="宋体"/>
          <w:color w:val="000000"/>
          <w:sz w:val="28"/>
          <w:szCs w:val="28"/>
        </w:rPr>
      </w:pPr>
      <w:r>
        <w:rPr>
          <w:rFonts w:ascii="仿宋" w:hAnsi="仿宋" w:cs="宋体"/>
          <w:color w:val="000000"/>
          <w:sz w:val="28"/>
          <w:szCs w:val="28"/>
        </w:rPr>
        <mc:AlternateContent>
          <mc:Choice Requires="wps">
            <w:drawing>
              <wp:anchor distT="0" distB="0" distL="114300" distR="114300" simplePos="0" relativeHeight="251659264" behindDoc="0" locked="0" layoutInCell="1" allowOverlap="1">
                <wp:simplePos x="0" y="0"/>
                <wp:positionH relativeFrom="margin">
                  <wp:posOffset>-310515</wp:posOffset>
                </wp:positionH>
                <wp:positionV relativeFrom="paragraph">
                  <wp:posOffset>302895</wp:posOffset>
                </wp:positionV>
                <wp:extent cx="6882130" cy="11430"/>
                <wp:effectExtent l="19050" t="19050" r="13970" b="7620"/>
                <wp:wrapNone/>
                <wp:docPr id="3" name="直接连接符 1"/>
                <wp:cNvGraphicFramePr/>
                <a:graphic xmlns:a="http://schemas.openxmlformats.org/drawingml/2006/main">
                  <a:graphicData uri="http://schemas.microsoft.com/office/word/2010/wordprocessingShape">
                    <wps:wsp>
                      <wps:cNvCnPr/>
                      <wps:spPr>
                        <a:xfrm flipV="1">
                          <a:off x="0" y="0"/>
                          <a:ext cx="6882130" cy="1143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24.45pt;margin-top:23.85pt;height:0.9pt;width:541.9pt;mso-position-horizontal-relative:margin;z-index:251659264;mso-width-relative:page;mso-height-relative:page;" filled="f" stroked="t" coordsize="21600,21600" o:gfxdata="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WkxZjb&#10;AAAACgEAAA8AAAAAAAAAAQAgAAAAIgAAAGRycy9kb3ducmV2LnhtbFBLAQIUABQAAAAIAIdO4kAw&#10;Yv0N5AEAAKcDAAAOAAAAAAAAAAEAIAAAACoBAABkcnMvZTJvRG9jLnhtbFBLBQYAAAAABgAGAFkB&#10;AACABQAAAAA=&#10;">
                <v:fill on="f" focussize="0,0"/>
                <v:stroke weight="2.25pt" color="#FF0000" joinstyle="round"/>
                <v:imagedata o:title=""/>
                <o:lock v:ext="edit" aspectratio="f"/>
              </v:line>
            </w:pict>
          </mc:Fallback>
        </mc:AlternateContent>
      </w:r>
      <w:r>
        <w:rPr>
          <w:rFonts w:hint="eastAsia" w:ascii="仿宋" w:hAnsi="仿宋" w:cs="宋体"/>
          <w:color w:val="000000"/>
          <w:sz w:val="28"/>
          <w:szCs w:val="28"/>
        </w:rPr>
        <w:t>中投协咨〔2021〕2号</w:t>
      </w:r>
    </w:p>
    <w:p>
      <w:pPr>
        <w:widowControl/>
        <w:spacing w:line="440" w:lineRule="exact"/>
        <w:jc w:val="center"/>
        <w:rPr>
          <w:rFonts w:ascii="宋体" w:hAnsi="宋体" w:eastAsia="宋体" w:cs="宋体"/>
          <w:b/>
          <w:sz w:val="28"/>
          <w:szCs w:val="28"/>
        </w:rPr>
      </w:pPr>
    </w:p>
    <w:p>
      <w:pPr>
        <w:widowControl/>
        <w:spacing w:line="440" w:lineRule="exact"/>
        <w:jc w:val="center"/>
        <w:rPr>
          <w:rFonts w:ascii="宋体" w:hAnsi="宋体" w:eastAsia="宋体" w:cs="宋体"/>
          <w:b/>
          <w:szCs w:val="32"/>
        </w:rPr>
      </w:pPr>
      <w:r>
        <w:rPr>
          <w:rFonts w:hint="eastAsia" w:ascii="宋体" w:hAnsi="宋体" w:eastAsia="宋体" w:cs="宋体"/>
          <w:b/>
          <w:szCs w:val="32"/>
        </w:rPr>
        <w:t>关于举办“新政策下EPC工程总承包全过程实战与风险防范</w:t>
      </w:r>
    </w:p>
    <w:p>
      <w:pPr>
        <w:widowControl/>
        <w:spacing w:line="440" w:lineRule="exact"/>
        <w:jc w:val="center"/>
        <w:rPr>
          <w:rFonts w:ascii="宋体" w:hAnsi="宋体" w:eastAsia="宋体" w:cs="宋体"/>
          <w:b/>
          <w:szCs w:val="32"/>
        </w:rPr>
      </w:pPr>
      <w:r>
        <w:rPr>
          <w:rFonts w:hint="eastAsia" w:ascii="宋体" w:hAnsi="宋体" w:eastAsia="宋体" w:cs="宋体"/>
          <w:b/>
          <w:szCs w:val="32"/>
        </w:rPr>
        <w:t>应对管理及全过程工程咨询与业主方施工现场项目管理</w:t>
      </w:r>
    </w:p>
    <w:p>
      <w:pPr>
        <w:widowControl/>
        <w:spacing w:line="440" w:lineRule="exact"/>
        <w:jc w:val="center"/>
        <w:rPr>
          <w:rFonts w:ascii="宋体" w:hAnsi="宋体" w:eastAsia="宋体" w:cs="宋体"/>
          <w:b/>
          <w:szCs w:val="32"/>
        </w:rPr>
      </w:pPr>
      <w:r>
        <w:rPr>
          <w:rFonts w:hint="eastAsia" w:ascii="宋体" w:hAnsi="宋体" w:eastAsia="宋体" w:cs="宋体"/>
          <w:b/>
          <w:szCs w:val="32"/>
        </w:rPr>
        <w:t>实战型高级培训班”的通知</w:t>
      </w:r>
    </w:p>
    <w:p>
      <w:pPr>
        <w:widowControl/>
        <w:spacing w:line="320" w:lineRule="exact"/>
        <w:rPr>
          <w:rFonts w:ascii="仿宋" w:hAnsi="仿宋" w:cs="仿宋"/>
          <w:b/>
          <w:color w:val="000000"/>
          <w:sz w:val="24"/>
        </w:rPr>
      </w:pPr>
    </w:p>
    <w:p>
      <w:pPr>
        <w:widowControl/>
        <w:spacing w:line="320" w:lineRule="exact"/>
        <w:rPr>
          <w:rFonts w:ascii="仿宋" w:hAnsi="仿宋" w:cs="仿宋"/>
          <w:b/>
          <w:color w:val="000000"/>
          <w:sz w:val="28"/>
          <w:szCs w:val="28"/>
        </w:rPr>
      </w:pPr>
      <w:r>
        <w:rPr>
          <w:rFonts w:hint="eastAsia" w:ascii="仿宋" w:hAnsi="仿宋" w:cs="仿宋"/>
          <w:b/>
          <w:color w:val="000000"/>
          <w:sz w:val="28"/>
          <w:szCs w:val="28"/>
        </w:rPr>
        <w:t>各有关单位：</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2020年3月1日，住房和城乡建设部、国家发展改革委颁布了最新的《房屋建筑和市政基础设施项目工程总承包管理办法》（以下简称“工程总承包管理办法”），随即新版《建设项目工程总承包合同示范文本》(GF-2020-0216)于2021年1月1日发布施行。这标志着工程总承包时代的正式来临，EPC模式的运作，提升对EPC工程的管理能力，提高EPC项目的投资效益，风险防范将会成为市场主体的关注重点和从业人员的必备技能。</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当前，工程建设各相关方在推行工程总承包的过程中都不同程度面临着法律法规、操作实施的困惑及管理与技术的难点，包括：如何进行EPC项目的整体策划，项目前期如何规划EPC的实施，如何编制合理的EPC招标文件，如何进行前瞻性的合同谈判，以及EPC项目全过程履约管理与风险防控，这些必将成为工程项目总承包的关键性工作。</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drawing>
          <wp:anchor distT="0" distB="0" distL="114300" distR="114300" simplePos="0" relativeHeight="251660288" behindDoc="1" locked="0" layoutInCell="1" allowOverlap="1">
            <wp:simplePos x="0" y="0"/>
            <wp:positionH relativeFrom="column">
              <wp:posOffset>3291205</wp:posOffset>
            </wp:positionH>
            <wp:positionV relativeFrom="paragraph">
              <wp:posOffset>1813560</wp:posOffset>
            </wp:positionV>
            <wp:extent cx="1657350" cy="1495425"/>
            <wp:effectExtent l="0" t="0" r="0" b="0"/>
            <wp:wrapNone/>
            <wp:docPr id="1" name="图片 1" descr="C:\Users\Administrator\Desktop\老岳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老岳章.png"/>
                    <pic:cNvPicPr>
                      <a:picLocks noChangeAspect="1" noChangeArrowheads="1"/>
                    </pic:cNvPicPr>
                  </pic:nvPicPr>
                  <pic:blipFill>
                    <a:blip r:embed="rId5" cstate="print"/>
                    <a:srcRect/>
                    <a:stretch>
                      <a:fillRect/>
                    </a:stretch>
                  </pic:blipFill>
                  <pic:spPr>
                    <a:xfrm>
                      <a:off x="0" y="0"/>
                      <a:ext cx="1657350" cy="1495425"/>
                    </a:xfrm>
                    <a:prstGeom prst="rect">
                      <a:avLst/>
                    </a:prstGeom>
                    <a:noFill/>
                    <a:ln w="9525">
                      <a:noFill/>
                      <a:miter lim="800000"/>
                      <a:headEnd/>
                      <a:tailEnd/>
                    </a:ln>
                  </pic:spPr>
                </pic:pic>
              </a:graphicData>
            </a:graphic>
          </wp:anchor>
        </w:drawing>
      </w:r>
      <w:r>
        <w:rPr>
          <w:rFonts w:hint="eastAsia" w:ascii="仿宋" w:hAnsi="仿宋" w:cs="宋体"/>
          <w:color w:val="000000"/>
          <w:sz w:val="28"/>
          <w:szCs w:val="28"/>
        </w:rPr>
        <w:t>为帮助政府职能部门、协会、建设单位、设计单位、施工单位、监理单位、全过程项目咨询单位等相关人员学习理解EPC工程总承包系列规范、行业新政策和管控方法，分享工程总承包先进理念与实践经验，各种合同条款应用实务，全面提高项目管理水平，规避项目实施风险，厘清实务中重点难点、疑点、焦点等专业共性问题，实质性地提高专业素养和能力。中国投资协会投资咨询专业委员会会同</w:t>
      </w:r>
      <w:r>
        <w:rPr>
          <w:rFonts w:hint="eastAsia" w:cs="宋体"/>
          <w:color w:val="000000"/>
          <w:sz w:val="28"/>
          <w:szCs w:val="28"/>
          <w:lang w:val="en-US"/>
        </w:rPr>
        <w:t>中建领航企培（北京）信息咨询有限公司</w:t>
      </w:r>
      <w:r>
        <w:rPr>
          <w:rFonts w:hint="eastAsia" w:ascii="仿宋" w:hAnsi="仿宋" w:cs="宋体"/>
          <w:color w:val="000000"/>
          <w:sz w:val="28"/>
          <w:szCs w:val="28"/>
        </w:rPr>
        <w:t>决定举办“新政策下EPC工程总承包全过程实战与风险防范应对管理及全过程工程咨询与业主方施工现场管理实战型高级培训班”。请各单位积极组织本单位及下属单位相关人员参加。</w:t>
      </w:r>
    </w:p>
    <w:p>
      <w:pPr>
        <w:widowControl/>
        <w:spacing w:line="40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附件一、培训内容</w:t>
      </w:r>
    </w:p>
    <w:p>
      <w:pPr>
        <w:widowControl/>
        <w:spacing w:line="40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附件二、报名表</w:t>
      </w:r>
    </w:p>
    <w:p>
      <w:pPr>
        <w:widowControl/>
        <w:spacing w:line="320" w:lineRule="exact"/>
        <w:ind w:firstLine="4480" w:firstLineChars="1600"/>
        <w:rPr>
          <w:rFonts w:ascii="仿宋" w:hAnsi="仿宋" w:cs="宋体"/>
          <w:color w:val="000000"/>
          <w:sz w:val="28"/>
          <w:szCs w:val="28"/>
        </w:rPr>
      </w:pPr>
      <w:r>
        <w:rPr>
          <w:rFonts w:hint="eastAsia" w:ascii="仿宋" w:hAnsi="仿宋" w:cs="宋体"/>
          <w:color w:val="000000"/>
          <w:sz w:val="28"/>
          <w:szCs w:val="28"/>
        </w:rPr>
        <w:t>中国投资协会投资咨询专业委员会</w:t>
      </w:r>
    </w:p>
    <w:p>
      <w:pPr>
        <w:widowControl/>
        <w:spacing w:line="320" w:lineRule="exact"/>
        <w:ind w:firstLine="560" w:firstLineChars="200"/>
        <w:jc w:val="center"/>
        <w:rPr>
          <w:rFonts w:ascii="仿宋" w:hAnsi="仿宋" w:cs="宋体"/>
          <w:color w:val="000000"/>
          <w:sz w:val="28"/>
          <w:szCs w:val="28"/>
        </w:rPr>
      </w:pPr>
      <w:r>
        <w:rPr>
          <w:rFonts w:hint="eastAsia" w:ascii="仿宋" w:hAnsi="仿宋" w:cs="宋体"/>
          <w:color w:val="000000"/>
          <w:sz w:val="28"/>
          <w:szCs w:val="28"/>
        </w:rPr>
        <w:t xml:space="preserve">                      2021年01月06日</w:t>
      </w:r>
    </w:p>
    <w:p>
      <w:pPr>
        <w:spacing w:line="320" w:lineRule="exact"/>
        <w:rPr>
          <w:rFonts w:ascii="仿宋" w:hAnsi="仿宋" w:cs="仿宋"/>
          <w:b/>
          <w:color w:val="000000"/>
          <w:sz w:val="24"/>
        </w:rPr>
      </w:pPr>
    </w:p>
    <w:p>
      <w:pPr>
        <w:spacing w:line="380" w:lineRule="exact"/>
        <w:rPr>
          <w:rFonts w:ascii="仿宋" w:hAnsi="仿宋" w:cs="宋体"/>
          <w:b/>
          <w:snapToGrid w:val="0"/>
          <w:color w:val="000000"/>
          <w:kern w:val="20"/>
          <w:position w:val="-4"/>
          <w:sz w:val="28"/>
          <w:szCs w:val="28"/>
        </w:rPr>
      </w:pPr>
    </w:p>
    <w:p>
      <w:pPr>
        <w:spacing w:line="380" w:lineRule="exact"/>
        <w:rPr>
          <w:rFonts w:ascii="仿宋" w:hAnsi="仿宋" w:cs="宋体"/>
          <w:b/>
          <w:snapToGrid w:val="0"/>
          <w:color w:val="000000"/>
          <w:kern w:val="20"/>
          <w:position w:val="-4"/>
          <w:sz w:val="28"/>
          <w:szCs w:val="28"/>
        </w:rPr>
      </w:pPr>
      <w:r>
        <w:rPr>
          <w:rFonts w:hint="eastAsia" w:ascii="仿宋" w:hAnsi="仿宋" w:cs="宋体"/>
          <w:b/>
          <w:snapToGrid w:val="0"/>
          <w:color w:val="000000"/>
          <w:kern w:val="20"/>
          <w:position w:val="-4"/>
          <w:sz w:val="28"/>
          <w:szCs w:val="28"/>
        </w:rPr>
        <w:t>附件一：培训内容</w:t>
      </w:r>
    </w:p>
    <w:p>
      <w:pPr>
        <w:widowControl/>
        <w:spacing w:line="380" w:lineRule="exact"/>
        <w:jc w:val="left"/>
        <w:rPr>
          <w:rFonts w:ascii="仿宋" w:hAnsi="仿宋" w:cs="宋体"/>
          <w:b/>
          <w:bCs/>
          <w:sz w:val="28"/>
          <w:szCs w:val="28"/>
        </w:rPr>
      </w:pPr>
      <w:r>
        <w:rPr>
          <w:rFonts w:hint="eastAsia" w:ascii="仿宋" w:hAnsi="仿宋" w:cs="宋体"/>
          <w:b/>
          <w:bCs/>
          <w:sz w:val="28"/>
          <w:szCs w:val="28"/>
        </w:rPr>
        <w:t>第一部分：国务院、发改委、住建部及各行业、各地市政策解读</w:t>
      </w:r>
    </w:p>
    <w:p>
      <w:pPr>
        <w:widowControl/>
        <w:spacing w:line="380" w:lineRule="exact"/>
        <w:ind w:left="573"/>
        <w:jc w:val="left"/>
        <w:rPr>
          <w:rFonts w:ascii="仿宋" w:hAnsi="仿宋" w:cs="宋体"/>
          <w:sz w:val="28"/>
          <w:szCs w:val="28"/>
        </w:rPr>
      </w:pPr>
      <w:r>
        <w:rPr>
          <w:rFonts w:hint="eastAsia" w:ascii="仿宋" w:hAnsi="仿宋" w:cs="宋体"/>
          <w:sz w:val="28"/>
          <w:szCs w:val="28"/>
        </w:rPr>
        <w:t>1.发改委 《必须招标的工程建设项目规定》 （修订征求意见稿）</w:t>
      </w:r>
    </w:p>
    <w:p>
      <w:pPr>
        <w:widowControl/>
        <w:spacing w:line="380" w:lineRule="exact"/>
        <w:ind w:left="573"/>
        <w:jc w:val="left"/>
        <w:rPr>
          <w:rFonts w:ascii="仿宋" w:hAnsi="仿宋" w:cs="宋体"/>
          <w:sz w:val="28"/>
          <w:szCs w:val="28"/>
        </w:rPr>
      </w:pPr>
      <w:r>
        <w:rPr>
          <w:rFonts w:hint="eastAsia" w:ascii="仿宋" w:hAnsi="仿宋" w:cs="宋体"/>
          <w:sz w:val="28"/>
          <w:szCs w:val="28"/>
        </w:rPr>
        <w:t>2.国家发改委《中华人民共和国招投标法》（修订草案公开征求意稿）；</w:t>
      </w:r>
    </w:p>
    <w:p>
      <w:pPr>
        <w:widowControl/>
        <w:spacing w:line="380" w:lineRule="exact"/>
        <w:ind w:left="573"/>
        <w:jc w:val="left"/>
        <w:rPr>
          <w:rFonts w:ascii="仿宋" w:hAnsi="仿宋" w:cs="宋体"/>
          <w:sz w:val="28"/>
          <w:szCs w:val="28"/>
        </w:rPr>
      </w:pPr>
      <w:r>
        <w:rPr>
          <w:rFonts w:hint="eastAsia" w:ascii="仿宋" w:hAnsi="仿宋" w:cs="宋体"/>
          <w:sz w:val="28"/>
          <w:szCs w:val="28"/>
        </w:rPr>
        <w:t>3.国标《建设工程项目管理规范》（GB/T50326-2017）、《建设项目工程总承包管理规范》GB/T50358-2017）</w:t>
      </w:r>
    </w:p>
    <w:p>
      <w:pPr>
        <w:widowControl/>
        <w:spacing w:line="380" w:lineRule="exact"/>
        <w:ind w:left="573"/>
        <w:jc w:val="left"/>
        <w:rPr>
          <w:rFonts w:ascii="仿宋" w:hAnsi="仿宋" w:cs="宋体"/>
          <w:sz w:val="28"/>
          <w:szCs w:val="28"/>
        </w:rPr>
      </w:pPr>
      <w:r>
        <w:rPr>
          <w:rFonts w:hint="eastAsia" w:ascii="仿宋" w:hAnsi="仿宋" w:cs="宋体"/>
          <w:sz w:val="28"/>
          <w:szCs w:val="28"/>
        </w:rPr>
        <w:t>4.住建部《房屋建筑和市政基础设施项目工程总承包管理办法》</w:t>
      </w:r>
    </w:p>
    <w:p>
      <w:pPr>
        <w:widowControl/>
        <w:spacing w:line="380" w:lineRule="exact"/>
        <w:ind w:left="573"/>
        <w:jc w:val="left"/>
        <w:rPr>
          <w:rFonts w:ascii="仿宋" w:hAnsi="仿宋" w:cs="宋体"/>
          <w:sz w:val="28"/>
          <w:szCs w:val="28"/>
        </w:rPr>
      </w:pPr>
      <w:r>
        <w:rPr>
          <w:rFonts w:hint="eastAsia" w:ascii="仿宋" w:hAnsi="仿宋" w:cs="宋体"/>
          <w:sz w:val="28"/>
          <w:szCs w:val="28"/>
        </w:rPr>
        <w:t>5.《房屋建筑和市政基础设施项目工程总承包计价计量规范》（征求意见稿）</w:t>
      </w:r>
    </w:p>
    <w:p>
      <w:pPr>
        <w:widowControl/>
        <w:spacing w:line="380" w:lineRule="exact"/>
        <w:ind w:left="573"/>
        <w:jc w:val="left"/>
        <w:rPr>
          <w:rFonts w:ascii="仿宋" w:hAnsi="仿宋" w:cs="宋体"/>
          <w:sz w:val="28"/>
          <w:szCs w:val="28"/>
        </w:rPr>
      </w:pPr>
      <w:r>
        <w:rPr>
          <w:rFonts w:hint="eastAsia" w:ascii="仿宋" w:hAnsi="仿宋" w:cs="宋体"/>
          <w:sz w:val="28"/>
          <w:szCs w:val="28"/>
        </w:rPr>
        <w:t>6.《关于征求推进全过程工程咨询服务发展的指导意见》（征求意见稿）</w:t>
      </w:r>
    </w:p>
    <w:p>
      <w:pPr>
        <w:widowControl/>
        <w:spacing w:line="380" w:lineRule="exact"/>
        <w:ind w:left="573"/>
        <w:jc w:val="left"/>
        <w:rPr>
          <w:rFonts w:ascii="仿宋" w:hAnsi="仿宋" w:cs="宋体"/>
          <w:sz w:val="28"/>
          <w:szCs w:val="28"/>
        </w:rPr>
      </w:pPr>
      <w:r>
        <w:rPr>
          <w:rFonts w:hint="eastAsia" w:ascii="仿宋" w:hAnsi="仿宋" w:cs="宋体"/>
          <w:sz w:val="28"/>
          <w:szCs w:val="28"/>
        </w:rPr>
        <w:t>7.住建部 《工程造价改革工作方案》</w:t>
      </w:r>
    </w:p>
    <w:p>
      <w:pPr>
        <w:widowControl/>
        <w:spacing w:line="380" w:lineRule="exact"/>
        <w:ind w:left="573"/>
        <w:jc w:val="left"/>
        <w:rPr>
          <w:rFonts w:ascii="仿宋" w:hAnsi="仿宋" w:cs="宋体"/>
          <w:sz w:val="28"/>
          <w:szCs w:val="28"/>
        </w:rPr>
      </w:pPr>
      <w:r>
        <w:rPr>
          <w:rFonts w:hint="eastAsia" w:ascii="仿宋" w:hAnsi="仿宋" w:cs="宋体"/>
          <w:sz w:val="28"/>
          <w:szCs w:val="28"/>
        </w:rPr>
        <w:t>8.《建设项目工程总承包(EPC)费用项目组成》(征求意见稿)《建设项目</w:t>
      </w:r>
    </w:p>
    <w:p>
      <w:pPr>
        <w:widowControl/>
        <w:spacing w:line="380" w:lineRule="exact"/>
        <w:ind w:left="573"/>
        <w:jc w:val="left"/>
        <w:rPr>
          <w:rFonts w:ascii="仿宋" w:hAnsi="仿宋" w:cs="宋体"/>
          <w:sz w:val="28"/>
          <w:szCs w:val="28"/>
        </w:rPr>
      </w:pPr>
      <w:r>
        <w:rPr>
          <w:rFonts w:hint="eastAsia" w:ascii="仿宋" w:hAnsi="仿宋" w:cs="宋体"/>
          <w:sz w:val="28"/>
          <w:szCs w:val="28"/>
        </w:rPr>
        <w:t>总投资费用项目组成（征求意见稿）》 建办标函2017 612号</w:t>
      </w:r>
    </w:p>
    <w:p>
      <w:pPr>
        <w:widowControl/>
        <w:spacing w:line="380" w:lineRule="exact"/>
        <w:ind w:left="573"/>
        <w:jc w:val="left"/>
        <w:rPr>
          <w:rFonts w:ascii="仿宋" w:hAnsi="仿宋" w:cs="宋体"/>
          <w:sz w:val="28"/>
          <w:szCs w:val="28"/>
        </w:rPr>
      </w:pPr>
      <w:r>
        <w:rPr>
          <w:rFonts w:hint="eastAsia" w:ascii="仿宋" w:hAnsi="仿宋" w:cs="宋体"/>
          <w:sz w:val="28"/>
          <w:szCs w:val="28"/>
        </w:rPr>
        <w:t>9.各地方政府、各行业都相继发布关于推进总包和全过程工程咨询相关规定</w:t>
      </w:r>
    </w:p>
    <w:p>
      <w:pPr>
        <w:spacing w:line="380" w:lineRule="exact"/>
        <w:ind w:firstLine="560" w:firstLineChars="200"/>
        <w:rPr>
          <w:rFonts w:ascii="仿宋" w:hAnsi="仿宋" w:cs="宋体"/>
          <w:bCs/>
          <w:snapToGrid w:val="0"/>
          <w:color w:val="000000"/>
          <w:kern w:val="20"/>
          <w:position w:val="-4"/>
          <w:sz w:val="28"/>
          <w:szCs w:val="28"/>
        </w:rPr>
      </w:pPr>
      <w:r>
        <w:rPr>
          <w:rFonts w:hint="eastAsia" w:ascii="仿宋" w:hAnsi="仿宋" w:cs="宋体"/>
          <w:bCs/>
          <w:snapToGrid w:val="0"/>
          <w:color w:val="000000"/>
          <w:kern w:val="20"/>
          <w:position w:val="-4"/>
          <w:sz w:val="28"/>
          <w:szCs w:val="28"/>
        </w:rPr>
        <w:t>10.住建部新版《建设项目工程总承包合同示范文本》解读及应用</w:t>
      </w:r>
    </w:p>
    <w:p>
      <w:pPr>
        <w:spacing w:line="380" w:lineRule="exact"/>
        <w:rPr>
          <w:rFonts w:ascii="仿宋" w:hAnsi="仿宋" w:cs="宋体"/>
          <w:snapToGrid w:val="0"/>
          <w:color w:val="000000"/>
          <w:kern w:val="20"/>
          <w:position w:val="-4"/>
          <w:sz w:val="28"/>
          <w:szCs w:val="28"/>
        </w:rPr>
      </w:pPr>
      <w:r>
        <w:rPr>
          <w:rFonts w:hint="eastAsia" w:ascii="仿宋" w:hAnsi="仿宋" w:cs="宋体"/>
          <w:b/>
          <w:snapToGrid w:val="0"/>
          <w:color w:val="000000"/>
          <w:kern w:val="20"/>
          <w:position w:val="-4"/>
          <w:sz w:val="28"/>
          <w:szCs w:val="28"/>
        </w:rPr>
        <w:t>第二部分：</w:t>
      </w:r>
    </w:p>
    <w:p>
      <w:pPr>
        <w:widowControl/>
        <w:spacing w:line="380" w:lineRule="exact"/>
        <w:jc w:val="left"/>
        <w:rPr>
          <w:rFonts w:ascii="仿宋" w:hAnsi="仿宋" w:cs="宋体"/>
          <w:color w:val="000000"/>
          <w:sz w:val="28"/>
          <w:szCs w:val="28"/>
        </w:rPr>
      </w:pPr>
      <w:r>
        <w:rPr>
          <w:rFonts w:hint="eastAsia" w:ascii="仿宋" w:hAnsi="仿宋" w:cs="宋体"/>
          <w:b/>
          <w:bCs/>
          <w:color w:val="000000"/>
          <w:sz w:val="28"/>
          <w:szCs w:val="28"/>
        </w:rPr>
        <w:t>（一）EPC工程总承包项目管理全流程实践</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1.工程总承包主要模式适用的项目类型及特点；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2.工程总承包项目各相关方职责与工作界面；</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3.工程总承包项目管理流程及管控要点；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4.工程总承包项目决策阶段的管理（包括招标管理）；</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5.工程总承包项目启动、策划阶段管控要点；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6.工程总承包项目勘察设计阶段的管控要点；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7.工程总承包项目采购阶段的管控要点；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8.工程总承包项目施工、试运行阶段的管控要点；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9.工程总承包项目收尾及关闭、移交阶段的管理；</w:t>
      </w:r>
    </w:p>
    <w:p>
      <w:pPr>
        <w:widowControl/>
        <w:spacing w:line="380" w:lineRule="exact"/>
        <w:ind w:firstLine="560" w:firstLineChars="200"/>
        <w:jc w:val="left"/>
        <w:rPr>
          <w:rFonts w:ascii="仿宋" w:hAnsi="仿宋" w:cs="宋体"/>
          <w:color w:val="000000"/>
          <w:sz w:val="28"/>
          <w:szCs w:val="28"/>
          <w:highlight w:val="yellow"/>
        </w:rPr>
      </w:pPr>
      <w:r>
        <w:rPr>
          <w:rFonts w:hint="eastAsia" w:ascii="仿宋" w:hAnsi="仿宋" w:cs="宋体"/>
          <w:color w:val="000000"/>
          <w:sz w:val="28"/>
          <w:szCs w:val="28"/>
        </w:rPr>
        <w:t>10.工程总承包全过程风险分析（包括甲方风险和乙方面临风险）；</w:t>
      </w:r>
    </w:p>
    <w:p>
      <w:pPr>
        <w:widowControl/>
        <w:spacing w:line="380" w:lineRule="exact"/>
        <w:jc w:val="left"/>
        <w:rPr>
          <w:rFonts w:ascii="仿宋" w:hAnsi="仿宋" w:cs="宋体"/>
          <w:b/>
          <w:bCs/>
          <w:color w:val="000000"/>
          <w:sz w:val="28"/>
          <w:szCs w:val="28"/>
        </w:rPr>
      </w:pPr>
      <w:r>
        <w:rPr>
          <w:rFonts w:hint="eastAsia" w:ascii="仿宋" w:hAnsi="仿宋" w:cs="宋体"/>
          <w:b/>
          <w:bCs/>
          <w:color w:val="000000"/>
          <w:sz w:val="28"/>
          <w:szCs w:val="28"/>
        </w:rPr>
        <w:t>（二）EPC总承包项目招投标策划与风险防范</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1.EPC总承包项目管理招投标风险特点；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2.EPC招投标方案策划；</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3.EPC总承包与施工总承包项目招标文件编制；</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4.EPC总承包项目核心要求招标指标与系统招标要求的策划；</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5.必须招标项目采用EPC总承包可否直接发包？</w:t>
      </w:r>
    </w:p>
    <w:p>
      <w:pPr>
        <w:widowControl/>
        <w:spacing w:line="380" w:lineRule="exact"/>
        <w:jc w:val="left"/>
        <w:rPr>
          <w:rFonts w:ascii="仿宋" w:hAnsi="仿宋" w:cs="宋体"/>
          <w:color w:val="000000"/>
          <w:sz w:val="28"/>
          <w:szCs w:val="28"/>
        </w:rPr>
      </w:pPr>
      <w:r>
        <w:rPr>
          <w:rFonts w:hint="eastAsia" w:ascii="仿宋" w:hAnsi="仿宋" w:cs="宋体"/>
          <w:b/>
          <w:bCs/>
          <w:color w:val="000000"/>
          <w:sz w:val="28"/>
          <w:szCs w:val="28"/>
        </w:rPr>
        <w:t>（三）EPC工程总承包合同核心法律风险识别与防范</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1.EPC工程总承包合同及联合体合同的起草；</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2.EPC工程总承包合同的核心风险识别与防范；</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3.EPC总承包工程设计项目管理的难点；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4.工程总承包招标与投标、中标后开工前合同条款审核；</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5.合同谈判策略及风险关注要点；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6.发包、专业发包、分包阶段合同风险识别防范；</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7.EPC履约工期风险和风险控制；</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8.工程总承包（EPC）工程变更、索赔技巧与风险控制；</w:t>
      </w:r>
    </w:p>
    <w:p>
      <w:pPr>
        <w:widowControl/>
        <w:spacing w:line="380" w:lineRule="exact"/>
        <w:ind w:firstLine="560" w:firstLineChars="200"/>
        <w:jc w:val="left"/>
        <w:rPr>
          <w:rFonts w:ascii="仿宋" w:hAnsi="仿宋" w:cs="宋体"/>
          <w:color w:val="000000"/>
          <w:sz w:val="28"/>
          <w:szCs w:val="28"/>
        </w:rPr>
      </w:pPr>
      <w:r>
        <w:rPr>
          <w:rFonts w:hint="eastAsia" w:ascii="仿宋" w:hAnsi="仿宋"/>
          <w:sz w:val="28"/>
          <w:szCs w:val="28"/>
        </w:rPr>
        <w:t>9.合同终止、合同关闭的条件分析</w:t>
      </w:r>
    </w:p>
    <w:p>
      <w:pPr>
        <w:widowControl/>
        <w:spacing w:line="380" w:lineRule="exact"/>
        <w:jc w:val="left"/>
        <w:rPr>
          <w:rFonts w:ascii="仿宋" w:hAnsi="仿宋" w:cs="宋体"/>
          <w:b/>
          <w:bCs/>
          <w:color w:val="000000"/>
          <w:sz w:val="28"/>
          <w:szCs w:val="28"/>
        </w:rPr>
      </w:pPr>
      <w:r>
        <w:rPr>
          <w:rFonts w:hint="eastAsia" w:ascii="仿宋" w:hAnsi="仿宋" w:cs="宋体"/>
          <w:b/>
          <w:bCs/>
          <w:color w:val="000000"/>
          <w:sz w:val="28"/>
          <w:szCs w:val="28"/>
        </w:rPr>
        <w:t>（四）EPC工程总承包疑难问题</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1.EPC总承包项目分包问题；</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2.EPC概算包干，报价与调概问题；</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3.EPC施工图设计优化解决问题；</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4.EPC设计变更，以施工图为准，还是以初设图为准不对；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5.EPC招标，有初步设计和财评审定概算，采用报下浮率并填报概算清单的方式？</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6.EPC概算清单起的主要作用是施工图预算价中的单价全部或部分不能超概算清单中对应项？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7.EPC分包需要招标吗？需要公开还是邀请？依据是什么；</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8.EPC项目的暂估价属于专业分包，需要进行公开招标吗？</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9.EPC，都是以装饰设计资质+装饰施工资质承接的，但是其实施工范围内有其他包括机电、消防等专业，那这样是可行的吗？依据在哪里？有些地方代理会说需要加上消防、机电等资质？</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10.费率中标的总承包项目，其中达到招标规模的设备，是否需要公开招标？</w:t>
      </w:r>
    </w:p>
    <w:p>
      <w:pPr>
        <w:widowControl/>
        <w:spacing w:line="380" w:lineRule="exact"/>
        <w:jc w:val="left"/>
        <w:rPr>
          <w:rFonts w:ascii="仿宋" w:hAnsi="仿宋" w:cs="宋体"/>
          <w:b/>
          <w:bCs/>
          <w:color w:val="000000"/>
          <w:sz w:val="28"/>
          <w:szCs w:val="28"/>
        </w:rPr>
      </w:pPr>
      <w:r>
        <w:rPr>
          <w:rFonts w:hint="eastAsia" w:ascii="仿宋" w:hAnsi="仿宋" w:cs="宋体"/>
          <w:b/>
          <w:bCs/>
          <w:color w:val="000000"/>
          <w:sz w:val="28"/>
          <w:szCs w:val="28"/>
        </w:rPr>
        <w:t>（五）全过程工程咨询控制要点及操作</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1.全过程工程咨询的相关政策规定与EPC关系；</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2.全过程工程咨询市场的发展方向；</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3.全过程工程咨询模式的优势；</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4.全过程工程咨询要求；</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5.全过程工程咨询单位的招标采购；</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6.项目的全过程咨询步骤及案例。</w:t>
      </w:r>
    </w:p>
    <w:p>
      <w:pPr>
        <w:widowControl/>
        <w:spacing w:line="380" w:lineRule="exact"/>
        <w:jc w:val="left"/>
        <w:rPr>
          <w:rFonts w:ascii="仿宋" w:hAnsi="仿宋" w:cs="宋体"/>
          <w:b/>
          <w:bCs/>
          <w:color w:val="000000"/>
          <w:sz w:val="28"/>
          <w:szCs w:val="28"/>
        </w:rPr>
      </w:pPr>
      <w:r>
        <w:rPr>
          <w:rFonts w:hint="eastAsia" w:ascii="仿宋" w:hAnsi="仿宋" w:cs="宋体"/>
          <w:b/>
          <w:bCs/>
          <w:color w:val="000000"/>
          <w:sz w:val="28"/>
          <w:szCs w:val="28"/>
        </w:rPr>
        <w:t>（六）新政策下业主方工程项目现场管理及风险防范</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1.建设单位对施工项目的管理策划及其风险考虑</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2.建设单位对施工项目管理目标及控制流程的识别与确定</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3.建设单位对施工项目不同管理模式的选择方法</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lang w:val="en-US" w:eastAsia="zh-CN"/>
        </w:rPr>
        <w:t>4</w:t>
      </w:r>
      <w:r>
        <w:rPr>
          <w:rFonts w:hint="eastAsia" w:ascii="仿宋" w:hAnsi="仿宋" w:cs="宋体"/>
          <w:color w:val="000000"/>
          <w:sz w:val="28"/>
          <w:szCs w:val="28"/>
        </w:rPr>
        <w:t>.项目管理规划与项目配套策划</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lang w:val="en-US" w:eastAsia="zh-CN"/>
        </w:rPr>
        <w:t>5</w:t>
      </w:r>
      <w:r>
        <w:rPr>
          <w:rFonts w:hint="eastAsia" w:ascii="仿宋" w:hAnsi="仿宋" w:cs="宋体"/>
          <w:color w:val="000000"/>
          <w:sz w:val="28"/>
          <w:szCs w:val="28"/>
        </w:rPr>
        <w:t>.建设项目招标采购实施与评标管理</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lang w:val="en-US" w:eastAsia="zh-CN"/>
        </w:rPr>
        <w:t>6</w:t>
      </w:r>
      <w:r>
        <w:rPr>
          <w:rFonts w:hint="eastAsia" w:ascii="仿宋" w:hAnsi="仿宋" w:cs="宋体"/>
          <w:color w:val="000000"/>
          <w:sz w:val="28"/>
          <w:szCs w:val="28"/>
        </w:rPr>
        <w:t>.建设项目现场管理平面布置与风险防范</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lang w:val="en-US" w:eastAsia="zh-CN"/>
        </w:rPr>
        <w:t>7</w:t>
      </w:r>
      <w:r>
        <w:rPr>
          <w:rFonts w:hint="eastAsia" w:ascii="仿宋" w:hAnsi="仿宋" w:cs="宋体"/>
          <w:color w:val="000000"/>
          <w:sz w:val="28"/>
          <w:szCs w:val="28"/>
        </w:rPr>
        <w:t>.建设项目招标、合同履约与工程结算的集成管理</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lang w:val="en-US" w:eastAsia="zh-CN"/>
        </w:rPr>
        <w:t>8</w:t>
      </w:r>
      <w:r>
        <w:rPr>
          <w:rFonts w:hint="eastAsia" w:ascii="仿宋" w:hAnsi="仿宋" w:cs="宋体"/>
          <w:color w:val="000000"/>
          <w:sz w:val="28"/>
          <w:szCs w:val="28"/>
        </w:rPr>
        <w:t>.施工图纸、工程量清单与施工技术文件风险的规避方法</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lang w:val="en-US" w:eastAsia="zh-CN"/>
        </w:rPr>
        <w:t>9</w:t>
      </w:r>
      <w:r>
        <w:rPr>
          <w:rFonts w:hint="eastAsia" w:ascii="仿宋" w:hAnsi="仿宋" w:cs="宋体"/>
          <w:color w:val="000000"/>
          <w:sz w:val="28"/>
          <w:szCs w:val="28"/>
        </w:rPr>
        <w:t>.工程质量、安全、进度、环境、造价管理的集成化方法</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w:t>
      </w:r>
      <w:r>
        <w:rPr>
          <w:rFonts w:hint="eastAsia" w:ascii="仿宋" w:hAnsi="仿宋" w:cs="宋体"/>
          <w:color w:val="000000"/>
          <w:sz w:val="28"/>
          <w:szCs w:val="28"/>
          <w:lang w:val="en-US" w:eastAsia="zh-CN"/>
        </w:rPr>
        <w:t>0</w:t>
      </w:r>
      <w:r>
        <w:rPr>
          <w:rFonts w:hint="eastAsia" w:ascii="仿宋" w:hAnsi="仿宋" w:cs="宋体"/>
          <w:color w:val="000000"/>
          <w:sz w:val="28"/>
          <w:szCs w:val="28"/>
        </w:rPr>
        <w:t>.工程反索赔、签证、变更、合理化建议的综合管理</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w:t>
      </w:r>
      <w:r>
        <w:rPr>
          <w:rFonts w:hint="eastAsia" w:ascii="仿宋" w:hAnsi="仿宋" w:cs="宋体"/>
          <w:color w:val="000000"/>
          <w:sz w:val="28"/>
          <w:szCs w:val="28"/>
          <w:lang w:val="en-US" w:eastAsia="zh-CN"/>
        </w:rPr>
        <w:t>1</w:t>
      </w:r>
      <w:r>
        <w:rPr>
          <w:rFonts w:hint="eastAsia" w:ascii="仿宋" w:hAnsi="仿宋" w:cs="宋体"/>
          <w:color w:val="000000"/>
          <w:sz w:val="28"/>
          <w:szCs w:val="28"/>
        </w:rPr>
        <w:t>.工程项目质量、安全、环境、进度的监督方式</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w:t>
      </w:r>
      <w:r>
        <w:rPr>
          <w:rFonts w:hint="eastAsia" w:ascii="仿宋" w:hAnsi="仿宋" w:cs="宋体"/>
          <w:color w:val="000000"/>
          <w:sz w:val="28"/>
          <w:szCs w:val="28"/>
          <w:lang w:val="en-US" w:eastAsia="zh-CN"/>
        </w:rPr>
        <w:t>2</w:t>
      </w:r>
      <w:r>
        <w:rPr>
          <w:rFonts w:hint="eastAsia" w:ascii="仿宋" w:hAnsi="仿宋" w:cs="宋体"/>
          <w:color w:val="000000"/>
          <w:sz w:val="28"/>
          <w:szCs w:val="28"/>
        </w:rPr>
        <w:t>.工程验收与工程结算实施的风险考虑</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w:t>
      </w:r>
      <w:r>
        <w:rPr>
          <w:rFonts w:hint="eastAsia" w:ascii="仿宋" w:hAnsi="仿宋" w:cs="宋体"/>
          <w:color w:val="000000"/>
          <w:sz w:val="28"/>
          <w:szCs w:val="28"/>
          <w:lang w:val="en-US" w:eastAsia="zh-CN"/>
        </w:rPr>
        <w:t>3</w:t>
      </w:r>
      <w:r>
        <w:rPr>
          <w:rFonts w:hint="eastAsia" w:ascii="仿宋" w:hAnsi="仿宋" w:cs="宋体"/>
          <w:color w:val="000000"/>
          <w:sz w:val="28"/>
          <w:szCs w:val="28"/>
        </w:rPr>
        <w:t>.工程正面风险的利用与负面风险的规避方法</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w:t>
      </w:r>
      <w:r>
        <w:rPr>
          <w:rFonts w:hint="eastAsia" w:ascii="仿宋" w:hAnsi="仿宋" w:cs="宋体"/>
          <w:color w:val="000000"/>
          <w:sz w:val="28"/>
          <w:szCs w:val="28"/>
          <w:lang w:val="en-US" w:eastAsia="zh-CN"/>
        </w:rPr>
        <w:t>4</w:t>
      </w:r>
      <w:r>
        <w:rPr>
          <w:rFonts w:hint="eastAsia" w:ascii="仿宋" w:hAnsi="仿宋" w:cs="宋体"/>
          <w:color w:val="000000"/>
          <w:sz w:val="28"/>
          <w:szCs w:val="28"/>
        </w:rPr>
        <w:t>.项目标准化管理、信息管理与综合管理的集成</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w:t>
      </w:r>
      <w:r>
        <w:rPr>
          <w:rFonts w:hint="eastAsia" w:ascii="仿宋" w:hAnsi="仿宋" w:cs="宋体"/>
          <w:color w:val="000000"/>
          <w:sz w:val="28"/>
          <w:szCs w:val="28"/>
          <w:lang w:val="en-US" w:eastAsia="zh-CN"/>
        </w:rPr>
        <w:t>5</w:t>
      </w:r>
      <w:r>
        <w:rPr>
          <w:rFonts w:hint="eastAsia" w:ascii="仿宋" w:hAnsi="仿宋" w:cs="宋体"/>
          <w:color w:val="000000"/>
          <w:sz w:val="28"/>
          <w:szCs w:val="28"/>
        </w:rPr>
        <w:t>.施工现场管理与项目知识管理提升</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w:t>
      </w:r>
      <w:r>
        <w:rPr>
          <w:rFonts w:hint="eastAsia" w:ascii="仿宋" w:hAnsi="仿宋" w:cs="宋体"/>
          <w:color w:val="000000"/>
          <w:sz w:val="28"/>
          <w:szCs w:val="28"/>
          <w:lang w:val="en-US" w:eastAsia="zh-CN"/>
        </w:rPr>
        <w:t>6</w:t>
      </w:r>
      <w:r>
        <w:rPr>
          <w:rFonts w:hint="eastAsia" w:ascii="仿宋" w:hAnsi="仿宋" w:cs="宋体"/>
          <w:color w:val="000000"/>
          <w:sz w:val="28"/>
          <w:szCs w:val="28"/>
        </w:rPr>
        <w:t>.绿色建造与项目安全控制的规定</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w:t>
      </w:r>
      <w:r>
        <w:rPr>
          <w:rFonts w:hint="eastAsia" w:ascii="仿宋" w:hAnsi="仿宋" w:cs="宋体"/>
          <w:color w:val="000000"/>
          <w:sz w:val="28"/>
          <w:szCs w:val="28"/>
          <w:lang w:val="en-US" w:eastAsia="zh-CN"/>
        </w:rPr>
        <w:t>7</w:t>
      </w:r>
      <w:r>
        <w:rPr>
          <w:rFonts w:hint="eastAsia" w:ascii="仿宋" w:hAnsi="仿宋" w:cs="宋体"/>
          <w:color w:val="000000"/>
          <w:sz w:val="28"/>
          <w:szCs w:val="28"/>
        </w:rPr>
        <w:t>.项目竣工验收管理的规定</w:t>
      </w:r>
    </w:p>
    <w:p>
      <w:pPr>
        <w:widowControl/>
        <w:spacing w:line="380" w:lineRule="exact"/>
        <w:jc w:val="left"/>
        <w:rPr>
          <w:rFonts w:ascii="仿宋" w:hAnsi="仿宋" w:cs="宋体"/>
          <w:b/>
          <w:bCs/>
          <w:sz w:val="28"/>
          <w:szCs w:val="28"/>
        </w:rPr>
      </w:pPr>
      <w:r>
        <w:rPr>
          <w:rFonts w:hint="eastAsia" w:ascii="仿宋" w:hAnsi="仿宋" w:cs="宋体"/>
          <w:b/>
          <w:bCs/>
          <w:color w:val="000000"/>
          <w:sz w:val="28"/>
          <w:szCs w:val="28"/>
        </w:rPr>
        <w:t>（七）</w:t>
      </w:r>
      <w:r>
        <w:rPr>
          <w:rFonts w:hint="eastAsia" w:ascii="仿宋" w:hAnsi="仿宋" w:cs="宋体"/>
          <w:b/>
          <w:bCs/>
          <w:sz w:val="28"/>
          <w:szCs w:val="28"/>
        </w:rPr>
        <w:t>新技术应用对工程总承包项目管理的影响</w:t>
      </w:r>
    </w:p>
    <w:p>
      <w:pPr>
        <w:widowControl/>
        <w:spacing w:line="380" w:lineRule="exact"/>
        <w:ind w:left="573"/>
        <w:jc w:val="left"/>
        <w:rPr>
          <w:rFonts w:ascii="仿宋" w:hAnsi="仿宋" w:cs="宋体"/>
          <w:sz w:val="28"/>
          <w:szCs w:val="28"/>
        </w:rPr>
      </w:pPr>
      <w:r>
        <w:rPr>
          <w:rFonts w:hint="eastAsia" w:ascii="仿宋" w:hAnsi="仿宋" w:cs="宋体"/>
          <w:sz w:val="28"/>
          <w:szCs w:val="28"/>
        </w:rPr>
        <w:t>1.大力推进BIM对于工程总承包的意义；</w:t>
      </w:r>
    </w:p>
    <w:p>
      <w:pPr>
        <w:widowControl/>
        <w:spacing w:line="380" w:lineRule="exact"/>
        <w:ind w:left="573"/>
        <w:jc w:val="left"/>
        <w:rPr>
          <w:rFonts w:ascii="仿宋" w:hAnsi="仿宋" w:cs="宋体"/>
          <w:sz w:val="28"/>
          <w:szCs w:val="28"/>
        </w:rPr>
      </w:pPr>
      <w:r>
        <w:rPr>
          <w:rFonts w:hint="eastAsia" w:ascii="仿宋" w:hAnsi="仿宋" w:cs="宋体"/>
          <w:sz w:val="28"/>
          <w:szCs w:val="28"/>
        </w:rPr>
        <w:t>2.装配式建筑带来的管理差异；</w:t>
      </w:r>
    </w:p>
    <w:p>
      <w:pPr>
        <w:widowControl/>
        <w:spacing w:line="380" w:lineRule="exact"/>
        <w:ind w:left="573"/>
        <w:jc w:val="left"/>
        <w:rPr>
          <w:rFonts w:ascii="仿宋" w:hAnsi="仿宋" w:cs="宋体"/>
          <w:sz w:val="28"/>
          <w:szCs w:val="28"/>
        </w:rPr>
      </w:pPr>
      <w:r>
        <w:rPr>
          <w:rFonts w:hint="eastAsia" w:ascii="仿宋" w:hAnsi="仿宋" w:cs="宋体"/>
          <w:sz w:val="28"/>
          <w:szCs w:val="28"/>
        </w:rPr>
        <w:t>3.撬装化建站、模块化建厂带来的影响；</w:t>
      </w:r>
    </w:p>
    <w:p>
      <w:pPr>
        <w:widowControl/>
        <w:spacing w:line="380" w:lineRule="exact"/>
        <w:ind w:left="573"/>
        <w:jc w:val="left"/>
        <w:rPr>
          <w:rFonts w:ascii="仿宋" w:hAnsi="仿宋" w:cs="宋体"/>
          <w:sz w:val="28"/>
          <w:szCs w:val="28"/>
        </w:rPr>
      </w:pPr>
      <w:r>
        <w:rPr>
          <w:rFonts w:hint="eastAsia" w:ascii="仿宋" w:hAnsi="仿宋" w:cs="宋体"/>
          <w:sz w:val="28"/>
          <w:szCs w:val="28"/>
        </w:rPr>
        <w:t>4.项目管理信息化带来的政府监管变化；</w:t>
      </w:r>
    </w:p>
    <w:p>
      <w:pPr>
        <w:widowControl/>
        <w:spacing w:line="380" w:lineRule="exact"/>
        <w:ind w:left="573"/>
        <w:jc w:val="left"/>
        <w:rPr>
          <w:rFonts w:ascii="仿宋" w:hAnsi="仿宋" w:cs="宋体"/>
          <w:sz w:val="28"/>
          <w:szCs w:val="28"/>
        </w:rPr>
      </w:pPr>
      <w:r>
        <w:rPr>
          <w:rFonts w:hint="eastAsia" w:ascii="仿宋" w:hAnsi="仿宋" w:cs="宋体"/>
          <w:sz w:val="28"/>
          <w:szCs w:val="28"/>
        </w:rPr>
        <w:t>5.企业项目管理信息化应用提升管理效能</w:t>
      </w:r>
    </w:p>
    <w:p>
      <w:pPr>
        <w:widowControl/>
        <w:spacing w:line="380" w:lineRule="exact"/>
        <w:jc w:val="left"/>
        <w:rPr>
          <w:rFonts w:ascii="仿宋" w:hAnsi="仿宋" w:cs="仿宋"/>
          <w:b/>
          <w:color w:val="000000"/>
          <w:sz w:val="28"/>
          <w:szCs w:val="28"/>
        </w:rPr>
      </w:pPr>
      <w:r>
        <w:rPr>
          <w:rFonts w:hint="eastAsia" w:ascii="仿宋" w:hAnsi="仿宋" w:cs="仿宋"/>
          <w:b/>
          <w:color w:val="000000"/>
          <w:sz w:val="28"/>
          <w:szCs w:val="28"/>
        </w:rPr>
        <w:t>三、培训对象</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各地政府建设项目监管部门、工程交易中心、投资项目评审中心；各业主单位从事项目管理、合同管理、工程项目建设、开发、审计等相关部门人员；各建筑施工企业、工程公司、总承包公司、设计院、成套设备公司、设备材料供应商、国际招标公司、律师事务所及各公司的总经理、副总经理、部门经理、项目经理、市场开发、法务专员等相关部门负责人、中高等院校、医院及科研机构、参与EPC项目管理的所有管理者。</w:t>
      </w:r>
    </w:p>
    <w:p>
      <w:pPr>
        <w:widowControl/>
        <w:spacing w:line="380" w:lineRule="exact"/>
        <w:jc w:val="left"/>
        <w:rPr>
          <w:rFonts w:ascii="仿宋" w:hAnsi="仿宋" w:cs="宋体"/>
          <w:b/>
          <w:bCs/>
          <w:color w:val="000000"/>
          <w:sz w:val="28"/>
          <w:szCs w:val="28"/>
        </w:rPr>
      </w:pPr>
      <w:r>
        <w:rPr>
          <w:rFonts w:hint="eastAsia" w:ascii="仿宋" w:hAnsi="仿宋" w:cs="宋体"/>
          <w:b/>
          <w:bCs/>
          <w:color w:val="000000"/>
          <w:sz w:val="28"/>
          <w:szCs w:val="28"/>
        </w:rPr>
        <w:t>四、拟邀专家</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国家发改委、住建部、</w:t>
      </w:r>
      <w:r>
        <w:rPr>
          <w:rFonts w:hint="eastAsia" w:ascii="仿宋" w:hAnsi="仿宋"/>
          <w:sz w:val="28"/>
          <w:szCs w:val="28"/>
          <w:lang w:val="zh-CN"/>
        </w:rPr>
        <w:t>行业协会、参与新规范编写的有关专家</w:t>
      </w:r>
      <w:r>
        <w:rPr>
          <w:rFonts w:hint="eastAsia" w:ascii="仿宋" w:hAnsi="仿宋" w:cs="宋体"/>
          <w:color w:val="000000"/>
          <w:sz w:val="28"/>
          <w:szCs w:val="28"/>
        </w:rPr>
        <w:t>和国内一流EPC总承包项目管理丰富经验的实战专家</w:t>
      </w:r>
      <w:r>
        <w:rPr>
          <w:rFonts w:hint="eastAsia" w:ascii="仿宋" w:hAnsi="仿宋" w:cs="宋体"/>
          <w:color w:val="000000"/>
          <w:sz w:val="28"/>
          <w:szCs w:val="28"/>
          <w:highlight w:val="none"/>
        </w:rPr>
        <w:t>现</w:t>
      </w:r>
      <w:r>
        <w:rPr>
          <w:rFonts w:hint="eastAsia" w:ascii="仿宋" w:hAnsi="仿宋" w:cs="宋体"/>
          <w:color w:val="000000"/>
          <w:sz w:val="28"/>
          <w:szCs w:val="28"/>
        </w:rPr>
        <w:t>场授课，结合经典实例分析，并进行现场答疑和互动交流。</w:t>
      </w:r>
    </w:p>
    <w:p>
      <w:pPr>
        <w:widowControl/>
        <w:spacing w:line="380" w:lineRule="exact"/>
        <w:jc w:val="left"/>
        <w:rPr>
          <w:rFonts w:ascii="仿宋" w:hAnsi="仿宋" w:cs="宋体"/>
          <w:color w:val="000000"/>
          <w:sz w:val="28"/>
          <w:szCs w:val="28"/>
        </w:rPr>
      </w:pPr>
      <w:r>
        <w:rPr>
          <w:rFonts w:hint="eastAsia" w:ascii="仿宋" w:hAnsi="仿宋" w:cs="宋体"/>
          <w:b/>
          <w:bCs/>
          <w:color w:val="000000"/>
          <w:sz w:val="28"/>
          <w:szCs w:val="28"/>
        </w:rPr>
        <w:t>五、培训时间和地点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2021年10月20日—10月25日（20日报到）  地点：</w:t>
      </w:r>
      <w:r>
        <w:rPr>
          <w:rFonts w:hint="eastAsia" w:ascii="仿宋" w:hAnsi="仿宋" w:cs="宋体"/>
          <w:color w:val="000000"/>
          <w:sz w:val="28"/>
          <w:szCs w:val="28"/>
          <w:lang w:val="en-US" w:eastAsia="zh-CN"/>
        </w:rPr>
        <w:t>杭州</w:t>
      </w:r>
      <w:r>
        <w:rPr>
          <w:rFonts w:hint="eastAsia" w:ascii="仿宋" w:hAnsi="仿宋" w:cs="宋体"/>
          <w:color w:val="000000"/>
          <w:sz w:val="28"/>
          <w:szCs w:val="28"/>
        </w:rPr>
        <w:t>市</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2021年11月1</w:t>
      </w:r>
      <w:r>
        <w:rPr>
          <w:rFonts w:ascii="仿宋" w:hAnsi="仿宋" w:cs="宋体"/>
          <w:color w:val="000000"/>
          <w:sz w:val="28"/>
          <w:szCs w:val="28"/>
        </w:rPr>
        <w:t>0</w:t>
      </w:r>
      <w:r>
        <w:rPr>
          <w:rFonts w:hint="eastAsia" w:ascii="仿宋" w:hAnsi="仿宋" w:cs="宋体"/>
          <w:color w:val="000000"/>
          <w:sz w:val="28"/>
          <w:szCs w:val="28"/>
        </w:rPr>
        <w:t>日—11月</w:t>
      </w:r>
      <w:r>
        <w:rPr>
          <w:rFonts w:ascii="仿宋" w:hAnsi="仿宋" w:cs="宋体"/>
          <w:color w:val="000000"/>
          <w:sz w:val="28"/>
          <w:szCs w:val="28"/>
        </w:rPr>
        <w:t>15</w:t>
      </w:r>
      <w:r>
        <w:rPr>
          <w:rFonts w:hint="eastAsia" w:ascii="仿宋" w:hAnsi="仿宋" w:cs="宋体"/>
          <w:color w:val="000000"/>
          <w:sz w:val="28"/>
          <w:szCs w:val="28"/>
        </w:rPr>
        <w:t>日（</w:t>
      </w:r>
      <w:r>
        <w:rPr>
          <w:rFonts w:ascii="仿宋" w:hAnsi="仿宋" w:cs="宋体"/>
          <w:color w:val="000000"/>
          <w:sz w:val="28"/>
          <w:szCs w:val="28"/>
        </w:rPr>
        <w:t>10</w:t>
      </w:r>
      <w:r>
        <w:rPr>
          <w:rFonts w:hint="eastAsia" w:ascii="仿宋" w:hAnsi="仿宋" w:cs="宋体"/>
          <w:color w:val="000000"/>
          <w:sz w:val="28"/>
          <w:szCs w:val="28"/>
        </w:rPr>
        <w:t>日报到）  地点：厦门市</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2021年1</w:t>
      </w:r>
      <w:r>
        <w:rPr>
          <w:rFonts w:ascii="仿宋" w:hAnsi="仿宋" w:cs="宋体"/>
          <w:color w:val="000000"/>
          <w:sz w:val="28"/>
          <w:szCs w:val="28"/>
        </w:rPr>
        <w:t>1</w:t>
      </w:r>
      <w:r>
        <w:rPr>
          <w:rFonts w:hint="eastAsia" w:ascii="仿宋" w:hAnsi="仿宋" w:cs="宋体"/>
          <w:color w:val="000000"/>
          <w:sz w:val="28"/>
          <w:szCs w:val="28"/>
        </w:rPr>
        <w:t>月</w:t>
      </w:r>
      <w:r>
        <w:rPr>
          <w:rFonts w:ascii="仿宋" w:hAnsi="仿宋" w:cs="宋体"/>
          <w:color w:val="000000"/>
          <w:sz w:val="28"/>
          <w:szCs w:val="28"/>
        </w:rPr>
        <w:t>24</w:t>
      </w:r>
      <w:r>
        <w:rPr>
          <w:rFonts w:hint="eastAsia" w:ascii="仿宋" w:hAnsi="仿宋" w:cs="宋体"/>
          <w:color w:val="000000"/>
          <w:sz w:val="28"/>
          <w:szCs w:val="28"/>
        </w:rPr>
        <w:t>日—1</w:t>
      </w:r>
      <w:r>
        <w:rPr>
          <w:rFonts w:ascii="仿宋" w:hAnsi="仿宋" w:cs="宋体"/>
          <w:color w:val="000000"/>
          <w:sz w:val="28"/>
          <w:szCs w:val="28"/>
        </w:rPr>
        <w:t>1</w:t>
      </w:r>
      <w:r>
        <w:rPr>
          <w:rFonts w:hint="eastAsia" w:ascii="仿宋" w:hAnsi="仿宋" w:cs="宋体"/>
          <w:color w:val="000000"/>
          <w:sz w:val="28"/>
          <w:szCs w:val="28"/>
        </w:rPr>
        <w:t>月</w:t>
      </w:r>
      <w:r>
        <w:rPr>
          <w:rFonts w:ascii="仿宋" w:hAnsi="仿宋" w:cs="宋体"/>
          <w:color w:val="000000"/>
          <w:sz w:val="28"/>
          <w:szCs w:val="28"/>
        </w:rPr>
        <w:t>29</w:t>
      </w:r>
      <w:r>
        <w:rPr>
          <w:rFonts w:hint="eastAsia" w:ascii="仿宋" w:hAnsi="仿宋" w:cs="宋体"/>
          <w:color w:val="000000"/>
          <w:sz w:val="28"/>
          <w:szCs w:val="28"/>
        </w:rPr>
        <w:t>日（</w:t>
      </w:r>
      <w:r>
        <w:rPr>
          <w:rFonts w:ascii="仿宋" w:hAnsi="仿宋" w:cs="宋体"/>
          <w:color w:val="000000"/>
          <w:sz w:val="28"/>
          <w:szCs w:val="28"/>
        </w:rPr>
        <w:t>24</w:t>
      </w:r>
      <w:r>
        <w:rPr>
          <w:rFonts w:hint="eastAsia" w:ascii="仿宋" w:hAnsi="仿宋" w:cs="宋体"/>
          <w:color w:val="000000"/>
          <w:sz w:val="28"/>
          <w:szCs w:val="28"/>
        </w:rPr>
        <w:t>日报到）  地点：成都市</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2021年12月22日—12月27日（22日报到）  地点：南宁市</w:t>
      </w:r>
    </w:p>
    <w:p>
      <w:pPr>
        <w:widowControl/>
        <w:spacing w:line="380" w:lineRule="exact"/>
        <w:jc w:val="left"/>
        <w:rPr>
          <w:rFonts w:ascii="仿宋" w:hAnsi="仿宋" w:cs="宋体"/>
          <w:b/>
          <w:bCs/>
          <w:color w:val="000000"/>
          <w:sz w:val="28"/>
          <w:szCs w:val="28"/>
        </w:rPr>
      </w:pPr>
      <w:r>
        <w:rPr>
          <w:rFonts w:hint="eastAsia" w:ascii="仿宋" w:hAnsi="仿宋" w:cs="宋体"/>
          <w:b/>
          <w:bCs/>
          <w:color w:val="000000"/>
          <w:sz w:val="28"/>
          <w:szCs w:val="28"/>
        </w:rPr>
        <w:t>六、收费标准</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b/>
          <w:bCs/>
          <w:color w:val="000000"/>
          <w:sz w:val="28"/>
          <w:szCs w:val="28"/>
        </w:rPr>
        <w:t>本地代表</w:t>
      </w:r>
      <w:r>
        <w:rPr>
          <w:rFonts w:hint="eastAsia" w:ascii="仿宋" w:hAnsi="仿宋" w:cs="宋体"/>
          <w:color w:val="000000"/>
          <w:sz w:val="28"/>
          <w:szCs w:val="28"/>
        </w:rPr>
        <w:t>：2980元/人（含培训、资料、课件、场地、午餐费、专家等），住宿会务组统一安排，费用自理。</w:t>
      </w:r>
    </w:p>
    <w:p>
      <w:pPr>
        <w:widowControl/>
        <w:spacing w:line="380" w:lineRule="exact"/>
        <w:ind w:left="278" w:leftChars="87" w:firstLine="280" w:firstLineChars="100"/>
        <w:jc w:val="left"/>
        <w:rPr>
          <w:rFonts w:ascii="仿宋" w:hAnsi="仿宋" w:cs="宋体"/>
          <w:color w:val="000000"/>
          <w:sz w:val="28"/>
          <w:szCs w:val="28"/>
        </w:rPr>
      </w:pPr>
      <w:r>
        <w:rPr>
          <w:rFonts w:hint="eastAsia" w:ascii="仿宋" w:hAnsi="仿宋" w:cs="宋体"/>
          <w:b/>
          <w:bCs/>
          <w:color w:val="000000"/>
          <w:sz w:val="28"/>
          <w:szCs w:val="28"/>
        </w:rPr>
        <w:t>外地代表</w:t>
      </w:r>
      <w:r>
        <w:rPr>
          <w:rFonts w:hint="eastAsia" w:ascii="仿宋" w:hAnsi="仿宋" w:cs="宋体"/>
          <w:color w:val="000000"/>
          <w:sz w:val="28"/>
          <w:szCs w:val="28"/>
        </w:rPr>
        <w:t>：4980元/人（含培训、资料、课件、场地、专家、食宿（合住标准、单住需要补交单房差、）交流等）会务组统一安排。</w:t>
      </w:r>
    </w:p>
    <w:p>
      <w:pPr>
        <w:widowControl/>
        <w:spacing w:line="380" w:lineRule="exact"/>
        <w:jc w:val="left"/>
        <w:rPr>
          <w:rFonts w:ascii="仿宋" w:hAnsi="仿宋" w:cs="宋体"/>
          <w:b/>
          <w:bCs/>
          <w:color w:val="000000"/>
          <w:sz w:val="28"/>
          <w:szCs w:val="28"/>
        </w:rPr>
      </w:pPr>
      <w:r>
        <w:rPr>
          <w:rFonts w:hint="eastAsia" w:ascii="仿宋" w:hAnsi="仿宋" w:cs="宋体"/>
          <w:b/>
          <w:bCs/>
          <w:color w:val="000000"/>
          <w:sz w:val="28"/>
          <w:szCs w:val="28"/>
        </w:rPr>
        <w:t>七、联系方式</w:t>
      </w:r>
    </w:p>
    <w:p>
      <w:pPr>
        <w:widowControl/>
        <w:spacing w:line="380" w:lineRule="exact"/>
        <w:ind w:firstLine="560" w:firstLineChars="200"/>
        <w:jc w:val="left"/>
        <w:rPr>
          <w:rFonts w:hint="eastAsia" w:ascii="仿宋" w:hAnsi="仿宋" w:cs="宋体"/>
          <w:color w:val="000000"/>
          <w:sz w:val="28"/>
          <w:szCs w:val="28"/>
        </w:rPr>
      </w:pPr>
      <w:r>
        <w:rPr>
          <w:rFonts w:hint="eastAsia" w:ascii="仿宋" w:hAnsi="仿宋" w:cs="宋体"/>
          <w:color w:val="000000"/>
          <w:sz w:val="28"/>
          <w:szCs w:val="28"/>
        </w:rPr>
        <w:t xml:space="preserve">报名负责人：聂红军 主任18211071700（微信）   </w:t>
      </w:r>
    </w:p>
    <w:p>
      <w:pPr>
        <w:widowControl/>
        <w:spacing w:line="380" w:lineRule="exact"/>
        <w:ind w:firstLine="560" w:firstLineChars="200"/>
        <w:jc w:val="left"/>
        <w:rPr>
          <w:rFonts w:hint="eastAsia" w:ascii="仿宋" w:hAnsi="仿宋" w:cs="宋体"/>
          <w:color w:val="000000"/>
          <w:sz w:val="28"/>
          <w:szCs w:val="28"/>
        </w:rPr>
      </w:pPr>
      <w:r>
        <w:rPr>
          <w:rFonts w:hint="eastAsia" w:ascii="仿宋" w:hAnsi="仿宋" w:cs="宋体"/>
          <w:color w:val="000000"/>
          <w:sz w:val="28"/>
          <w:szCs w:val="28"/>
        </w:rPr>
        <w:t xml:space="preserve">电  话：010-87697580      邮    箱：zqgphwz@126.com  </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qq咨询：3177524020        网址查询：http://www.zqgpchina.cn/</w:t>
      </w:r>
    </w:p>
    <w:p>
      <w:pPr>
        <w:widowControl/>
        <w:spacing w:line="320" w:lineRule="exact"/>
        <w:jc w:val="left"/>
        <w:rPr>
          <w:rFonts w:hint="eastAsia" w:ascii="仿宋" w:hAnsi="仿宋" w:cs="仿宋"/>
          <w:b/>
          <w:color w:val="000000"/>
          <w:sz w:val="28"/>
          <w:szCs w:val="28"/>
        </w:rPr>
      </w:pPr>
    </w:p>
    <w:p>
      <w:pPr>
        <w:widowControl/>
        <w:spacing w:line="320" w:lineRule="exact"/>
        <w:jc w:val="left"/>
        <w:rPr>
          <w:rFonts w:hint="eastAsia" w:ascii="仿宋" w:hAnsi="仿宋" w:cs="仿宋"/>
          <w:b/>
          <w:color w:val="000000"/>
          <w:sz w:val="28"/>
          <w:szCs w:val="28"/>
        </w:rPr>
      </w:pPr>
    </w:p>
    <w:p>
      <w:pPr>
        <w:widowControl/>
        <w:spacing w:line="320" w:lineRule="exact"/>
        <w:jc w:val="left"/>
        <w:rPr>
          <w:rFonts w:hint="eastAsia" w:ascii="仿宋" w:hAnsi="仿宋" w:cs="仿宋"/>
          <w:b/>
          <w:color w:val="000000"/>
          <w:sz w:val="28"/>
          <w:szCs w:val="28"/>
        </w:rPr>
      </w:pPr>
    </w:p>
    <w:p>
      <w:pPr>
        <w:widowControl/>
        <w:spacing w:line="320" w:lineRule="exact"/>
        <w:jc w:val="left"/>
        <w:rPr>
          <w:rFonts w:hint="eastAsia" w:ascii="仿宋" w:hAnsi="仿宋" w:cs="仿宋"/>
          <w:b/>
          <w:color w:val="000000"/>
          <w:sz w:val="28"/>
          <w:szCs w:val="28"/>
        </w:rPr>
      </w:pPr>
    </w:p>
    <w:p>
      <w:pPr>
        <w:widowControl/>
        <w:spacing w:line="320" w:lineRule="exact"/>
        <w:jc w:val="left"/>
        <w:rPr>
          <w:rFonts w:ascii="仿宋" w:hAnsi="仿宋" w:cs="仿宋"/>
          <w:b/>
          <w:color w:val="000000"/>
          <w:sz w:val="28"/>
          <w:szCs w:val="28"/>
        </w:rPr>
      </w:pPr>
      <w:r>
        <w:rPr>
          <w:rFonts w:hint="eastAsia" w:ascii="仿宋" w:hAnsi="仿宋" w:cs="仿宋"/>
          <w:b/>
          <w:color w:val="000000"/>
          <w:sz w:val="28"/>
          <w:szCs w:val="28"/>
        </w:rPr>
        <w:t>附件二：</w:t>
      </w:r>
    </w:p>
    <w:p>
      <w:pPr>
        <w:widowControl/>
        <w:spacing w:line="320" w:lineRule="exact"/>
        <w:ind w:firstLine="560" w:firstLineChars="200"/>
        <w:jc w:val="center"/>
        <w:rPr>
          <w:rFonts w:ascii="仿宋" w:hAnsi="仿宋" w:cs="仿宋"/>
          <w:b/>
          <w:color w:val="000000"/>
          <w:sz w:val="28"/>
          <w:szCs w:val="28"/>
        </w:rPr>
      </w:pPr>
      <w:r>
        <w:rPr>
          <w:rFonts w:hint="eastAsia" w:ascii="仿宋" w:hAnsi="仿宋" w:cs="仿宋"/>
          <w:b/>
          <w:color w:val="000000"/>
          <w:sz w:val="28"/>
          <w:szCs w:val="28"/>
        </w:rPr>
        <w:t>“新政策下EPC工程总承包全过程实战与风险防范应对管理及全过程工程咨询与业主方施工现场管理实战型高级培训班”报名回执表</w:t>
      </w:r>
    </w:p>
    <w:tbl>
      <w:tblPr>
        <w:tblStyle w:val="7"/>
        <w:tblpPr w:leftFromText="180" w:rightFromText="180" w:vertAnchor="text" w:horzAnchor="margin" w:tblpXSpec="center" w:tblpY="70"/>
        <w:tblW w:w="10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8"/>
        <w:gridCol w:w="760"/>
        <w:gridCol w:w="2100"/>
        <w:gridCol w:w="1620"/>
        <w:gridCol w:w="127"/>
        <w:gridCol w:w="1260"/>
        <w:gridCol w:w="197"/>
        <w:gridCol w:w="220"/>
        <w:gridCol w:w="296"/>
        <w:gridCol w:w="682"/>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宋体"/>
                <w:color w:val="000000"/>
                <w:sz w:val="28"/>
                <w:szCs w:val="28"/>
              </w:rPr>
            </w:pPr>
            <w:r>
              <w:rPr>
                <w:rFonts w:hint="eastAsia" w:ascii="仿宋" w:hAnsi="仿宋" w:cs="宋体"/>
                <w:color w:val="000000"/>
                <w:sz w:val="28"/>
                <w:szCs w:val="28"/>
              </w:rPr>
              <w:t>（开票单位）</w:t>
            </w:r>
          </w:p>
        </w:tc>
        <w:tc>
          <w:tcPr>
            <w:tcW w:w="6284"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978"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宋体"/>
                <w:color w:val="000000"/>
                <w:sz w:val="28"/>
                <w:szCs w:val="28"/>
              </w:rPr>
            </w:pPr>
            <w:r>
              <w:rPr>
                <w:rFonts w:hint="eastAsia" w:ascii="仿宋" w:hAnsi="仿宋" w:cs="宋体"/>
                <w:color w:val="000000"/>
                <w:sz w:val="28"/>
                <w:szCs w:val="28"/>
              </w:rPr>
              <w:t>邮  编</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通讯地址</w:t>
            </w:r>
          </w:p>
        </w:tc>
        <w:tc>
          <w:tcPr>
            <w:tcW w:w="8589"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联 系 人</w:t>
            </w:r>
          </w:p>
        </w:tc>
        <w:tc>
          <w:tcPr>
            <w:tcW w:w="4480"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E-mail</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电    话</w:t>
            </w:r>
          </w:p>
        </w:tc>
        <w:tc>
          <w:tcPr>
            <w:tcW w:w="4480"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传  真</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姓    名</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宋体"/>
                <w:color w:val="000000"/>
                <w:sz w:val="28"/>
                <w:szCs w:val="28"/>
              </w:rPr>
            </w:pPr>
            <w:r>
              <w:rPr>
                <w:rFonts w:hint="eastAsia" w:ascii="仿宋" w:hAnsi="仿宋" w:cs="宋体"/>
                <w:color w:val="000000"/>
                <w:sz w:val="28"/>
                <w:szCs w:val="28"/>
              </w:rPr>
              <w:t>性 别</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部  门</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职  务</w:t>
            </w: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手 机</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lang w:val="zh-CN"/>
              </w:rPr>
            </w:pPr>
            <w:r>
              <w:rPr>
                <w:rFonts w:hint="eastAsia" w:ascii="仿宋" w:hAnsi="仿宋" w:cs="宋体"/>
                <w:color w:val="000000"/>
                <w:sz w:val="28"/>
                <w:szCs w:val="28"/>
                <w:lang w:val="zh-CN"/>
              </w:rPr>
              <w:t>是否住宿</w:t>
            </w:r>
          </w:p>
        </w:tc>
        <w:tc>
          <w:tcPr>
            <w:tcW w:w="286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□是     □否</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宋体"/>
                <w:color w:val="000000"/>
                <w:sz w:val="28"/>
                <w:szCs w:val="28"/>
              </w:rPr>
            </w:pPr>
            <w:r>
              <w:rPr>
                <w:rFonts w:hint="eastAsia" w:ascii="仿宋" w:hAnsi="仿宋" w:cs="宋体"/>
                <w:color w:val="000000"/>
                <w:sz w:val="28"/>
                <w:szCs w:val="28"/>
              </w:rPr>
              <w:t>住宿要求</w:t>
            </w:r>
          </w:p>
        </w:tc>
        <w:tc>
          <w:tcPr>
            <w:tcW w:w="4109"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□单住(需另补床位费) □合住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lang w:val="zh-CN"/>
              </w:rPr>
            </w:pPr>
            <w:r>
              <w:rPr>
                <w:rFonts w:hint="eastAsia" w:ascii="仿宋" w:hAnsi="仿宋" w:cs="宋体"/>
                <w:color w:val="000000"/>
                <w:sz w:val="28"/>
                <w:szCs w:val="28"/>
                <w:lang w:val="zh-CN"/>
              </w:rPr>
              <w:t>参会地点</w:t>
            </w:r>
          </w:p>
        </w:tc>
        <w:tc>
          <w:tcPr>
            <w:tcW w:w="8589"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lang w:val="zh-CN"/>
              </w:rPr>
            </w:pPr>
            <w:r>
              <w:rPr>
                <w:rFonts w:hint="eastAsia" w:ascii="仿宋" w:hAnsi="仿宋" w:cs="宋体"/>
                <w:color w:val="000000"/>
                <w:sz w:val="28"/>
                <w:szCs w:val="28"/>
                <w:lang w:val="zh-CN"/>
              </w:rPr>
              <w:t>付款方式</w:t>
            </w:r>
          </w:p>
        </w:tc>
        <w:tc>
          <w:tcPr>
            <w:tcW w:w="4607"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□通过银行  □微信或支付宝</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lang w:val="en-US" w:eastAsia="zh-CN"/>
              </w:rPr>
              <w:t>金额</w:t>
            </w:r>
            <w:r>
              <w:rPr>
                <w:rFonts w:hint="eastAsia" w:ascii="仿宋" w:hAnsi="仿宋" w:cs="宋体"/>
                <w:color w:val="000000"/>
                <w:sz w:val="28"/>
                <w:szCs w:val="28"/>
              </w:rPr>
              <w:t xml:space="preserve"> 额</w:t>
            </w:r>
          </w:p>
        </w:tc>
        <w:tc>
          <w:tcPr>
            <w:tcW w:w="2722"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开票信息</w:t>
            </w:r>
          </w:p>
        </w:tc>
        <w:tc>
          <w:tcPr>
            <w:tcW w:w="8589"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w:t>
            </w:r>
            <w:r>
              <w:rPr>
                <w:rFonts w:hint="eastAsia" w:ascii="仿宋" w:hAnsi="仿宋" w:cs="宋体"/>
                <w:color w:val="000000"/>
                <w:sz w:val="28"/>
                <w:szCs w:val="28"/>
                <w:lang w:val="zh-CN"/>
              </w:rPr>
              <w:t>增值税专用发票</w:t>
            </w:r>
            <w:r>
              <w:rPr>
                <w:rFonts w:hint="eastAsia" w:ascii="仿宋" w:hAnsi="仿宋" w:cs="宋体"/>
                <w:color w:val="000000"/>
                <w:sz w:val="28"/>
                <w:szCs w:val="28"/>
              </w:rPr>
              <w:t xml:space="preserve">         □增值税普票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29"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开票信息</w:t>
            </w:r>
          </w:p>
        </w:tc>
        <w:tc>
          <w:tcPr>
            <w:tcW w:w="8589"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单 位 名 称：</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税       号：</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开户行、账号：</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地 址、电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0"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收款账户</w:t>
            </w:r>
          </w:p>
        </w:tc>
        <w:tc>
          <w:tcPr>
            <w:tcW w:w="8589"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hint="eastAsia" w:cs="宋体"/>
                <w:color w:val="000000"/>
                <w:sz w:val="28"/>
                <w:szCs w:val="28"/>
              </w:rPr>
            </w:pPr>
            <w:r>
              <w:rPr>
                <w:rFonts w:hint="eastAsia" w:cs="宋体"/>
                <w:color w:val="000000"/>
                <w:sz w:val="28"/>
                <w:szCs w:val="28"/>
              </w:rPr>
              <w:t>单位名称：</w:t>
            </w:r>
            <w:r>
              <w:rPr>
                <w:rFonts w:hint="eastAsia" w:cs="宋体"/>
                <w:color w:val="000000"/>
                <w:sz w:val="28"/>
                <w:szCs w:val="28"/>
                <w:lang w:val="en-US"/>
              </w:rPr>
              <w:t>中建领航企培（北京）信息咨询有限公司</w:t>
            </w:r>
            <w:r>
              <w:rPr>
                <w:rFonts w:hint="eastAsia" w:cs="宋体"/>
                <w:color w:val="000000"/>
                <w:sz w:val="28"/>
                <w:szCs w:val="28"/>
              </w:rPr>
              <w:t xml:space="preserve"> </w:t>
            </w:r>
          </w:p>
          <w:p>
            <w:pPr>
              <w:widowControl/>
              <w:spacing w:line="380" w:lineRule="exact"/>
              <w:rPr>
                <w:rFonts w:hint="eastAsia" w:cs="宋体"/>
                <w:color w:val="000000"/>
                <w:sz w:val="28"/>
                <w:szCs w:val="28"/>
              </w:rPr>
            </w:pPr>
            <w:r>
              <w:rPr>
                <w:rFonts w:hint="eastAsia" w:cs="宋体"/>
                <w:color w:val="000000"/>
                <w:sz w:val="28"/>
                <w:szCs w:val="28"/>
              </w:rPr>
              <w:t>开 户 行：中国工商银行股份有限公司北京</w:t>
            </w:r>
            <w:r>
              <w:rPr>
                <w:rFonts w:hint="eastAsia" w:cs="宋体"/>
                <w:color w:val="000000"/>
                <w:sz w:val="28"/>
                <w:szCs w:val="28"/>
                <w:lang w:val="en-US"/>
              </w:rPr>
              <w:t>市永定路支行</w:t>
            </w:r>
            <w:r>
              <w:rPr>
                <w:rFonts w:hint="eastAsia" w:cs="宋体"/>
                <w:color w:val="000000"/>
                <w:sz w:val="28"/>
                <w:szCs w:val="28"/>
              </w:rPr>
              <w:t xml:space="preserve"> </w:t>
            </w:r>
          </w:p>
          <w:p>
            <w:pPr>
              <w:widowControl/>
              <w:spacing w:line="380" w:lineRule="exact"/>
              <w:jc w:val="left"/>
              <w:rPr>
                <w:rFonts w:ascii="仿宋" w:hAnsi="仿宋" w:cs="宋体"/>
                <w:color w:val="000000"/>
                <w:sz w:val="28"/>
                <w:szCs w:val="28"/>
                <w:lang w:val="zh-CN"/>
              </w:rPr>
            </w:pPr>
            <w:r>
              <w:rPr>
                <w:rFonts w:hint="eastAsia" w:cs="宋体"/>
                <w:color w:val="000000"/>
                <w:sz w:val="28"/>
                <w:szCs w:val="28"/>
              </w:rPr>
              <w:t xml:space="preserve">账    号： </w:t>
            </w:r>
            <w:r>
              <w:rPr>
                <w:rFonts w:hint="eastAsia" w:cs="宋体"/>
                <w:color w:val="000000"/>
                <w:sz w:val="28"/>
                <w:szCs w:val="28"/>
                <w:lang w:val="en-US"/>
              </w:rPr>
              <w:t>0200</w:t>
            </w:r>
            <w:r>
              <w:rPr>
                <w:rFonts w:hint="eastAsia" w:cs="宋体"/>
                <w:color w:val="000000"/>
                <w:sz w:val="28"/>
                <w:szCs w:val="28"/>
                <w:lang w:val="en-US" w:eastAsia="zh-CN"/>
              </w:rPr>
              <w:t xml:space="preserve"> </w:t>
            </w:r>
            <w:r>
              <w:rPr>
                <w:rFonts w:hint="eastAsia" w:cs="宋体"/>
                <w:color w:val="000000"/>
                <w:sz w:val="28"/>
                <w:szCs w:val="28"/>
                <w:lang w:val="en-US"/>
              </w:rPr>
              <w:t xml:space="preserve"> 0049</w:t>
            </w:r>
            <w:r>
              <w:rPr>
                <w:rFonts w:hint="eastAsia" w:cs="宋体"/>
                <w:color w:val="000000"/>
                <w:sz w:val="28"/>
                <w:szCs w:val="28"/>
                <w:lang w:val="en-US" w:eastAsia="zh-CN"/>
              </w:rPr>
              <w:t xml:space="preserve"> </w:t>
            </w:r>
            <w:r>
              <w:rPr>
                <w:rFonts w:hint="eastAsia" w:cs="宋体"/>
                <w:color w:val="000000"/>
                <w:sz w:val="28"/>
                <w:szCs w:val="28"/>
                <w:lang w:val="en-US"/>
              </w:rPr>
              <w:t xml:space="preserve"> 0920 </w:t>
            </w:r>
            <w:r>
              <w:rPr>
                <w:rFonts w:hint="eastAsia" w:cs="宋体"/>
                <w:color w:val="000000"/>
                <w:sz w:val="28"/>
                <w:szCs w:val="28"/>
                <w:lang w:val="en-US" w:eastAsia="zh-CN"/>
              </w:rPr>
              <w:t xml:space="preserve"> </w:t>
            </w:r>
            <w:r>
              <w:rPr>
                <w:rFonts w:hint="eastAsia" w:cs="宋体"/>
                <w:color w:val="000000"/>
                <w:sz w:val="28"/>
                <w:szCs w:val="28"/>
                <w:lang w:val="en-US"/>
              </w:rPr>
              <w:t>0337</w:t>
            </w:r>
            <w:r>
              <w:rPr>
                <w:rFonts w:hint="eastAsia" w:cs="宋体"/>
                <w:color w:val="000000"/>
                <w:sz w:val="28"/>
                <w:szCs w:val="28"/>
                <w:lang w:val="en-US" w:eastAsia="zh-CN"/>
              </w:rPr>
              <w:t xml:space="preserve"> </w:t>
            </w:r>
            <w:r>
              <w:rPr>
                <w:rFonts w:hint="eastAsia" w:cs="宋体"/>
                <w:color w:val="000000"/>
                <w:sz w:val="28"/>
                <w:szCs w:val="28"/>
                <w:lang w:val="en-US"/>
              </w:rPr>
              <w:t xml:space="preserve"> 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26"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备注</w:t>
            </w:r>
          </w:p>
        </w:tc>
        <w:tc>
          <w:tcPr>
            <w:tcW w:w="6064" w:type="dxa"/>
            <w:gridSpan w:val="6"/>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宋体"/>
                <w:color w:val="000000"/>
                <w:sz w:val="28"/>
                <w:szCs w:val="28"/>
                <w:lang w:val="zh-CN"/>
              </w:rPr>
            </w:pPr>
            <w:r>
              <w:rPr>
                <w:rFonts w:hint="eastAsia" w:ascii="仿宋" w:hAnsi="仿宋" w:cs="宋体"/>
                <w:color w:val="000000"/>
                <w:sz w:val="28"/>
                <w:szCs w:val="28"/>
                <w:lang w:val="zh-CN"/>
              </w:rPr>
              <w:t>请将参会回执回传或E-mail至会务组，在报名</w:t>
            </w:r>
            <w:r>
              <w:rPr>
                <w:rFonts w:hint="eastAsia" w:ascii="仿宋" w:hAnsi="仿宋" w:cs="宋体"/>
                <w:color w:val="000000"/>
                <w:sz w:val="28"/>
                <w:szCs w:val="28"/>
              </w:rPr>
              <w:t>3</w:t>
            </w:r>
            <w:r>
              <w:rPr>
                <w:rFonts w:hint="eastAsia" w:ascii="仿宋" w:hAnsi="仿宋" w:cs="宋体"/>
                <w:color w:val="000000"/>
                <w:sz w:val="28"/>
                <w:szCs w:val="28"/>
                <w:lang w:val="zh-CN"/>
              </w:rPr>
              <w:t>日内将培训费通过银行或邮局等方式付款，会务组确认到款后即发《参会凭证》，其中将详细注明报到时间、地点、</w:t>
            </w:r>
            <w:r>
              <w:rPr>
                <w:rFonts w:hint="eastAsia" w:ascii="仿宋" w:hAnsi="仿宋" w:cs="宋体"/>
                <w:color w:val="000000"/>
                <w:sz w:val="28"/>
                <w:szCs w:val="28"/>
              </w:rPr>
              <w:t>等</w:t>
            </w:r>
            <w:r>
              <w:rPr>
                <w:rFonts w:hint="eastAsia" w:ascii="仿宋" w:hAnsi="仿宋" w:cs="宋体"/>
                <w:color w:val="000000"/>
                <w:sz w:val="28"/>
                <w:szCs w:val="28"/>
                <w:lang w:val="zh-CN"/>
              </w:rPr>
              <w:t>具体安排事项。</w:t>
            </w:r>
          </w:p>
        </w:tc>
        <w:tc>
          <w:tcPr>
            <w:tcW w:w="2525"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lang w:val="zh-CN"/>
              </w:rPr>
            </w:pPr>
          </w:p>
          <w:p>
            <w:pPr>
              <w:widowControl/>
              <w:spacing w:line="380" w:lineRule="exact"/>
              <w:ind w:firstLine="560" w:firstLineChars="200"/>
              <w:jc w:val="left"/>
              <w:rPr>
                <w:rFonts w:ascii="仿宋" w:hAnsi="仿宋" w:cs="宋体"/>
                <w:color w:val="000000"/>
                <w:sz w:val="28"/>
                <w:szCs w:val="28"/>
                <w:lang w:val="zh-CN"/>
              </w:rPr>
            </w:pPr>
            <w:r>
              <w:rPr>
                <w:rFonts w:hint="eastAsia" w:ascii="仿宋" w:hAnsi="仿宋" w:cs="宋体"/>
                <w:color w:val="000000"/>
                <w:sz w:val="28"/>
                <w:szCs w:val="28"/>
                <w:lang w:val="zh-CN"/>
              </w:rPr>
              <w:t>单位印章</w:t>
            </w:r>
          </w:p>
          <w:p>
            <w:pPr>
              <w:widowControl/>
              <w:spacing w:line="380" w:lineRule="exact"/>
              <w:jc w:val="left"/>
              <w:rPr>
                <w:rFonts w:ascii="仿宋" w:hAnsi="仿宋" w:cs="宋体"/>
                <w:color w:val="000000"/>
                <w:sz w:val="28"/>
                <w:szCs w:val="28"/>
                <w:lang w:val="zh-CN"/>
              </w:rPr>
            </w:pPr>
            <w:r>
              <w:rPr>
                <w:rFonts w:hint="eastAsia" w:ascii="仿宋" w:hAnsi="仿宋" w:cs="宋体"/>
                <w:color w:val="000000"/>
                <w:sz w:val="28"/>
                <w:szCs w:val="28"/>
                <w:lang w:val="zh-CN"/>
              </w:rPr>
              <w:t>二零二</w:t>
            </w:r>
            <w:r>
              <w:rPr>
                <w:rFonts w:hint="eastAsia" w:ascii="仿宋" w:hAnsi="仿宋" w:cs="宋体"/>
                <w:color w:val="000000"/>
                <w:sz w:val="28"/>
                <w:szCs w:val="28"/>
              </w:rPr>
              <w:t>一</w:t>
            </w:r>
            <w:r>
              <w:rPr>
                <w:rFonts w:hint="eastAsia" w:ascii="仿宋" w:hAnsi="仿宋" w:cs="宋体"/>
                <w:color w:val="000000"/>
                <w:sz w:val="28"/>
                <w:szCs w:val="28"/>
                <w:lang w:val="zh-CN"/>
              </w:rPr>
              <w:t>年 月 日</w:t>
            </w:r>
          </w:p>
        </w:tc>
      </w:tr>
    </w:tbl>
    <w:p>
      <w:pPr>
        <w:spacing w:line="320" w:lineRule="exact"/>
        <w:jc w:val="left"/>
        <w:rPr>
          <w:rFonts w:ascii="仿宋" w:hAnsi="仿宋" w:cs="宋体"/>
          <w:kern w:val="0"/>
          <w:sz w:val="28"/>
          <w:szCs w:val="28"/>
          <w:lang w:val="zh-CN"/>
        </w:rPr>
      </w:pPr>
      <w:r>
        <w:rPr>
          <w:rFonts w:hint="eastAsia" w:ascii="仿宋" w:hAnsi="仿宋" w:cs="宋体"/>
          <w:kern w:val="0"/>
          <w:sz w:val="28"/>
          <w:szCs w:val="28"/>
        </w:rPr>
        <w:t>1</w:t>
      </w:r>
      <w:r>
        <w:rPr>
          <w:rFonts w:hint="eastAsia" w:ascii="仿宋" w:hAnsi="仿宋" w:cs="宋体"/>
          <w:kern w:val="0"/>
          <w:sz w:val="28"/>
          <w:szCs w:val="28"/>
          <w:lang w:val="zh-CN"/>
        </w:rPr>
        <w:t>、为保证培训质量,培训班名额有限,额满为止,请确定人员后及早报名；</w:t>
      </w:r>
    </w:p>
    <w:p>
      <w:pPr>
        <w:spacing w:line="320" w:lineRule="exact"/>
        <w:jc w:val="left"/>
        <w:rPr>
          <w:rFonts w:ascii="仿宋" w:hAnsi="仿宋" w:cs="宋体"/>
          <w:kern w:val="0"/>
          <w:sz w:val="28"/>
          <w:szCs w:val="28"/>
          <w:lang w:val="zh-CN"/>
        </w:rPr>
      </w:pPr>
      <w:r>
        <w:rPr>
          <w:rFonts w:hint="eastAsia" w:ascii="仿宋" w:hAnsi="仿宋" w:cs="宋体"/>
          <w:kern w:val="0"/>
          <w:sz w:val="28"/>
          <w:szCs w:val="28"/>
        </w:rPr>
        <w:t>2</w:t>
      </w:r>
      <w:r>
        <w:rPr>
          <w:rFonts w:hint="eastAsia" w:ascii="仿宋" w:hAnsi="仿宋" w:cs="宋体"/>
          <w:kern w:val="0"/>
          <w:sz w:val="28"/>
          <w:szCs w:val="28"/>
          <w:lang w:val="zh-CN"/>
        </w:rPr>
        <w:t>、欢迎参会代表携带相关资料、案例赴会与专家交流学习。</w:t>
      </w:r>
    </w:p>
    <w:p>
      <w:pPr>
        <w:spacing w:line="320" w:lineRule="exact"/>
        <w:jc w:val="left"/>
        <w:rPr>
          <w:rFonts w:ascii="仿宋" w:hAnsi="仿宋" w:cs="宋体"/>
          <w:kern w:val="0"/>
          <w:sz w:val="28"/>
          <w:szCs w:val="28"/>
          <w:lang w:val="zh-CN"/>
        </w:rPr>
      </w:pPr>
      <w:r>
        <w:rPr>
          <w:rFonts w:hint="eastAsia" w:ascii="仿宋" w:hAnsi="仿宋"/>
          <w:sz w:val="28"/>
          <w:szCs w:val="28"/>
        </w:rPr>
        <w:t>3</w:t>
      </w:r>
      <w:r>
        <w:rPr>
          <w:rFonts w:hint="eastAsia" w:ascii="仿宋" w:hAnsi="仿宋" w:cs="宋体"/>
          <w:kern w:val="0"/>
          <w:sz w:val="28"/>
          <w:szCs w:val="28"/>
          <w:lang w:val="zh-CN"/>
        </w:rPr>
        <w:t>、</w:t>
      </w:r>
      <w:r>
        <w:rPr>
          <w:rFonts w:hint="eastAsia" w:ascii="仿宋" w:hAnsi="仿宋"/>
          <w:sz w:val="28"/>
          <w:szCs w:val="28"/>
          <w:lang w:val="zh-CN"/>
        </w:rPr>
        <w:t>本次培训内容及建筑领域相关管理培训均可赴企业提供内训（</w:t>
      </w:r>
      <w:r>
        <w:rPr>
          <w:rFonts w:hint="eastAsia" w:ascii="仿宋" w:hAnsi="仿宋"/>
          <w:sz w:val="28"/>
          <w:szCs w:val="28"/>
        </w:rPr>
        <w:t>40人以上</w:t>
      </w:r>
      <w:r>
        <w:rPr>
          <w:rFonts w:hint="eastAsia" w:ascii="仿宋" w:hAnsi="仿宋"/>
          <w:sz w:val="28"/>
          <w:szCs w:val="28"/>
          <w:lang w:val="zh-CN"/>
        </w:rPr>
        <w:t>）；</w:t>
      </w:r>
    </w:p>
    <w:p>
      <w:pPr>
        <w:widowControl/>
        <w:spacing w:line="320" w:lineRule="exact"/>
        <w:jc w:val="left"/>
        <w:rPr>
          <w:rFonts w:hint="eastAsia" w:ascii="仿宋" w:hAnsi="仿宋" w:cs="宋体"/>
          <w:kern w:val="0"/>
          <w:sz w:val="28"/>
          <w:szCs w:val="28"/>
          <w:lang w:val="zh-CN"/>
        </w:rPr>
      </w:pPr>
      <w:r>
        <w:rPr>
          <w:rFonts w:hint="eastAsia" w:ascii="仿宋" w:hAnsi="仿宋" w:cs="宋体"/>
          <w:kern w:val="0"/>
          <w:sz w:val="28"/>
          <w:szCs w:val="28"/>
        </w:rPr>
        <w:t>4</w:t>
      </w:r>
      <w:r>
        <w:rPr>
          <w:rFonts w:hint="eastAsia" w:ascii="仿宋" w:hAnsi="仿宋" w:cs="宋体"/>
          <w:kern w:val="0"/>
          <w:sz w:val="28"/>
          <w:szCs w:val="28"/>
          <w:lang w:val="zh-CN"/>
        </w:rPr>
        <w:t xml:space="preserve">、报名负责人：聂红军 主任18211071700（微信）   </w:t>
      </w:r>
    </w:p>
    <w:p>
      <w:pPr>
        <w:widowControl/>
        <w:spacing w:line="320" w:lineRule="exact"/>
        <w:ind w:firstLine="560" w:firstLineChars="200"/>
        <w:jc w:val="left"/>
        <w:rPr>
          <w:rFonts w:hint="eastAsia" w:ascii="仿宋" w:hAnsi="仿宋" w:cs="宋体"/>
          <w:kern w:val="0"/>
          <w:sz w:val="28"/>
          <w:szCs w:val="28"/>
          <w:lang w:val="zh-CN"/>
        </w:rPr>
      </w:pPr>
      <w:r>
        <w:rPr>
          <w:rFonts w:hint="eastAsia" w:ascii="仿宋" w:hAnsi="仿宋" w:cs="宋体"/>
          <w:kern w:val="0"/>
          <w:sz w:val="28"/>
          <w:szCs w:val="28"/>
          <w:lang w:val="zh-CN"/>
        </w:rPr>
        <w:t xml:space="preserve">电  话：010-87697580      邮    箱：zqgphwz@126.com  </w:t>
      </w:r>
    </w:p>
    <w:p>
      <w:pPr>
        <w:widowControl/>
        <w:spacing w:line="320" w:lineRule="exact"/>
        <w:ind w:firstLine="560" w:firstLineChars="200"/>
        <w:jc w:val="left"/>
        <w:rPr>
          <w:rFonts w:hint="eastAsia" w:ascii="仿宋" w:hAnsi="仿宋" w:cs="宋体"/>
          <w:kern w:val="0"/>
          <w:sz w:val="28"/>
          <w:szCs w:val="28"/>
          <w:lang w:val="zh-CN"/>
        </w:rPr>
      </w:pPr>
      <w:r>
        <w:rPr>
          <w:rFonts w:hint="eastAsia" w:ascii="仿宋" w:hAnsi="仿宋" w:cs="宋体"/>
          <w:kern w:val="0"/>
          <w:sz w:val="28"/>
          <w:szCs w:val="28"/>
          <w:lang w:val="zh-CN"/>
        </w:rPr>
        <w:t xml:space="preserve">qq咨询：3177524020       </w:t>
      </w:r>
      <w:bookmarkStart w:id="0" w:name="_GoBack"/>
      <w:bookmarkEnd w:id="0"/>
      <w:r>
        <w:rPr>
          <w:rFonts w:hint="eastAsia" w:ascii="仿宋" w:hAnsi="仿宋" w:cs="宋体"/>
          <w:kern w:val="0"/>
          <w:sz w:val="28"/>
          <w:szCs w:val="28"/>
          <w:lang w:val="zh-CN"/>
        </w:rPr>
        <w:t>网址查询：http://www.zqgpchina.cn/</w:t>
      </w:r>
    </w:p>
    <w:sectPr>
      <w:footerReference r:id="rId3" w:type="default"/>
      <w:pgSz w:w="11906" w:h="16838"/>
      <w:pgMar w:top="1077" w:right="849" w:bottom="850" w:left="851" w:header="567" w:footer="340" w:gutter="0"/>
      <w:cols w:space="0" w:num="1"/>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15"/>
        <w:szCs w:val="15"/>
      </w:rPr>
    </w:pPr>
    <w:r>
      <w:rPr>
        <w:sz w:val="15"/>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50290" cy="1809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50290" cy="180975"/>
                      </a:xfrm>
                      <a:prstGeom prst="rect">
                        <a:avLst/>
                      </a:prstGeom>
                      <a:noFill/>
                      <a:ln w="6350">
                        <a:noFill/>
                      </a:ln>
                    </wps:spPr>
                    <wps:txbx>
                      <w:txbxContent>
                        <w:p>
                          <w:pPr>
                            <w:rPr>
                              <w:sz w:val="22"/>
                              <w:szCs w:val="20"/>
                            </w:rPr>
                          </w:pPr>
                          <w:r>
                            <w:rPr>
                              <w:rFonts w:hint="eastAsia"/>
                              <w:sz w:val="22"/>
                              <w:szCs w:val="20"/>
                            </w:rPr>
                            <w:t xml:space="preserve">第 </w:t>
                          </w:r>
                          <w:r>
                            <w:rPr>
                              <w:rFonts w:hint="eastAsia"/>
                              <w:sz w:val="22"/>
                              <w:szCs w:val="20"/>
                            </w:rPr>
                            <w:fldChar w:fldCharType="begin"/>
                          </w:r>
                          <w:r>
                            <w:rPr>
                              <w:rFonts w:hint="eastAsia"/>
                              <w:sz w:val="22"/>
                              <w:szCs w:val="20"/>
                            </w:rPr>
                            <w:instrText xml:space="preserve"> PAGE  \* MERGEFORMAT </w:instrText>
                          </w:r>
                          <w:r>
                            <w:rPr>
                              <w:rFonts w:hint="eastAsia"/>
                              <w:sz w:val="22"/>
                              <w:szCs w:val="20"/>
                            </w:rPr>
                            <w:fldChar w:fldCharType="separate"/>
                          </w:r>
                          <w:r>
                            <w:rPr>
                              <w:sz w:val="22"/>
                              <w:szCs w:val="20"/>
                            </w:rPr>
                            <w:t>5</w:t>
                          </w:r>
                          <w:r>
                            <w:rPr>
                              <w:rFonts w:hint="eastAsia"/>
                              <w:sz w:val="22"/>
                              <w:szCs w:val="20"/>
                            </w:rPr>
                            <w:fldChar w:fldCharType="end"/>
                          </w:r>
                          <w:r>
                            <w:rPr>
                              <w:rFonts w:hint="eastAsia"/>
                              <w:sz w:val="22"/>
                              <w:szCs w:val="20"/>
                            </w:rPr>
                            <w:t xml:space="preserve"> 页 共 </w:t>
                          </w:r>
                          <w:r>
                            <w:fldChar w:fldCharType="begin"/>
                          </w:r>
                          <w:r>
                            <w:instrText xml:space="preserve"> NUMPAGES  \* MERGEFORMAT </w:instrText>
                          </w:r>
                          <w:r>
                            <w:fldChar w:fldCharType="separate"/>
                          </w:r>
                          <w:r>
                            <w:rPr>
                              <w:sz w:val="22"/>
                              <w:szCs w:val="20"/>
                            </w:rPr>
                            <w:t>5</w:t>
                          </w:r>
                          <w:r>
                            <w:rPr>
                              <w:sz w:val="22"/>
                              <w:szCs w:val="20"/>
                            </w:rPr>
                            <w:fldChar w:fldCharType="end"/>
                          </w:r>
                          <w:r>
                            <w:rPr>
                              <w:rFonts w:hint="eastAsia"/>
                              <w:sz w:val="22"/>
                              <w:szCs w:val="2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25pt;width:82.7pt;mso-position-horizontal:center;mso-position-horizontal-relative:margin;mso-wrap-style:none;z-index:251659264;mso-width-relative:page;mso-height-relative:page;" filled="f" stroked="f" coordsize="21600,21600" o:gfxdata="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UAmmdMAAAAEAQAADwAAAAAAAAABACAA&#10;AAAiAAAAZHJzL2Rvd25yZXYueG1sUEsBAhQAFAAAAAgAh07iQFj+aykSAgAABgQAAA4AAAAAAAAA&#10;AQAgAAAAIgEAAGRycy9lMm9Eb2MueG1sUEsFBgAAAAAGAAYAWQEAAKYFAAAAAA==&#10;">
              <v:fill on="f" focussize="0,0"/>
              <v:stroke on="f" weight="0.5pt"/>
              <v:imagedata o:title=""/>
              <o:lock v:ext="edit" aspectratio="f"/>
              <v:textbox inset="0mm,0mm,0mm,0mm" style="mso-fit-shape-to-text:t;">
                <w:txbxContent>
                  <w:p>
                    <w:pPr>
                      <w:rPr>
                        <w:sz w:val="22"/>
                        <w:szCs w:val="20"/>
                      </w:rPr>
                    </w:pPr>
                    <w:r>
                      <w:rPr>
                        <w:rFonts w:hint="eastAsia"/>
                        <w:sz w:val="22"/>
                        <w:szCs w:val="20"/>
                      </w:rPr>
                      <w:t xml:space="preserve">第 </w:t>
                    </w:r>
                    <w:r>
                      <w:rPr>
                        <w:rFonts w:hint="eastAsia"/>
                        <w:sz w:val="22"/>
                        <w:szCs w:val="20"/>
                      </w:rPr>
                      <w:fldChar w:fldCharType="begin"/>
                    </w:r>
                    <w:r>
                      <w:rPr>
                        <w:rFonts w:hint="eastAsia"/>
                        <w:sz w:val="22"/>
                        <w:szCs w:val="20"/>
                      </w:rPr>
                      <w:instrText xml:space="preserve"> PAGE  \* MERGEFORMAT </w:instrText>
                    </w:r>
                    <w:r>
                      <w:rPr>
                        <w:rFonts w:hint="eastAsia"/>
                        <w:sz w:val="22"/>
                        <w:szCs w:val="20"/>
                      </w:rPr>
                      <w:fldChar w:fldCharType="separate"/>
                    </w:r>
                    <w:r>
                      <w:rPr>
                        <w:sz w:val="22"/>
                        <w:szCs w:val="20"/>
                      </w:rPr>
                      <w:t>5</w:t>
                    </w:r>
                    <w:r>
                      <w:rPr>
                        <w:rFonts w:hint="eastAsia"/>
                        <w:sz w:val="22"/>
                        <w:szCs w:val="20"/>
                      </w:rPr>
                      <w:fldChar w:fldCharType="end"/>
                    </w:r>
                    <w:r>
                      <w:rPr>
                        <w:rFonts w:hint="eastAsia"/>
                        <w:sz w:val="22"/>
                        <w:szCs w:val="20"/>
                      </w:rPr>
                      <w:t xml:space="preserve"> 页 共 </w:t>
                    </w:r>
                    <w:r>
                      <w:fldChar w:fldCharType="begin"/>
                    </w:r>
                    <w:r>
                      <w:instrText xml:space="preserve"> NUMPAGES  \* MERGEFORMAT </w:instrText>
                    </w:r>
                    <w:r>
                      <w:fldChar w:fldCharType="separate"/>
                    </w:r>
                    <w:r>
                      <w:rPr>
                        <w:sz w:val="22"/>
                        <w:szCs w:val="20"/>
                      </w:rPr>
                      <w:t>5</w:t>
                    </w:r>
                    <w:r>
                      <w:rPr>
                        <w:sz w:val="22"/>
                        <w:szCs w:val="20"/>
                      </w:rPr>
                      <w:fldChar w:fldCharType="end"/>
                    </w:r>
                    <w:r>
                      <w:rPr>
                        <w:rFonts w:hint="eastAsia"/>
                        <w:sz w:val="22"/>
                        <w:szCs w:val="20"/>
                      </w:rPr>
                      <w:t xml:space="preserve"> 页</w:t>
                    </w:r>
                  </w:p>
                </w:txbxContent>
              </v:textbox>
            </v:shape>
          </w:pict>
        </mc:Fallback>
      </mc:AlternateContent>
    </w:r>
  </w:p>
  <w:p>
    <w:pPr>
      <w:pStyle w:val="5"/>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21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16"/>
    <w:rsid w:val="00104116"/>
    <w:rsid w:val="0016255A"/>
    <w:rsid w:val="001F6A6F"/>
    <w:rsid w:val="002E0120"/>
    <w:rsid w:val="002F1A44"/>
    <w:rsid w:val="00307D60"/>
    <w:rsid w:val="00456B37"/>
    <w:rsid w:val="00482A73"/>
    <w:rsid w:val="00487911"/>
    <w:rsid w:val="004E5ADF"/>
    <w:rsid w:val="005A006F"/>
    <w:rsid w:val="006718C1"/>
    <w:rsid w:val="0067346A"/>
    <w:rsid w:val="007A2B02"/>
    <w:rsid w:val="00803581"/>
    <w:rsid w:val="00823877"/>
    <w:rsid w:val="0084210F"/>
    <w:rsid w:val="00925BF7"/>
    <w:rsid w:val="00942684"/>
    <w:rsid w:val="00B20C27"/>
    <w:rsid w:val="00BB302A"/>
    <w:rsid w:val="00C743FE"/>
    <w:rsid w:val="00DA63F4"/>
    <w:rsid w:val="00F52D29"/>
    <w:rsid w:val="00F735CC"/>
    <w:rsid w:val="00F97467"/>
    <w:rsid w:val="0146180C"/>
    <w:rsid w:val="015B6FB4"/>
    <w:rsid w:val="02BD7E0E"/>
    <w:rsid w:val="05625FDD"/>
    <w:rsid w:val="06280608"/>
    <w:rsid w:val="072A037D"/>
    <w:rsid w:val="08CD2296"/>
    <w:rsid w:val="08F26D0A"/>
    <w:rsid w:val="09081396"/>
    <w:rsid w:val="099F77E2"/>
    <w:rsid w:val="09B859B5"/>
    <w:rsid w:val="09F91BAB"/>
    <w:rsid w:val="0A3D43A5"/>
    <w:rsid w:val="0A456EFE"/>
    <w:rsid w:val="0B872906"/>
    <w:rsid w:val="0BB87C7F"/>
    <w:rsid w:val="0C1A0844"/>
    <w:rsid w:val="0D083ABC"/>
    <w:rsid w:val="0D4228C7"/>
    <w:rsid w:val="0D7C3DC2"/>
    <w:rsid w:val="0D9865FC"/>
    <w:rsid w:val="0E6B7334"/>
    <w:rsid w:val="0FF90BF3"/>
    <w:rsid w:val="11A84636"/>
    <w:rsid w:val="12DA00C2"/>
    <w:rsid w:val="143164B1"/>
    <w:rsid w:val="152E0316"/>
    <w:rsid w:val="15BF0E17"/>
    <w:rsid w:val="16CC5F90"/>
    <w:rsid w:val="16D10BD4"/>
    <w:rsid w:val="188450D8"/>
    <w:rsid w:val="192E5F9E"/>
    <w:rsid w:val="1969038D"/>
    <w:rsid w:val="1AA82C03"/>
    <w:rsid w:val="1AC67D54"/>
    <w:rsid w:val="1BFC72B7"/>
    <w:rsid w:val="1C9512F2"/>
    <w:rsid w:val="1CAB4025"/>
    <w:rsid w:val="1D8B27BD"/>
    <w:rsid w:val="21122AA5"/>
    <w:rsid w:val="213D0C0E"/>
    <w:rsid w:val="21FB58E1"/>
    <w:rsid w:val="24D2203D"/>
    <w:rsid w:val="2879565F"/>
    <w:rsid w:val="299C1DE3"/>
    <w:rsid w:val="2CE10526"/>
    <w:rsid w:val="2E47155F"/>
    <w:rsid w:val="2E6C61D6"/>
    <w:rsid w:val="2EF0593A"/>
    <w:rsid w:val="2F104C27"/>
    <w:rsid w:val="30500B1B"/>
    <w:rsid w:val="33CE5FC6"/>
    <w:rsid w:val="35380332"/>
    <w:rsid w:val="36502B15"/>
    <w:rsid w:val="37D4471E"/>
    <w:rsid w:val="38C45E61"/>
    <w:rsid w:val="39413D39"/>
    <w:rsid w:val="3983669A"/>
    <w:rsid w:val="3AD7752D"/>
    <w:rsid w:val="3AF93D9D"/>
    <w:rsid w:val="3B2767A2"/>
    <w:rsid w:val="3B8A5345"/>
    <w:rsid w:val="3C934241"/>
    <w:rsid w:val="3FA63751"/>
    <w:rsid w:val="40E32157"/>
    <w:rsid w:val="41853E5F"/>
    <w:rsid w:val="439C3174"/>
    <w:rsid w:val="43C5315B"/>
    <w:rsid w:val="4575522F"/>
    <w:rsid w:val="45FE3E19"/>
    <w:rsid w:val="465B6280"/>
    <w:rsid w:val="488B1E6F"/>
    <w:rsid w:val="48DC3E4B"/>
    <w:rsid w:val="4A137AC1"/>
    <w:rsid w:val="4B996CE5"/>
    <w:rsid w:val="4C7735DF"/>
    <w:rsid w:val="4CF611AA"/>
    <w:rsid w:val="4D6F0292"/>
    <w:rsid w:val="4DC4550D"/>
    <w:rsid w:val="4DC517A7"/>
    <w:rsid w:val="4E335488"/>
    <w:rsid w:val="4FDF74A1"/>
    <w:rsid w:val="51A079E4"/>
    <w:rsid w:val="51E640CB"/>
    <w:rsid w:val="51E83378"/>
    <w:rsid w:val="53020004"/>
    <w:rsid w:val="53AD7931"/>
    <w:rsid w:val="550C6C72"/>
    <w:rsid w:val="565224C8"/>
    <w:rsid w:val="569F3A0E"/>
    <w:rsid w:val="56A908E0"/>
    <w:rsid w:val="570C1C25"/>
    <w:rsid w:val="57923EA3"/>
    <w:rsid w:val="591F50BD"/>
    <w:rsid w:val="59301FAD"/>
    <w:rsid w:val="595D44DE"/>
    <w:rsid w:val="5AF2451D"/>
    <w:rsid w:val="5D697C40"/>
    <w:rsid w:val="5F4C73B7"/>
    <w:rsid w:val="5FEB39BB"/>
    <w:rsid w:val="5FF90D6B"/>
    <w:rsid w:val="612629E6"/>
    <w:rsid w:val="61C92EBA"/>
    <w:rsid w:val="6215091F"/>
    <w:rsid w:val="622206F9"/>
    <w:rsid w:val="62F9311B"/>
    <w:rsid w:val="636E3700"/>
    <w:rsid w:val="6409668F"/>
    <w:rsid w:val="662C2D59"/>
    <w:rsid w:val="66B13B90"/>
    <w:rsid w:val="66EC0607"/>
    <w:rsid w:val="672B59EC"/>
    <w:rsid w:val="67797F96"/>
    <w:rsid w:val="677F1C0D"/>
    <w:rsid w:val="68E93F5E"/>
    <w:rsid w:val="690A751F"/>
    <w:rsid w:val="69F3103A"/>
    <w:rsid w:val="6CC50FE7"/>
    <w:rsid w:val="6CE231BD"/>
    <w:rsid w:val="70EE338F"/>
    <w:rsid w:val="71DD178E"/>
    <w:rsid w:val="72347373"/>
    <w:rsid w:val="7670078A"/>
    <w:rsid w:val="76AF35BA"/>
    <w:rsid w:val="787E2D2B"/>
    <w:rsid w:val="7A362513"/>
    <w:rsid w:val="7AB72B1C"/>
    <w:rsid w:val="7C161AFA"/>
    <w:rsid w:val="7E2B0087"/>
    <w:rsid w:val="7E2B4D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rPr>
  </w:style>
  <w:style w:type="paragraph" w:styleId="4">
    <w:name w:val="heading 3"/>
    <w:basedOn w:val="1"/>
    <w:next w:val="1"/>
    <w:unhideWhenUsed/>
    <w:qFormat/>
    <w:uiPriority w:val="9"/>
    <w:pPr>
      <w:keepNext/>
      <w:keepLines/>
      <w:spacing w:line="413" w:lineRule="auto"/>
      <w:outlineLvl w:val="2"/>
    </w:pPr>
    <w:rPr>
      <w:b/>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rFonts w:ascii="Times New Roman" w:hAnsi="Times New Roman" w:eastAsia="宋体" w:cs="Times New Roman"/>
      <w:b/>
      <w:bCs/>
    </w:rPr>
  </w:style>
  <w:style w:type="character" w:customStyle="1" w:styleId="10">
    <w:name w:val="页眉 字符"/>
    <w:basedOn w:val="8"/>
    <w:link w:val="6"/>
    <w:qFormat/>
    <w:uiPriority w:val="99"/>
    <w:rPr>
      <w:rFonts w:ascii="Calibri" w:hAnsi="Calibri" w:eastAsia="仿宋" w:cs="Times New Roman"/>
      <w:sz w:val="18"/>
      <w:szCs w:val="18"/>
    </w:rPr>
  </w:style>
  <w:style w:type="character" w:customStyle="1" w:styleId="11">
    <w:name w:val="页脚 字符"/>
    <w:basedOn w:val="8"/>
    <w:link w:val="5"/>
    <w:qFormat/>
    <w:uiPriority w:val="99"/>
    <w:rPr>
      <w:rFonts w:ascii="Calibri" w:hAnsi="Calibri" w:eastAsia="仿宋" w:cs="Times New Roman"/>
      <w:sz w:val="18"/>
      <w:szCs w:val="18"/>
    </w:rPr>
  </w:style>
  <w:style w:type="character" w:customStyle="1" w:styleId="12">
    <w:name w:val="样式1"/>
    <w:basedOn w:val="8"/>
    <w:qFormat/>
    <w:uiPriority w:val="0"/>
    <w:rPr>
      <w:rFonts w:ascii="等线" w:hAnsi="等线" w:eastAsia="宋体"/>
      <w:b/>
      <w:sz w:val="7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647</Words>
  <Characters>3689</Characters>
  <Lines>30</Lines>
  <Paragraphs>8</Paragraphs>
  <TotalTime>1</TotalTime>
  <ScaleCrop>false</ScaleCrop>
  <LinksUpToDate>false</LinksUpToDate>
  <CharactersWithSpaces>4328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2021-06-03T04:24:00Z</dcterms:created>
  <dc:creator>田勇 田勇</dc:creator>
  <cp:lastModifiedBy>Administrator</cp:lastModifiedBy>
  <dcterms:modified xsi:type="dcterms:W3CDTF">2021-08-20T07:27:35Z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D6DE864ACD6D4685BBAC6A1D4530D641</vt:lpwstr>
  </property>
</Properties>
</file>