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48"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2" w:hRule="atLeast"/>
          <w:jc w:val="center"/>
        </w:trPr>
        <w:tc>
          <w:tcPr>
            <w:tcW w:w="9248" w:type="dxa"/>
            <w:vAlign w:val="center"/>
          </w:tcPr>
          <w:p>
            <w:pPr>
              <w:autoSpaceDE/>
              <w:autoSpaceDN/>
              <w:adjustRightInd/>
              <w:jc w:val="distribute"/>
              <w:rPr>
                <w:rFonts w:hint="default" w:cs="宋体"/>
                <w:color w:val="FF0000"/>
                <w:sz w:val="70"/>
                <w:szCs w:val="70"/>
                <w:lang w:val="zh-CN" w:bidi="zh-CN"/>
              </w:rPr>
            </w:pPr>
            <w:r>
              <w:rPr>
                <w:rFonts w:cs="宋体"/>
                <w:color w:val="FF0000"/>
                <w:sz w:val="70"/>
                <w:szCs w:val="70"/>
                <w:lang w:val="zh-CN" w:bidi="zh-CN"/>
              </w:rPr>
              <w:t>中国投资协会</w:t>
            </w:r>
          </w:p>
          <w:p>
            <w:pPr>
              <w:autoSpaceDE/>
              <w:autoSpaceDN/>
              <w:adjustRightInd/>
              <w:jc w:val="distribute"/>
              <w:rPr>
                <w:rFonts w:hint="default" w:ascii="楷体" w:hAnsi="楷体" w:eastAsia="楷体"/>
                <w:color w:val="FF0000"/>
                <w:sz w:val="66"/>
                <w:szCs w:val="66"/>
              </w:rPr>
            </w:pPr>
            <w:r>
              <w:rPr>
                <w:rFonts w:cs="宋体"/>
                <w:color w:val="FF0000"/>
                <w:sz w:val="70"/>
                <w:szCs w:val="70"/>
                <w:lang w:val="zh-CN" w:bidi="zh-CN"/>
              </w:rPr>
              <w:t>项目投融资专业委员会文件</w:t>
            </w:r>
          </w:p>
          <w:p>
            <w:pPr>
              <w:autoSpaceDE/>
              <w:autoSpaceDN/>
              <w:jc w:val="center"/>
              <w:rPr>
                <w:rFonts w:hint="default" w:ascii="仿宋" w:hAnsi="仿宋" w:eastAsia="仿宋"/>
                <w:color w:val="000000" w:themeColor="text1"/>
                <w:sz w:val="32"/>
                <w:szCs w:val="32"/>
                <w14:textFill>
                  <w14:solidFill>
                    <w14:schemeClr w14:val="tx1"/>
                  </w14:solidFill>
                </w14:textFill>
              </w:rPr>
            </w:pPr>
            <w:r>
              <w:rPr>
                <w:rFonts w:ascii="仿宋" w:hAnsi="仿宋" w:eastAsia="仿宋" w:cs="宋体"/>
                <w:sz w:val="32"/>
                <w:szCs w:val="32"/>
                <w:lang w:bidi="zh-CN"/>
              </w:rPr>
              <w:t>投融培</w:t>
            </w:r>
            <w:r>
              <w:rPr>
                <w:rFonts w:ascii="仿宋" w:hAnsi="仿宋" w:eastAsia="仿宋" w:cs="宋体"/>
                <w:sz w:val="32"/>
                <w:szCs w:val="32"/>
                <w:lang w:val="zh-CN" w:bidi="zh-CN"/>
              </w:rPr>
              <w:t>〔20</w:t>
            </w:r>
            <w:r>
              <w:rPr>
                <w:rFonts w:ascii="仿宋" w:hAnsi="仿宋" w:eastAsia="仿宋" w:cs="宋体"/>
                <w:sz w:val="32"/>
                <w:szCs w:val="32"/>
                <w:lang w:bidi="zh-CN"/>
              </w:rPr>
              <w:t>21</w:t>
            </w:r>
            <w:r>
              <w:rPr>
                <w:rFonts w:ascii="仿宋" w:hAnsi="仿宋" w:eastAsia="仿宋" w:cs="宋体"/>
                <w:sz w:val="32"/>
                <w:szCs w:val="32"/>
                <w:lang w:val="zh-CN" w:bidi="zh-CN"/>
              </w:rPr>
              <w:t>〕</w:t>
            </w:r>
            <w:r>
              <w:rPr>
                <w:rFonts w:ascii="仿宋" w:hAnsi="仿宋" w:eastAsia="仿宋" w:cs="宋体"/>
                <w:sz w:val="32"/>
                <w:szCs w:val="32"/>
                <w:lang w:bidi="zh-CN"/>
              </w:rPr>
              <w:t>7</w:t>
            </w:r>
            <w:r>
              <w:rPr>
                <w:rFonts w:ascii="仿宋" w:hAnsi="仿宋" w:eastAsia="仿宋" w:cs="宋体"/>
                <w:sz w:val="32"/>
                <w:szCs w:val="32"/>
                <w:lang w:val="zh-CN" w:bidi="zh-CN"/>
              </w:rPr>
              <w:t>号</w:t>
            </w:r>
          </w:p>
        </w:tc>
      </w:tr>
    </w:tbl>
    <w:p>
      <w:pPr>
        <w:spacing w:line="400" w:lineRule="exact"/>
        <w:ind w:firstLine="361" w:firstLineChars="100"/>
        <w:jc w:val="center"/>
        <w:rPr>
          <w:rFonts w:hint="default" w:cs="宋体"/>
          <w:b/>
          <w:bCs/>
          <w:kern w:val="2"/>
          <w:sz w:val="36"/>
          <w:szCs w:val="36"/>
          <w:lang w:val="zh-CN"/>
        </w:rPr>
      </w:pPr>
    </w:p>
    <w:p>
      <w:pPr>
        <w:spacing w:line="400" w:lineRule="exact"/>
        <w:jc w:val="center"/>
        <w:rPr>
          <w:rFonts w:hint="default" w:cs="宋体"/>
          <w:b/>
          <w:bCs/>
          <w:kern w:val="2"/>
          <w:sz w:val="36"/>
          <w:szCs w:val="36"/>
          <w:lang w:val="zh-CN"/>
        </w:rPr>
      </w:pPr>
      <w:r>
        <w:rPr>
          <w:rFonts w:cs="宋体"/>
          <w:b/>
          <w:bCs/>
          <w:kern w:val="2"/>
          <w:sz w:val="36"/>
          <w:szCs w:val="36"/>
          <w:lang w:val="zh-CN"/>
        </w:rPr>
        <w:t>关于举办国企混改方案设计暨战略规划 现代企业制度</w:t>
      </w:r>
    </w:p>
    <w:p>
      <w:pPr>
        <w:spacing w:line="400" w:lineRule="exact"/>
        <w:jc w:val="center"/>
        <w:rPr>
          <w:rFonts w:hint="default" w:ascii="华文中宋" w:hAnsi="华文中宋" w:eastAsia="华文中宋" w:cs="仿宋"/>
          <w:b/>
          <w:kern w:val="2"/>
          <w:sz w:val="28"/>
          <w:szCs w:val="28"/>
        </w:rPr>
      </w:pPr>
      <w:r>
        <w:rPr>
          <w:rFonts w:cs="宋体"/>
          <w:b/>
          <w:bCs/>
          <w:kern w:val="2"/>
          <w:sz w:val="36"/>
          <w:szCs w:val="36"/>
          <w:lang w:val="zh-CN"/>
        </w:rPr>
        <w:t>建设 员工持股</w:t>
      </w:r>
      <w:r>
        <w:rPr>
          <w:rFonts w:hint="eastAsia" w:cs="宋体"/>
          <w:b/>
          <w:bCs/>
          <w:kern w:val="2"/>
          <w:sz w:val="36"/>
          <w:szCs w:val="36"/>
          <w:lang w:val="en-US" w:eastAsia="zh-CN"/>
        </w:rPr>
        <w:t xml:space="preserve"> </w:t>
      </w:r>
      <w:r>
        <w:rPr>
          <w:rFonts w:cs="宋体"/>
          <w:b/>
          <w:bCs/>
          <w:kern w:val="2"/>
          <w:sz w:val="36"/>
          <w:szCs w:val="36"/>
          <w:lang w:val="zh-CN"/>
        </w:rPr>
        <w:t>激励政策及资本运营实务培训班的通知</w:t>
      </w:r>
    </w:p>
    <w:p>
      <w:pPr>
        <w:spacing w:line="320" w:lineRule="exact"/>
        <w:rPr>
          <w:rFonts w:hint="default" w:ascii="仿宋" w:hAnsi="仿宋" w:eastAsia="仿宋" w:cs="仿宋"/>
          <w:b/>
          <w:kern w:val="2"/>
          <w:sz w:val="32"/>
          <w:szCs w:val="32"/>
        </w:rPr>
      </w:pPr>
    </w:p>
    <w:p>
      <w:pPr>
        <w:spacing w:line="420" w:lineRule="exact"/>
        <w:rPr>
          <w:rFonts w:hint="default" w:ascii="黑体" w:hAnsi="黑体" w:eastAsia="黑体" w:cs="黑体"/>
          <w:bCs/>
          <w:color w:val="000000"/>
          <w:sz w:val="32"/>
          <w:szCs w:val="32"/>
        </w:rPr>
      </w:pPr>
      <w:r>
        <w:rPr>
          <w:rFonts w:ascii="仿宋" w:hAnsi="仿宋" w:eastAsia="仿宋" w:cs="仿宋"/>
          <w:bCs/>
          <w:kern w:val="2"/>
          <w:sz w:val="32"/>
          <w:szCs w:val="32"/>
        </w:rPr>
        <w:t>各有关单位:</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务院《改革国有资本授权经营体制方案》（国发〔2019〕9号）提出“加快推进国有资本授权经营体制改革，进一步完善国有资本管理体制，推动国有经济布局结构调整，打造充满活力的现代国有企业”的目标任务；中央深改委第十四次会议审议通过《国企改革三年行动方案（2020-2022年）》</w:t>
      </w:r>
      <w:r>
        <w:rPr>
          <w:rFonts w:ascii="仿宋" w:hAnsi="仿宋" w:eastAsia="仿宋" w:cs="仿宋"/>
          <w:bCs/>
          <w:kern w:val="2"/>
          <w:sz w:val="32"/>
          <w:szCs w:val="32"/>
        </w:rPr>
        <w:t>,</w:t>
      </w:r>
      <w:r>
        <w:rPr>
          <w:rFonts w:hint="default" w:ascii="仿宋" w:hAnsi="仿宋" w:eastAsia="仿宋" w:cs="仿宋"/>
          <w:bCs/>
          <w:kern w:val="2"/>
          <w:sz w:val="32"/>
          <w:szCs w:val="32"/>
        </w:rPr>
        <w:t>要求“积极稳妥、分层分类深化混合所有制改革，推动混合所有制企业探索基于混改的企业制度重构，深度转化经营机制，积极推动深度发挥非国有股东的积极作用”；《关于改革国有企业工资决定机制的意见》（国发〔2018〕16号）《国务院国资委授权放权清单（2019年版）》等文件出台，推动了国企混改试点落地实施。</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国企实施混改、员工持股、长效激励及资本运营是政策性和专业性强、涉及面广、利益关系复杂、操作难度大的系统工程。为了帮助各单位掌握相关政策要点，推进国企改革落地实施，提高国企可持续发展能力，中国投资协会项目投融资专业委员会会同北京中科善若教育咨询有限公司举办国企混改方案设计暨战略规划</w:t>
      </w:r>
      <w:r>
        <w:rPr>
          <w:rFonts w:ascii="仿宋" w:hAnsi="仿宋" w:eastAsia="仿宋" w:cs="仿宋"/>
          <w:bCs/>
          <w:kern w:val="2"/>
          <w:sz w:val="32"/>
          <w:szCs w:val="32"/>
        </w:rPr>
        <w:t>、</w:t>
      </w:r>
      <w:r>
        <w:rPr>
          <w:rFonts w:hint="default" w:ascii="仿宋" w:hAnsi="仿宋" w:eastAsia="仿宋" w:cs="仿宋"/>
          <w:bCs/>
          <w:kern w:val="2"/>
          <w:sz w:val="32"/>
          <w:szCs w:val="32"/>
        </w:rPr>
        <w:t>现代企业制度建设</w:t>
      </w:r>
      <w:r>
        <w:rPr>
          <w:rFonts w:ascii="仿宋" w:hAnsi="仿宋" w:eastAsia="仿宋" w:cs="仿宋"/>
          <w:bCs/>
          <w:kern w:val="2"/>
          <w:sz w:val="32"/>
          <w:szCs w:val="32"/>
        </w:rPr>
        <w:t>、</w:t>
      </w:r>
      <w:r>
        <w:rPr>
          <w:rFonts w:hint="default" w:ascii="仿宋" w:hAnsi="仿宋" w:eastAsia="仿宋" w:cs="仿宋"/>
          <w:bCs/>
          <w:kern w:val="2"/>
          <w:sz w:val="32"/>
          <w:szCs w:val="32"/>
        </w:rPr>
        <w:t>员工持股</w:t>
      </w:r>
      <w:r>
        <w:rPr>
          <w:rFonts w:ascii="仿宋" w:hAnsi="仿宋" w:eastAsia="仿宋" w:cs="仿宋"/>
          <w:bCs/>
          <w:kern w:val="2"/>
          <w:sz w:val="32"/>
          <w:szCs w:val="32"/>
        </w:rPr>
        <w:t>、</w:t>
      </w:r>
      <w:r>
        <w:rPr>
          <w:rFonts w:hint="default" w:ascii="仿宋" w:hAnsi="仿宋" w:eastAsia="仿宋" w:cs="仿宋"/>
          <w:bCs/>
          <w:kern w:val="2"/>
          <w:sz w:val="32"/>
          <w:szCs w:val="32"/>
        </w:rPr>
        <w:t>激励政策及资本运营实务培训班</w:t>
      </w:r>
      <w:r>
        <w:rPr>
          <w:rFonts w:ascii="仿宋" w:hAnsi="仿宋" w:eastAsia="仿宋" w:cs="仿宋"/>
          <w:bCs/>
          <w:kern w:val="2"/>
          <w:sz w:val="32"/>
          <w:szCs w:val="32"/>
        </w:rPr>
        <w:t>。</w:t>
      </w:r>
      <w:r>
        <w:rPr>
          <w:rFonts w:hint="default" w:ascii="仿宋" w:hAnsi="仿宋" w:eastAsia="仿宋" w:cs="仿宋"/>
          <w:bCs/>
          <w:kern w:val="2"/>
          <w:sz w:val="32"/>
          <w:szCs w:val="32"/>
        </w:rPr>
        <w:t>现将具体事项通知如下：</w:t>
      </w:r>
    </w:p>
    <w:p>
      <w:pPr>
        <w:autoSpaceDE/>
        <w:autoSpaceDN/>
        <w:adjustRightInd/>
        <w:spacing w:line="420" w:lineRule="exact"/>
        <w:ind w:firstLine="640" w:firstLineChars="200"/>
        <w:jc w:val="both"/>
        <w:rPr>
          <w:rFonts w:hint="default" w:ascii="黑体" w:hAnsi="黑体" w:eastAsia="黑体" w:cs="黑体"/>
          <w:bCs/>
          <w:kern w:val="2"/>
          <w:sz w:val="32"/>
          <w:szCs w:val="32"/>
        </w:rPr>
      </w:pPr>
      <w:r>
        <w:rPr>
          <w:rFonts w:ascii="黑体" w:hAnsi="黑体" w:eastAsia="黑体" w:cs="黑体"/>
          <w:bCs/>
          <w:kern w:val="2"/>
          <w:sz w:val="32"/>
          <w:szCs w:val="32"/>
        </w:rPr>
        <w:t>一、组织机构</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主办单位：中国投资协会项目投融资专业委员会</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承办单位：北京中科善若教育咨询有限公司</w:t>
      </w:r>
    </w:p>
    <w:p>
      <w:pPr>
        <w:autoSpaceDE/>
        <w:autoSpaceDN/>
        <w:adjustRightInd/>
        <w:spacing w:line="420" w:lineRule="exact"/>
        <w:ind w:firstLine="640" w:firstLineChars="200"/>
        <w:jc w:val="both"/>
        <w:rPr>
          <w:rFonts w:ascii="黑体" w:hAnsi="黑体" w:eastAsia="黑体" w:cs="黑体"/>
          <w:bCs/>
          <w:kern w:val="2"/>
          <w:sz w:val="32"/>
          <w:szCs w:val="32"/>
        </w:rPr>
      </w:pPr>
    </w:p>
    <w:p>
      <w:pPr>
        <w:autoSpaceDE/>
        <w:autoSpaceDN/>
        <w:adjustRightInd/>
        <w:spacing w:line="420" w:lineRule="exact"/>
        <w:jc w:val="both"/>
        <w:rPr>
          <w:rFonts w:ascii="黑体" w:hAnsi="黑体" w:eastAsia="黑体" w:cs="黑体"/>
          <w:bCs/>
          <w:kern w:val="2"/>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bCs/>
          <w:kern w:val="2"/>
          <w:sz w:val="32"/>
          <w:szCs w:val="32"/>
        </w:rPr>
      </w:pPr>
      <w:r>
        <w:rPr>
          <w:rFonts w:ascii="黑体" w:hAnsi="黑体" w:eastAsia="黑体" w:cs="黑体"/>
          <w:bCs/>
          <w:kern w:val="2"/>
          <w:sz w:val="32"/>
          <w:szCs w:val="32"/>
        </w:rPr>
        <w:t>二、培训内容</w:t>
      </w:r>
      <w:r>
        <w:rPr>
          <w:rFonts w:ascii="仿宋" w:hAnsi="仿宋" w:eastAsia="仿宋" w:cs="黑体"/>
          <w:bCs/>
          <w:kern w:val="2"/>
          <w:sz w:val="32"/>
          <w:szCs w:val="32"/>
        </w:rPr>
        <w:t>（详细内容见附件）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w:t>
      </w:r>
      <w:r>
        <w:rPr>
          <w:rFonts w:ascii="仿宋" w:hAnsi="仿宋" w:eastAsia="仿宋" w:cs="仿宋"/>
          <w:bCs/>
          <w:kern w:val="2"/>
          <w:sz w:val="32"/>
          <w:szCs w:val="32"/>
        </w:rPr>
        <w:t>.</w:t>
      </w:r>
      <w:r>
        <w:rPr>
          <w:rFonts w:hint="default" w:ascii="仿宋" w:hAnsi="仿宋" w:eastAsia="仿宋" w:cs="仿宋"/>
          <w:bCs/>
          <w:kern w:val="2"/>
          <w:sz w:val="32"/>
          <w:szCs w:val="32"/>
        </w:rPr>
        <w:t>国有企业改革相关政策解读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国企混合所有制改革的政策解读与操作要点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3</w:t>
      </w:r>
      <w:r>
        <w:rPr>
          <w:rFonts w:ascii="仿宋" w:hAnsi="仿宋" w:eastAsia="仿宋" w:cs="仿宋"/>
          <w:bCs/>
          <w:kern w:val="2"/>
          <w:sz w:val="32"/>
          <w:szCs w:val="32"/>
        </w:rPr>
        <w:t>.</w:t>
      </w:r>
      <w:r>
        <w:rPr>
          <w:rFonts w:hint="default" w:ascii="仿宋" w:hAnsi="仿宋" w:eastAsia="仿宋" w:cs="仿宋"/>
          <w:bCs/>
          <w:kern w:val="2"/>
          <w:sz w:val="32"/>
          <w:szCs w:val="32"/>
        </w:rPr>
        <w:t>国企混合所有制改革的难点解析、操作模式及实战技术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4</w:t>
      </w:r>
      <w:r>
        <w:rPr>
          <w:rFonts w:ascii="仿宋" w:hAnsi="仿宋" w:eastAsia="仿宋" w:cs="仿宋"/>
          <w:bCs/>
          <w:kern w:val="2"/>
          <w:sz w:val="32"/>
          <w:szCs w:val="32"/>
        </w:rPr>
        <w:t>.</w:t>
      </w:r>
      <w:r>
        <w:rPr>
          <w:rFonts w:hint="default" w:ascii="仿宋" w:hAnsi="仿宋" w:eastAsia="仿宋" w:cs="仿宋"/>
          <w:bCs/>
          <w:kern w:val="2"/>
          <w:sz w:val="32"/>
          <w:szCs w:val="32"/>
        </w:rPr>
        <w:t>国企混改中的战略规划及操作要点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5</w:t>
      </w:r>
      <w:r>
        <w:rPr>
          <w:rFonts w:ascii="仿宋" w:hAnsi="仿宋" w:eastAsia="仿宋" w:cs="仿宋"/>
          <w:bCs/>
          <w:kern w:val="2"/>
          <w:sz w:val="32"/>
          <w:szCs w:val="32"/>
        </w:rPr>
        <w:t>.</w:t>
      </w:r>
      <w:r>
        <w:rPr>
          <w:rFonts w:hint="default" w:ascii="仿宋" w:hAnsi="仿宋" w:eastAsia="仿宋" w:cs="仿宋"/>
          <w:bCs/>
          <w:kern w:val="2"/>
          <w:sz w:val="32"/>
          <w:szCs w:val="32"/>
        </w:rPr>
        <w:t>国企混改后的管控模式及操作要点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6</w:t>
      </w:r>
      <w:r>
        <w:rPr>
          <w:rFonts w:ascii="仿宋" w:hAnsi="仿宋" w:eastAsia="仿宋" w:cs="仿宋"/>
          <w:bCs/>
          <w:kern w:val="2"/>
          <w:sz w:val="32"/>
          <w:szCs w:val="32"/>
        </w:rPr>
        <w:t>.《关于改革国有企业工资决定机制的意见》解读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7</w:t>
      </w:r>
      <w:r>
        <w:rPr>
          <w:rFonts w:ascii="仿宋" w:hAnsi="仿宋" w:eastAsia="仿宋" w:cs="仿宋"/>
          <w:bCs/>
          <w:kern w:val="2"/>
          <w:sz w:val="32"/>
          <w:szCs w:val="32"/>
        </w:rPr>
        <w:t>.</w:t>
      </w:r>
      <w:r>
        <w:rPr>
          <w:rFonts w:hint="default" w:ascii="仿宋" w:hAnsi="仿宋" w:eastAsia="仿宋" w:cs="仿宋"/>
          <w:bCs/>
          <w:kern w:val="2"/>
          <w:sz w:val="32"/>
          <w:szCs w:val="32"/>
        </w:rPr>
        <w:t>国有企业人才管理机制及薪酬绩效管理体系改革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8</w:t>
      </w:r>
      <w:r>
        <w:rPr>
          <w:rFonts w:ascii="仿宋" w:hAnsi="仿宋" w:eastAsia="仿宋" w:cs="仿宋"/>
          <w:bCs/>
          <w:kern w:val="2"/>
          <w:sz w:val="32"/>
          <w:szCs w:val="32"/>
        </w:rPr>
        <w:t>.</w:t>
      </w:r>
      <w:r>
        <w:rPr>
          <w:rFonts w:hint="default" w:ascii="仿宋" w:hAnsi="仿宋" w:eastAsia="仿宋" w:cs="仿宋"/>
          <w:bCs/>
          <w:kern w:val="2"/>
          <w:sz w:val="32"/>
          <w:szCs w:val="32"/>
        </w:rPr>
        <w:t>国企薪酬改革、员工持股与长期激励机制设计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9</w:t>
      </w:r>
      <w:r>
        <w:rPr>
          <w:rFonts w:ascii="仿宋" w:hAnsi="仿宋" w:eastAsia="仿宋" w:cs="仿宋"/>
          <w:bCs/>
          <w:kern w:val="2"/>
          <w:sz w:val="32"/>
          <w:szCs w:val="32"/>
        </w:rPr>
        <w:t>.国有企业绩效考核方案设计与操作及案例分享</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10</w:t>
      </w:r>
      <w:r>
        <w:rPr>
          <w:rFonts w:ascii="仿宋" w:hAnsi="仿宋" w:eastAsia="仿宋" w:cs="仿宋"/>
          <w:bCs/>
          <w:kern w:val="2"/>
          <w:sz w:val="32"/>
          <w:szCs w:val="32"/>
        </w:rPr>
        <w:t>.国企混改中员工持股、股权和分红激励的操作要点及实战技术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11.</w:t>
      </w:r>
      <w:r>
        <w:rPr>
          <w:rFonts w:hint="default" w:ascii="仿宋" w:hAnsi="仿宋" w:eastAsia="仿宋" w:cs="仿宋"/>
          <w:bCs/>
          <w:kern w:val="2"/>
          <w:sz w:val="32"/>
          <w:szCs w:val="32"/>
        </w:rPr>
        <w:t>国企改革中的职工安置实务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12.</w:t>
      </w:r>
      <w:r>
        <w:rPr>
          <w:rFonts w:hint="default" w:ascii="仿宋" w:hAnsi="仿宋" w:eastAsia="仿宋" w:cs="仿宋"/>
          <w:bCs/>
          <w:kern w:val="2"/>
          <w:sz w:val="32"/>
          <w:szCs w:val="32"/>
        </w:rPr>
        <w:t>市场化选聘经营管理者与职业经理人</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 xml:space="preserve">13.公司治理的变革与升级 </w:t>
      </w:r>
    </w:p>
    <w:p>
      <w:pPr>
        <w:keepNext w:val="0"/>
        <w:keepLines w:val="0"/>
        <w:pageBreakBefore w:val="0"/>
        <w:widowControl w:val="0"/>
        <w:kinsoku/>
        <w:wordWrap/>
        <w:overflowPunct/>
        <w:topLinePunct w:val="0"/>
        <w:autoSpaceDE/>
        <w:autoSpaceDN/>
        <w:bidi w:val="0"/>
        <w:adjustRightInd/>
        <w:snapToGrid/>
        <w:spacing w:line="380" w:lineRule="exact"/>
        <w:ind w:left="1121" w:leftChars="267" w:hanging="480" w:hangingChars="150"/>
        <w:jc w:val="both"/>
        <w:textAlignment w:val="auto"/>
        <w:rPr>
          <w:rFonts w:hint="default" w:ascii="仿宋" w:hAnsi="仿宋" w:eastAsia="仿宋" w:cs="仿宋"/>
          <w:bCs/>
          <w:kern w:val="2"/>
          <w:sz w:val="32"/>
          <w:szCs w:val="32"/>
        </w:rPr>
      </w:pPr>
      <w:r>
        <w:rPr>
          <w:rFonts w:ascii="仿宋" w:hAnsi="仿宋" w:eastAsia="仿宋" w:cs="仿宋"/>
          <w:bCs/>
          <w:kern w:val="2"/>
          <w:sz w:val="32"/>
          <w:szCs w:val="32"/>
        </w:rPr>
        <w:t>14.国企与民资</w:t>
      </w:r>
      <w:r>
        <w:rPr>
          <w:rFonts w:hint="default" w:ascii="仿宋" w:hAnsi="仿宋" w:eastAsia="仿宋" w:cs="仿宋"/>
          <w:bCs/>
          <w:kern w:val="2"/>
          <w:sz w:val="32"/>
          <w:szCs w:val="32"/>
        </w:rPr>
        <w:t>双向混改和并购</w:t>
      </w:r>
      <w:r>
        <w:rPr>
          <w:rFonts w:ascii="仿宋" w:hAnsi="仿宋" w:eastAsia="仿宋" w:cs="仿宋"/>
          <w:bCs/>
          <w:kern w:val="2"/>
          <w:sz w:val="32"/>
          <w:szCs w:val="32"/>
        </w:rPr>
        <w:t>的资本运营</w:t>
      </w:r>
      <w:r>
        <w:rPr>
          <w:rFonts w:hint="default" w:ascii="仿宋" w:hAnsi="仿宋" w:eastAsia="仿宋" w:cs="仿宋"/>
          <w:bCs/>
          <w:kern w:val="2"/>
          <w:sz w:val="32"/>
          <w:szCs w:val="32"/>
        </w:rPr>
        <w:t>政策、实操、工具运用案例分析</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三、培训对象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各地方政府国</w:t>
      </w:r>
      <w:r>
        <w:rPr>
          <w:rFonts w:ascii="仿宋" w:hAnsi="仿宋" w:eastAsia="仿宋" w:cs="仿宋"/>
          <w:bCs/>
          <w:kern w:val="2"/>
          <w:sz w:val="32"/>
          <w:szCs w:val="32"/>
        </w:rPr>
        <w:t>有</w:t>
      </w:r>
      <w:r>
        <w:rPr>
          <w:rFonts w:hint="default" w:ascii="仿宋" w:hAnsi="仿宋" w:eastAsia="仿宋" w:cs="仿宋"/>
          <w:bCs/>
          <w:kern w:val="2"/>
          <w:sz w:val="32"/>
          <w:szCs w:val="32"/>
        </w:rPr>
        <w:t>资</w:t>
      </w:r>
      <w:r>
        <w:rPr>
          <w:rFonts w:ascii="仿宋" w:hAnsi="仿宋" w:eastAsia="仿宋" w:cs="仿宋"/>
          <w:bCs/>
          <w:kern w:val="2"/>
          <w:sz w:val="32"/>
          <w:szCs w:val="32"/>
        </w:rPr>
        <w:t>产监督</w:t>
      </w:r>
      <w:r>
        <w:rPr>
          <w:rFonts w:hint="default" w:ascii="仿宋" w:hAnsi="仿宋" w:eastAsia="仿宋" w:cs="仿宋"/>
          <w:bCs/>
          <w:kern w:val="2"/>
          <w:sz w:val="32"/>
          <w:szCs w:val="32"/>
        </w:rPr>
        <w:t>管</w:t>
      </w:r>
      <w:r>
        <w:rPr>
          <w:rFonts w:ascii="仿宋" w:hAnsi="仿宋" w:eastAsia="仿宋" w:cs="仿宋"/>
          <w:bCs/>
          <w:kern w:val="2"/>
          <w:sz w:val="32"/>
          <w:szCs w:val="32"/>
        </w:rPr>
        <w:t>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国有企业人力资源</w:t>
      </w:r>
      <w:r>
        <w:rPr>
          <w:rFonts w:ascii="仿宋" w:hAnsi="仿宋" w:eastAsia="仿宋" w:cs="仿宋"/>
          <w:bCs/>
          <w:kern w:val="2"/>
          <w:sz w:val="32"/>
          <w:szCs w:val="32"/>
        </w:rPr>
        <w:t>（人事）管理部门、</w:t>
      </w:r>
      <w:r>
        <w:rPr>
          <w:rFonts w:hint="default" w:ascii="仿宋" w:hAnsi="仿宋" w:eastAsia="仿宋" w:cs="仿宋"/>
          <w:bCs/>
          <w:kern w:val="2"/>
          <w:sz w:val="32"/>
          <w:szCs w:val="32"/>
        </w:rPr>
        <w:t>投融资</w:t>
      </w:r>
      <w:r>
        <w:rPr>
          <w:rFonts w:ascii="仿宋" w:hAnsi="仿宋" w:eastAsia="仿宋" w:cs="仿宋"/>
          <w:bCs/>
          <w:kern w:val="2"/>
          <w:sz w:val="32"/>
          <w:szCs w:val="32"/>
        </w:rPr>
        <w:t>管理</w:t>
      </w:r>
      <w:r>
        <w:rPr>
          <w:rFonts w:hint="default" w:ascii="仿宋" w:hAnsi="仿宋" w:eastAsia="仿宋" w:cs="仿宋"/>
          <w:bCs/>
          <w:kern w:val="2"/>
          <w:sz w:val="32"/>
          <w:szCs w:val="32"/>
        </w:rPr>
        <w:t>部门</w:t>
      </w:r>
      <w:r>
        <w:rPr>
          <w:rFonts w:ascii="仿宋" w:hAnsi="仿宋" w:eastAsia="仿宋" w:cs="仿宋"/>
          <w:bCs/>
          <w:kern w:val="2"/>
          <w:sz w:val="32"/>
          <w:szCs w:val="32"/>
        </w:rPr>
        <w:t>、</w:t>
      </w:r>
      <w:r>
        <w:rPr>
          <w:rFonts w:hint="default" w:ascii="仿宋" w:hAnsi="仿宋" w:eastAsia="仿宋" w:cs="仿宋"/>
          <w:bCs/>
          <w:kern w:val="2"/>
          <w:sz w:val="32"/>
          <w:szCs w:val="32"/>
        </w:rPr>
        <w:t>金融机构</w:t>
      </w:r>
      <w:r>
        <w:rPr>
          <w:rFonts w:ascii="仿宋" w:hAnsi="仿宋" w:eastAsia="仿宋" w:cs="仿宋"/>
          <w:bCs/>
          <w:kern w:val="2"/>
          <w:sz w:val="32"/>
          <w:szCs w:val="32"/>
        </w:rPr>
        <w:t>等方面负责人</w:t>
      </w:r>
      <w:r>
        <w:rPr>
          <w:rFonts w:hint="default" w:ascii="仿宋" w:hAnsi="仿宋" w:eastAsia="仿宋" w:cs="仿宋"/>
          <w:bCs/>
          <w:kern w:val="2"/>
          <w:sz w:val="32"/>
          <w:szCs w:val="32"/>
        </w:rPr>
        <w:t>及相关管理人员。</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四、授课专家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仿宋" w:hAnsi="仿宋" w:eastAsia="仿宋" w:cs="仿宋"/>
          <w:bCs/>
          <w:kern w:val="2"/>
          <w:sz w:val="32"/>
          <w:szCs w:val="32"/>
        </w:rPr>
      </w:pPr>
      <w:r>
        <w:rPr>
          <w:rFonts w:hint="default" w:ascii="仿宋" w:hAnsi="仿宋" w:eastAsia="仿宋" w:cs="仿宋"/>
          <w:bCs/>
          <w:kern w:val="2"/>
          <w:sz w:val="32"/>
          <w:szCs w:val="32"/>
        </w:rPr>
        <w:t>拟邀请国务院国资委主管部门所属单位、中国人事科学研究院、中国财政科学研究院</w:t>
      </w:r>
      <w:r>
        <w:rPr>
          <w:rFonts w:hint="eastAsia" w:ascii="仿宋" w:hAnsi="仿宋" w:eastAsia="仿宋" w:cs="仿宋"/>
          <w:bCs/>
          <w:kern w:val="2"/>
          <w:sz w:val="32"/>
          <w:szCs w:val="32"/>
          <w:lang w:eastAsia="zh-CN"/>
        </w:rPr>
        <w:t>等单位专家领导以及</w:t>
      </w:r>
      <w:r>
        <w:rPr>
          <w:rFonts w:hint="default" w:ascii="仿宋" w:hAnsi="仿宋" w:eastAsia="仿宋" w:cs="仿宋"/>
          <w:bCs/>
          <w:kern w:val="2"/>
          <w:sz w:val="32"/>
          <w:szCs w:val="32"/>
        </w:rPr>
        <w:t>国企混改、金融</w:t>
      </w:r>
      <w:r>
        <w:rPr>
          <w:rFonts w:hint="eastAsia" w:ascii="仿宋" w:hAnsi="仿宋" w:eastAsia="仿宋" w:cs="仿宋"/>
          <w:bCs/>
          <w:kern w:val="2"/>
          <w:sz w:val="32"/>
          <w:szCs w:val="32"/>
          <w:lang w:eastAsia="zh-CN"/>
        </w:rPr>
        <w:t>管理领域实战</w:t>
      </w:r>
      <w:r>
        <w:rPr>
          <w:rFonts w:hint="default" w:ascii="仿宋" w:hAnsi="仿宋" w:eastAsia="仿宋" w:cs="仿宋"/>
          <w:bCs/>
          <w:kern w:val="2"/>
          <w:sz w:val="32"/>
          <w:szCs w:val="32"/>
        </w:rPr>
        <w:t>专家授课, 并组织交流与研讨。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五、时间地点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南宁</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合肥</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郑州</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16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厦门</w:t>
      </w:r>
      <w:r>
        <w:rPr>
          <w:rFonts w:hint="eastAsia" w:ascii="仿宋" w:hAnsi="仿宋" w:eastAsia="仿宋" w:cs="仿宋"/>
          <w:kern w:val="2"/>
          <w:sz w:val="30"/>
          <w:szCs w:val="30"/>
        </w:rPr>
        <w:t>市（1</w:t>
      </w:r>
      <w:r>
        <w:rPr>
          <w:rFonts w:hint="eastAsia" w:ascii="仿宋" w:hAnsi="仿宋" w:eastAsia="仿宋" w:cs="仿宋"/>
          <w:kern w:val="2"/>
          <w:sz w:val="30"/>
          <w:szCs w:val="30"/>
          <w:lang w:val="en-US" w:eastAsia="zh-CN"/>
        </w:rPr>
        <w:t>0</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海口</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autoSpaceDE/>
        <w:autoSpaceDN/>
        <w:adjustRightInd/>
        <w:spacing w:line="420" w:lineRule="exact"/>
        <w:ind w:firstLine="640" w:firstLineChars="200"/>
        <w:jc w:val="both"/>
        <w:rPr>
          <w:rFonts w:hint="default" w:ascii="黑体" w:hAnsi="黑体" w:eastAsia="黑体" w:cs="黑体"/>
          <w:color w:val="000000"/>
          <w:sz w:val="32"/>
          <w:szCs w:val="32"/>
        </w:rPr>
      </w:pPr>
      <w:r>
        <w:rPr>
          <w:rFonts w:hint="default" w:ascii="黑体" w:hAnsi="黑体" w:eastAsia="黑体" w:cs="黑体"/>
          <w:color w:val="000000"/>
          <w:sz w:val="32"/>
          <w:szCs w:val="32"/>
        </w:rPr>
        <w:t>六、相关事宜</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仿宋"/>
          <w:bCs/>
          <w:kern w:val="2"/>
          <w:sz w:val="32"/>
          <w:szCs w:val="32"/>
        </w:rPr>
        <w:t>（一）培训费用</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A.2980元/人（含培训、资料、课件、场地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B.3980元/人（含证书、培训、资料、课件、场地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会议期间午餐），住宿统一安排，费用自理。</w:t>
      </w:r>
    </w:p>
    <w:p>
      <w:pPr>
        <w:autoSpaceDE/>
        <w:autoSpaceDN/>
        <w:adjustRightInd/>
        <w:spacing w:line="420" w:lineRule="exact"/>
        <w:ind w:firstLine="640" w:firstLineChars="200"/>
        <w:jc w:val="both"/>
        <w:rPr>
          <w:rFonts w:hint="default" w:ascii="仿宋" w:hAnsi="仿宋" w:eastAsia="仿宋" w:cs="仿宋"/>
          <w:bCs/>
          <w:kern w:val="2"/>
          <w:sz w:val="32"/>
          <w:szCs w:val="32"/>
        </w:rPr>
      </w:pPr>
      <w:r>
        <w:rPr>
          <w:rFonts w:hint="default" w:ascii="仿宋" w:hAnsi="仿宋" w:eastAsia="仿宋" w:cs="仿宋"/>
          <w:bCs/>
          <w:kern w:val="2"/>
          <w:sz w:val="32"/>
          <w:szCs w:val="32"/>
        </w:rPr>
        <w:t>C.</w:t>
      </w:r>
      <w:r>
        <w:rPr>
          <w:rFonts w:ascii="仿宋" w:hAnsi="仿宋" w:eastAsia="仿宋" w:cs="仿宋"/>
          <w:bCs/>
          <w:kern w:val="2"/>
          <w:sz w:val="32"/>
          <w:szCs w:val="32"/>
        </w:rPr>
        <w:t>5</w:t>
      </w:r>
      <w:r>
        <w:rPr>
          <w:rFonts w:hint="default" w:ascii="仿宋" w:hAnsi="仿宋" w:eastAsia="仿宋" w:cs="仿宋"/>
          <w:bCs/>
          <w:kern w:val="2"/>
          <w:sz w:val="32"/>
          <w:szCs w:val="32"/>
        </w:rPr>
        <w:t>980元/人（含</w:t>
      </w:r>
      <w:r>
        <w:rPr>
          <w:rFonts w:ascii="仿宋" w:hAnsi="仿宋" w:eastAsia="仿宋" w:cs="仿宋"/>
          <w:bCs/>
          <w:kern w:val="2"/>
          <w:sz w:val="32"/>
          <w:szCs w:val="32"/>
        </w:rPr>
        <w:t>证书、</w:t>
      </w:r>
      <w:r>
        <w:rPr>
          <w:rFonts w:hint="default" w:ascii="仿宋" w:hAnsi="仿宋" w:eastAsia="仿宋" w:cs="仿宋"/>
          <w:bCs/>
          <w:kern w:val="2"/>
          <w:sz w:val="32"/>
          <w:szCs w:val="32"/>
        </w:rPr>
        <w:t>培训、资料、课件、场地</w:t>
      </w:r>
      <w:r>
        <w:rPr>
          <w:rFonts w:ascii="仿宋" w:hAnsi="仿宋" w:eastAsia="仿宋" w:cs="仿宋"/>
          <w:bCs/>
          <w:kern w:val="2"/>
          <w:sz w:val="32"/>
          <w:szCs w:val="32"/>
        </w:rPr>
        <w:t>费用及</w:t>
      </w:r>
      <w:r>
        <w:rPr>
          <w:rFonts w:hint="default" w:ascii="仿宋" w:hAnsi="仿宋" w:eastAsia="仿宋" w:cs="仿宋"/>
          <w:bCs/>
          <w:kern w:val="2"/>
          <w:sz w:val="32"/>
          <w:szCs w:val="32"/>
        </w:rPr>
        <w:t>会议期间食宿）。</w:t>
      </w:r>
    </w:p>
    <w:p>
      <w:pPr>
        <w:autoSpaceDE/>
        <w:autoSpaceDN/>
        <w:adjustRightInd/>
        <w:spacing w:line="42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培训</w:t>
      </w:r>
      <w:r>
        <w:rPr>
          <w:rFonts w:hint="eastAsia" w:ascii="仿宋" w:hAnsi="仿宋" w:eastAsia="仿宋" w:cs="仿宋"/>
          <w:bCs/>
          <w:color w:val="000000" w:themeColor="text1"/>
          <w:sz w:val="32"/>
          <w:szCs w:val="32"/>
          <w:lang w:eastAsia="zh-CN"/>
          <w14:textFill>
            <w14:solidFill>
              <w14:schemeClr w14:val="tx1"/>
            </w14:solidFill>
          </w14:textFill>
        </w:rPr>
        <w:t>结束</w:t>
      </w:r>
      <w:r>
        <w:rPr>
          <w:rFonts w:ascii="仿宋" w:hAnsi="仿宋" w:eastAsia="仿宋" w:cs="仿宋"/>
          <w:bCs/>
          <w:color w:val="000000" w:themeColor="text1"/>
          <w:sz w:val="32"/>
          <w:szCs w:val="32"/>
          <w14:textFill>
            <w14:solidFill>
              <w14:schemeClr w14:val="tx1"/>
            </w14:solidFill>
          </w14:textFill>
        </w:rPr>
        <w:t>由</w:t>
      </w:r>
      <w:r>
        <w:rPr>
          <w:rFonts w:hint="default" w:ascii="仿宋" w:hAnsi="仿宋" w:eastAsia="仿宋" w:cs="仿宋"/>
          <w:bCs/>
          <w:kern w:val="2"/>
          <w:sz w:val="32"/>
          <w:szCs w:val="32"/>
        </w:rPr>
        <w:t>中国国家人事人才培训网、北京企业管理咨询协会共同颁发</w:t>
      </w:r>
      <w:r>
        <w:rPr>
          <w:rFonts w:hint="eastAsia" w:ascii="仿宋" w:hAnsi="仿宋" w:eastAsia="仿宋" w:cs="仿宋"/>
          <w:bCs/>
          <w:kern w:val="2"/>
          <w:sz w:val="32"/>
          <w:szCs w:val="32"/>
          <w:lang w:eastAsia="zh-CN"/>
        </w:rPr>
        <w:t>《</w:t>
      </w:r>
      <w:r>
        <w:rPr>
          <w:rFonts w:hint="default" w:ascii="仿宋" w:hAnsi="仿宋" w:eastAsia="仿宋" w:cs="仿宋"/>
          <w:bCs/>
          <w:kern w:val="2"/>
          <w:sz w:val="32"/>
          <w:szCs w:val="32"/>
        </w:rPr>
        <w:t>高级人力资源经理</w:t>
      </w:r>
      <w:r>
        <w:rPr>
          <w:rFonts w:hint="eastAsia" w:ascii="仿宋" w:hAnsi="仿宋" w:eastAsia="仿宋" w:cs="仿宋"/>
          <w:bCs/>
          <w:kern w:val="2"/>
          <w:sz w:val="32"/>
          <w:szCs w:val="32"/>
          <w:lang w:eastAsia="zh-CN"/>
        </w:rPr>
        <w:t>》</w:t>
      </w:r>
      <w:r>
        <w:rPr>
          <w:rFonts w:ascii="仿宋" w:hAnsi="仿宋" w:eastAsia="仿宋" w:cs="仿宋"/>
          <w:bCs/>
          <w:color w:val="000000" w:themeColor="text1"/>
          <w:sz w:val="32"/>
          <w:szCs w:val="32"/>
          <w14:textFill>
            <w14:solidFill>
              <w14:schemeClr w14:val="tx1"/>
            </w14:solidFill>
          </w14:textFill>
        </w:rPr>
        <w:t>证书，需提供报名回执表、二寸白底免冠彩色照片（电子版）、身份证（复印件）、学历证书（复印件）各一份。</w:t>
      </w:r>
    </w:p>
    <w:p>
      <w:pPr>
        <w:autoSpaceDE/>
        <w:autoSpaceDN/>
        <w:adjustRightInd/>
        <w:spacing w:line="420" w:lineRule="exact"/>
        <w:ind w:firstLine="640" w:firstLineChars="200"/>
        <w:rPr>
          <w:rFonts w:hint="default"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t>证书查询：</w:t>
      </w:r>
      <w:r>
        <w:fldChar w:fldCharType="begin"/>
      </w:r>
      <w:r>
        <w:instrText xml:space="preserve"> HYPERLINK "http://www.chinanet.gov.cn" </w:instrText>
      </w:r>
      <w:r>
        <w:fldChar w:fldCharType="separate"/>
      </w:r>
      <w:r>
        <w:rPr>
          <w:rStyle w:val="11"/>
          <w:rFonts w:hint="default" w:ascii="仿宋" w:hAnsi="仿宋" w:eastAsia="仿宋" w:cs="仿宋"/>
          <w:bCs/>
          <w:color w:val="auto"/>
          <w:kern w:val="2"/>
          <w:sz w:val="32"/>
          <w:szCs w:val="32"/>
          <w:u w:val="none"/>
        </w:rPr>
        <w:t>http://www.chinanet.gov.cn</w:t>
      </w:r>
      <w:r>
        <w:rPr>
          <w:rStyle w:val="11"/>
          <w:rFonts w:hint="default" w:ascii="仿宋" w:hAnsi="仿宋" w:eastAsia="仿宋" w:cs="仿宋"/>
          <w:bCs/>
          <w:color w:val="auto"/>
          <w:kern w:val="2"/>
          <w:sz w:val="32"/>
          <w:szCs w:val="32"/>
          <w:u w:val="none"/>
        </w:rPr>
        <w:fldChar w:fldCharType="end"/>
      </w:r>
      <w:r>
        <w:rPr>
          <w:rFonts w:ascii="仿宋" w:hAnsi="仿宋" w:eastAsia="仿宋" w:cs="仿宋"/>
          <w:bCs/>
          <w:sz w:val="32"/>
          <w:szCs w:val="32"/>
        </w:rPr>
        <w:t>。</w:t>
      </w:r>
    </w:p>
    <w:p>
      <w:pPr>
        <w:autoSpaceDE/>
        <w:autoSpaceDN/>
        <w:adjustRightInd/>
        <w:spacing w:line="420" w:lineRule="exact"/>
        <w:ind w:firstLine="627" w:firstLineChars="196"/>
        <w:jc w:val="both"/>
        <w:rPr>
          <w:rFonts w:hint="default" w:ascii="楷体" w:hAnsi="楷体" w:eastAsia="楷体" w:cs="仿宋"/>
          <w:bCs/>
          <w:kern w:val="2"/>
          <w:sz w:val="32"/>
          <w:szCs w:val="32"/>
        </w:rPr>
      </w:pPr>
      <w:r>
        <w:rPr>
          <w:rFonts w:hint="default" w:ascii="楷体" w:hAnsi="楷体" w:eastAsia="楷体" w:cs="宋体"/>
          <w:color w:val="000000"/>
          <w:sz w:val="32"/>
          <w:szCs w:val="32"/>
        </w:rPr>
        <w:t>（二）联系方式</w:t>
      </w:r>
    </w:p>
    <w:p>
      <w:pPr>
        <w:spacing w:line="42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报名负责人：聂红军 主任18211071700（微信）   </w:t>
      </w:r>
    </w:p>
    <w:p>
      <w:pPr>
        <w:spacing w:line="42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电  话：010-87697580      邮    箱：zqgphwz@126.com  </w:t>
      </w:r>
    </w:p>
    <w:p>
      <w:pPr>
        <w:spacing w:line="420" w:lineRule="exact"/>
        <w:rPr>
          <w:rFonts w:hint="default"/>
          <w:b/>
          <w:sz w:val="32"/>
          <w:szCs w:val="32"/>
          <w:shd w:val="clear" w:color="auto" w:fill="FFFFFF"/>
        </w:rPr>
      </w:pPr>
      <w:r>
        <w:rPr>
          <w:rFonts w:hint="eastAsia" w:ascii="仿宋" w:hAnsi="仿宋" w:eastAsia="仿宋" w:cs="仿宋"/>
          <w:bCs/>
          <w:color w:val="000000"/>
          <w:sz w:val="32"/>
          <w:szCs w:val="32"/>
        </w:rPr>
        <w:t>qq咨询：3177524020  网址查询：http://www.zqgpchina.cn/</w:t>
      </w:r>
    </w:p>
    <w:p>
      <w:pPr>
        <w:spacing w:line="420" w:lineRule="exact"/>
        <w:ind w:firstLine="627" w:firstLineChars="196"/>
        <w:rPr>
          <w:rFonts w:hint="default" w:ascii="仿宋" w:hAnsi="仿宋" w:eastAsia="仿宋" w:cs="仿宋"/>
          <w:bCs/>
          <w:kern w:val="2"/>
          <w:sz w:val="32"/>
          <w:szCs w:val="32"/>
        </w:rPr>
      </w:pPr>
      <w:r>
        <w:rPr>
          <w:rFonts w:ascii="黑体" w:hAnsi="黑体" w:eastAsia="黑体"/>
          <w:sz w:val="32"/>
          <w:szCs w:val="32"/>
          <w:shd w:val="clear" w:color="auto" w:fill="FFFFFF"/>
        </w:rPr>
        <w:t>附件：</w:t>
      </w:r>
      <w:r>
        <w:rPr>
          <w:rFonts w:hint="default" w:ascii="仿宋" w:hAnsi="仿宋" w:eastAsia="仿宋"/>
          <w:bCs/>
          <w:sz w:val="32"/>
          <w:szCs w:val="32"/>
          <w:shd w:val="clear" w:color="auto" w:fill="FFFFFF"/>
        </w:rPr>
        <w:t>1</w:t>
      </w:r>
      <w:r>
        <w:rPr>
          <w:rFonts w:ascii="仿宋" w:hAnsi="仿宋" w:eastAsia="仿宋"/>
          <w:bCs/>
          <w:sz w:val="32"/>
          <w:szCs w:val="32"/>
          <w:shd w:val="clear" w:color="auto" w:fill="FFFFFF"/>
        </w:rPr>
        <w:t>.</w:t>
      </w:r>
      <w:r>
        <w:rPr>
          <w:rFonts w:hint="default" w:ascii="仿宋" w:hAnsi="仿宋" w:eastAsia="仿宋"/>
          <w:bCs/>
          <w:sz w:val="32"/>
          <w:szCs w:val="32"/>
          <w:shd w:val="clear" w:color="auto" w:fill="FFFFFF"/>
        </w:rPr>
        <w:t>培训</w:t>
      </w:r>
      <w:r>
        <w:rPr>
          <w:rFonts w:hint="default" w:ascii="仿宋" w:hAnsi="仿宋" w:eastAsia="仿宋" w:cs="仿宋"/>
          <w:bCs/>
          <w:kern w:val="2"/>
          <w:sz w:val="32"/>
          <w:szCs w:val="32"/>
        </w:rPr>
        <w:t>内容</w:t>
      </w:r>
    </w:p>
    <w:p>
      <w:pPr>
        <w:autoSpaceDE/>
        <w:autoSpaceDN/>
        <w:adjustRightInd/>
        <w:spacing w:line="420" w:lineRule="exact"/>
        <w:ind w:firstLine="1600" w:firstLineChars="500"/>
        <w:jc w:val="both"/>
        <w:rPr>
          <w:rFonts w:hint="default" w:ascii="仿宋" w:hAnsi="仿宋" w:eastAsia="仿宋" w:cs="宋体"/>
          <w:color w:val="000000"/>
          <w:sz w:val="28"/>
          <w:szCs w:val="28"/>
        </w:rPr>
      </w:pPr>
      <w:r>
        <w:rPr>
          <w:rFonts w:hint="default" w:ascii="仿宋" w:hAnsi="仿宋" w:eastAsia="仿宋" w:cs="仿宋"/>
          <w:bCs/>
          <w:kern w:val="2"/>
          <w:sz w:val="32"/>
          <w:szCs w:val="32"/>
        </w:rPr>
        <w:t>2</w:t>
      </w:r>
      <w:r>
        <w:rPr>
          <w:rFonts w:ascii="仿宋" w:hAnsi="仿宋" w:eastAsia="仿宋" w:cs="仿宋"/>
          <w:bCs/>
          <w:kern w:val="2"/>
          <w:sz w:val="32"/>
          <w:szCs w:val="32"/>
        </w:rPr>
        <w:t>.</w:t>
      </w:r>
      <w:r>
        <w:rPr>
          <w:rFonts w:hint="default" w:ascii="仿宋" w:hAnsi="仿宋" w:eastAsia="仿宋" w:cs="宋体"/>
          <w:color w:val="000000"/>
          <w:sz w:val="32"/>
          <w:szCs w:val="32"/>
        </w:rPr>
        <w:t>报名回执表</w:t>
      </w:r>
    </w:p>
    <w:p>
      <w:pPr>
        <w:autoSpaceDE/>
        <w:autoSpaceDN/>
        <w:adjustRightInd/>
        <w:spacing w:line="420" w:lineRule="exact"/>
        <w:ind w:firstLine="640" w:firstLineChars="200"/>
        <w:jc w:val="both"/>
        <w:rPr>
          <w:rFonts w:hint="default" w:ascii="仿宋" w:hAnsi="仿宋" w:eastAsia="仿宋" w:cs="宋体"/>
          <w:color w:val="000000"/>
          <w:sz w:val="28"/>
          <w:szCs w:val="28"/>
        </w:rPr>
      </w:pPr>
      <w:r>
        <w:rPr>
          <w:rFonts w:hint="eastAsia" w:ascii="仿宋" w:hAnsi="仿宋" w:eastAsia="仿宋" w:cs="仿宋"/>
          <w:bCs/>
          <w:color w:val="000000"/>
          <w:sz w:val="32"/>
          <w:szCs w:val="32"/>
          <w:lang w:eastAsia="zh-CN"/>
        </w:rPr>
        <w:drawing>
          <wp:anchor distT="0" distB="0" distL="114300" distR="114300" simplePos="0" relativeHeight="251659264" behindDoc="1" locked="0" layoutInCell="1" allowOverlap="1">
            <wp:simplePos x="0" y="0"/>
            <wp:positionH relativeFrom="column">
              <wp:posOffset>3168650</wp:posOffset>
            </wp:positionH>
            <wp:positionV relativeFrom="paragraph">
              <wp:posOffset>108585</wp:posOffset>
            </wp:positionV>
            <wp:extent cx="1524000" cy="1552575"/>
            <wp:effectExtent l="0" t="0" r="0" b="9525"/>
            <wp:wrapNone/>
            <wp:docPr id="2" name="图片 2" descr="104da9fca0cdb883ecaad0b26c592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4da9fca0cdb883ecaad0b26c5928f"/>
                    <pic:cNvPicPr>
                      <a:picLocks noChangeAspect="1"/>
                    </pic:cNvPicPr>
                  </pic:nvPicPr>
                  <pic:blipFill>
                    <a:blip r:embed="rId5"/>
                    <a:stretch>
                      <a:fillRect/>
                    </a:stretch>
                  </pic:blipFill>
                  <pic:spPr>
                    <a:xfrm>
                      <a:off x="0" y="0"/>
                      <a:ext cx="1524000" cy="1552575"/>
                    </a:xfrm>
                    <a:prstGeom prst="rect">
                      <a:avLst/>
                    </a:prstGeom>
                  </pic:spPr>
                </pic:pic>
              </a:graphicData>
            </a:graphic>
          </wp:anchor>
        </w:drawing>
      </w: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spacing w:line="420" w:lineRule="exact"/>
        <w:ind w:firstLine="3520" w:firstLineChars="1100"/>
        <w:rPr>
          <w:rFonts w:hint="eastAsia" w:ascii="仿宋" w:hAnsi="仿宋" w:eastAsia="仿宋" w:cs="仿宋"/>
          <w:bCs/>
          <w:color w:val="000000"/>
          <w:sz w:val="32"/>
          <w:szCs w:val="32"/>
        </w:rPr>
      </w:pPr>
      <w:r>
        <w:rPr>
          <w:rFonts w:hint="eastAsia" w:ascii="仿宋" w:hAnsi="仿宋" w:eastAsia="仿宋" w:cs="仿宋"/>
          <w:bCs/>
          <w:color w:val="000000"/>
          <w:sz w:val="32"/>
          <w:szCs w:val="32"/>
        </w:rPr>
        <w:t>中国投资协会项目投融资专业委员会</w:t>
      </w:r>
    </w:p>
    <w:p>
      <w:pPr>
        <w:spacing w:line="4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 xml:space="preserve">   2021年</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月2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日</w:t>
      </w:r>
    </w:p>
    <w:p>
      <w:pPr>
        <w:spacing w:line="420" w:lineRule="exact"/>
        <w:ind w:firstLine="640" w:firstLineChars="200"/>
        <w:rPr>
          <w:rFonts w:hint="eastAsia" w:ascii="仿宋" w:hAnsi="仿宋" w:eastAsia="仿宋" w:cs="仿宋"/>
          <w:bCs/>
          <w:color w:val="000000"/>
          <w:sz w:val="32"/>
          <w:szCs w:val="32"/>
          <w:lang w:eastAsia="zh-CN"/>
        </w:rPr>
      </w:pPr>
    </w:p>
    <w:p>
      <w:pPr>
        <w:autoSpaceDE/>
        <w:autoSpaceDN/>
        <w:adjustRightInd/>
        <w:spacing w:line="420" w:lineRule="exact"/>
        <w:ind w:firstLine="560" w:firstLineChars="200"/>
        <w:jc w:val="both"/>
        <w:rPr>
          <w:rFonts w:hint="default" w:ascii="仿宋" w:hAnsi="仿宋" w:eastAsia="仿宋" w:cs="宋体"/>
          <w:color w:val="000000"/>
          <w:sz w:val="28"/>
          <w:szCs w:val="28"/>
        </w:rPr>
      </w:pPr>
    </w:p>
    <w:p>
      <w:pPr>
        <w:autoSpaceDE/>
        <w:autoSpaceDN/>
        <w:adjustRightInd/>
        <w:spacing w:line="420" w:lineRule="exact"/>
        <w:ind w:firstLine="4800" w:firstLineChars="1500"/>
        <w:jc w:val="both"/>
        <w:rPr>
          <w:rFonts w:hint="eastAsia" w:ascii="仿宋" w:hAnsi="仿宋" w:eastAsia="仿宋" w:cs="宋体"/>
          <w:color w:val="000000"/>
          <w:sz w:val="32"/>
          <w:szCs w:val="32"/>
          <w:lang w:eastAsia="zh-CN"/>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420" w:lineRule="exact"/>
        <w:ind w:firstLine="4800" w:firstLineChars="1500"/>
        <w:jc w:val="both"/>
        <w:rPr>
          <w:rFonts w:hint="default" w:ascii="仿宋" w:hAnsi="仿宋" w:eastAsia="仿宋" w:cs="宋体"/>
          <w:color w:val="000000"/>
          <w:sz w:val="32"/>
          <w:szCs w:val="32"/>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ascii="黑体" w:hAnsi="黑体" w:eastAsia="黑体" w:cs="宋体"/>
          <w:bCs/>
          <w:kern w:val="2"/>
          <w:sz w:val="28"/>
          <w:szCs w:val="28"/>
        </w:rPr>
      </w:pPr>
    </w:p>
    <w:p>
      <w:pPr>
        <w:autoSpaceDE/>
        <w:autoSpaceDN/>
        <w:adjustRightInd/>
        <w:spacing w:line="280" w:lineRule="exact"/>
        <w:jc w:val="both"/>
        <w:rPr>
          <w:rFonts w:hint="default" w:ascii="黑体" w:hAnsi="黑体" w:eastAsia="黑体" w:cs="宋体"/>
          <w:bCs/>
          <w:kern w:val="2"/>
          <w:sz w:val="28"/>
          <w:szCs w:val="28"/>
        </w:rPr>
      </w:pPr>
      <w:r>
        <w:rPr>
          <w:rFonts w:ascii="黑体" w:hAnsi="黑体" w:eastAsia="黑体" w:cs="宋体"/>
          <w:bCs/>
          <w:kern w:val="2"/>
          <w:sz w:val="28"/>
          <w:szCs w:val="28"/>
        </w:rPr>
        <w:t>附件：1</w:t>
      </w:r>
    </w:p>
    <w:p>
      <w:pPr>
        <w:autoSpaceDE/>
        <w:autoSpaceDN/>
        <w:adjustRightInd/>
        <w:spacing w:line="440" w:lineRule="exact"/>
        <w:jc w:val="center"/>
        <w:rPr>
          <w:rFonts w:hint="default" w:cs="宋体"/>
          <w:b/>
          <w:bCs/>
          <w:kern w:val="2"/>
          <w:sz w:val="32"/>
          <w:szCs w:val="32"/>
        </w:rPr>
      </w:pPr>
      <w:r>
        <w:rPr>
          <w:rFonts w:cs="宋体"/>
          <w:b/>
          <w:bCs/>
          <w:kern w:val="2"/>
          <w:sz w:val="32"/>
          <w:szCs w:val="32"/>
        </w:rPr>
        <w:t>培 训 内 容</w:t>
      </w:r>
    </w:p>
    <w:p>
      <w:pPr>
        <w:autoSpaceDE/>
        <w:autoSpaceDN/>
        <w:adjustRightInd/>
        <w:spacing w:line="280" w:lineRule="exact"/>
        <w:jc w:val="both"/>
        <w:rPr>
          <w:rFonts w:ascii="黑体" w:hAnsi="黑体" w:eastAsia="黑体" w:cs="楷体"/>
          <w:kern w:val="2"/>
          <w:sz w:val="28"/>
          <w:szCs w:val="28"/>
        </w:rPr>
      </w:pP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ascii="黑体" w:hAnsi="黑体" w:eastAsia="黑体" w:cs="楷体"/>
          <w:kern w:val="2"/>
          <w:sz w:val="28"/>
          <w:szCs w:val="28"/>
        </w:rPr>
        <w:t>一、国有企业改革相关政策解读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《国企改革三年行动方案（2020-2022年）》要点解读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国资国企改革“1+N”系列政策文件的重点内容解读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习近平总书记有关国资国企改革的历次重要讲话和指示批示解读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《国企改革“双百行动”工作方案》及相关政策解析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混合所有制改革的主要思路、操纵模式及公司治理的政策要点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 xml:space="preserve">国务院国资委、国家发改委分别牵头的改革试点以及先进省市国企混改和员工持股试点的实际进展情况 </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二</w:t>
      </w:r>
      <w:r>
        <w:rPr>
          <w:rFonts w:ascii="黑体" w:hAnsi="黑体" w:eastAsia="黑体" w:cs="楷体"/>
          <w:kern w:val="2"/>
          <w:sz w:val="28"/>
          <w:szCs w:val="28"/>
        </w:rPr>
        <w:t>、</w:t>
      </w:r>
      <w:r>
        <w:rPr>
          <w:rFonts w:hint="default" w:ascii="黑体" w:hAnsi="黑体" w:eastAsia="黑体" w:cs="楷体"/>
          <w:kern w:val="2"/>
          <w:sz w:val="28"/>
          <w:szCs w:val="28"/>
        </w:rPr>
        <w:t>国企混合所有制改革的政策解读与操作要点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对国企混合所有制改革的认识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国企混改与员工持股有关政策要点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国企混改的三种主要选择形式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国企混改的核心思路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国企混改的“三混两改”五大操作阶段</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如何制定“一企一策”混改方案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企业混改的基本工作流程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战略投资者及财务投资者的选择要点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员工的持股与管理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企业混改中的产权交易及公开征集投资人</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三</w:t>
      </w:r>
      <w:r>
        <w:rPr>
          <w:rFonts w:ascii="黑体" w:hAnsi="黑体" w:eastAsia="黑体" w:cs="楷体"/>
          <w:kern w:val="2"/>
          <w:sz w:val="28"/>
          <w:szCs w:val="28"/>
        </w:rPr>
        <w:t>、</w:t>
      </w:r>
      <w:r>
        <w:rPr>
          <w:rFonts w:hint="default" w:ascii="黑体" w:hAnsi="黑体" w:eastAsia="黑体" w:cs="楷体"/>
          <w:kern w:val="2"/>
          <w:sz w:val="28"/>
          <w:szCs w:val="28"/>
        </w:rPr>
        <w:t xml:space="preserve">国企混合所有制改革的难点解析、操作模式及实战技术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 xml:space="preserve">国企混改的经验教训总结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 xml:space="preserve">推行混合所有制改革的焦点和难点问题解析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不同类型国有企业混改的操作模式以及可借鉴的典型案例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国企混合所有制改革六大主要环节的操作要点详解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混改工作与企业转型、培育新兴产业、打造一流企业</w:t>
      </w:r>
      <w:r>
        <w:rPr>
          <w:rFonts w:ascii="仿宋" w:hAnsi="仿宋" w:eastAsia="仿宋" w:cs="仿宋"/>
          <w:bCs/>
          <w:kern w:val="2"/>
          <w:sz w:val="28"/>
          <w:szCs w:val="28"/>
        </w:rPr>
        <w:t>的</w:t>
      </w:r>
      <w:r>
        <w:rPr>
          <w:rFonts w:hint="default" w:ascii="仿宋" w:hAnsi="仿宋" w:eastAsia="仿宋" w:cs="仿宋"/>
          <w:bCs/>
          <w:kern w:val="2"/>
          <w:sz w:val="28"/>
          <w:szCs w:val="28"/>
        </w:rPr>
        <w:t>有效结合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国企混改方案设计及组织实施疑难问题处理</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在混改实施过程中，如何防范各类潜在和现实风险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央企（含下属企业）混改试点的典型案例详解</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地方国有企业混改和员工持股试点的典型案例详解</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四</w:t>
      </w:r>
      <w:r>
        <w:rPr>
          <w:rFonts w:ascii="黑体" w:hAnsi="黑体" w:eastAsia="黑体" w:cs="楷体"/>
          <w:kern w:val="2"/>
          <w:sz w:val="28"/>
          <w:szCs w:val="28"/>
        </w:rPr>
        <w:t>、</w:t>
      </w:r>
      <w:r>
        <w:rPr>
          <w:rFonts w:hint="default" w:ascii="黑体" w:hAnsi="黑体" w:eastAsia="黑体" w:cs="楷体"/>
          <w:kern w:val="2"/>
          <w:sz w:val="28"/>
          <w:szCs w:val="28"/>
        </w:rPr>
        <w:t>国企混改中的战略规划及操作要点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“十四五”</w:t>
      </w:r>
      <w:r>
        <w:rPr>
          <w:rFonts w:hint="eastAsia" w:ascii="仿宋" w:hAnsi="仿宋" w:eastAsia="仿宋" w:cs="仿宋"/>
          <w:bCs/>
          <w:kern w:val="2"/>
          <w:sz w:val="28"/>
          <w:szCs w:val="28"/>
          <w:lang w:eastAsia="zh-CN"/>
        </w:rPr>
        <w:t>规划</w:t>
      </w:r>
      <w:r>
        <w:rPr>
          <w:rFonts w:hint="default" w:ascii="仿宋" w:hAnsi="仿宋" w:eastAsia="仿宋" w:cs="仿宋"/>
          <w:bCs/>
          <w:kern w:val="2"/>
          <w:sz w:val="28"/>
          <w:szCs w:val="28"/>
        </w:rPr>
        <w:t>对国有企业的作用与价值</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“十四五”期间国有企业发展的方向与逻辑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国有企业“十四五”战略规划的环境分析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“十四五”期间国有企业面临的机遇与挑战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国有企业“十四五”战略的顶层设计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商业模式设计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业务发展战略设计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资本战略设计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国际化战略设计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“十四五”战略规划的难点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战略管理体系设计</w:t>
      </w:r>
    </w:p>
    <w:p>
      <w:pPr>
        <w:autoSpaceDE/>
        <w:autoSpaceDN/>
        <w:adjustRightInd/>
        <w:spacing w:line="280" w:lineRule="exact"/>
        <w:ind w:firstLine="560" w:firstLineChars="200"/>
        <w:jc w:val="both"/>
        <w:rPr>
          <w:rFonts w:hint="default" w:ascii="黑体" w:hAnsi="黑体" w:eastAsia="黑体" w:cs="楷体"/>
          <w:kern w:val="2"/>
          <w:sz w:val="28"/>
          <w:szCs w:val="28"/>
        </w:rPr>
      </w:pPr>
      <w:r>
        <w:rPr>
          <w:rFonts w:hint="default" w:ascii="黑体" w:hAnsi="黑体" w:eastAsia="黑体" w:cs="楷体"/>
          <w:kern w:val="2"/>
          <w:sz w:val="28"/>
          <w:szCs w:val="28"/>
        </w:rPr>
        <w:t>五</w:t>
      </w:r>
      <w:r>
        <w:rPr>
          <w:rFonts w:ascii="黑体" w:hAnsi="黑体" w:eastAsia="黑体" w:cs="楷体"/>
          <w:kern w:val="2"/>
          <w:sz w:val="28"/>
          <w:szCs w:val="28"/>
        </w:rPr>
        <w:t>、</w:t>
      </w:r>
      <w:r>
        <w:rPr>
          <w:rFonts w:hint="default" w:ascii="黑体" w:hAnsi="黑体" w:eastAsia="黑体" w:cs="楷体"/>
          <w:kern w:val="2"/>
          <w:sz w:val="28"/>
          <w:szCs w:val="28"/>
        </w:rPr>
        <w:t>国企混改后的管控模式及操作要点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集团管控的模式分析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战略管控型集团管控模式的要点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财务管控型集团管控模式的要点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运营管控型集团管控模式的要点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集团管控面临的六大挑战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集团的类型及管控要点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国有企业发展不同阶段的集团管控要点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不同集团管控模式下总部的定位与功能</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不同集团管控模式下总部的授权分权模式与要点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集团管控的治理结构设计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11</w:t>
      </w:r>
      <w:r>
        <w:rPr>
          <w:rFonts w:ascii="仿宋" w:hAnsi="仿宋" w:eastAsia="仿宋" w:cs="仿宋"/>
          <w:bCs/>
          <w:kern w:val="2"/>
          <w:sz w:val="28"/>
          <w:szCs w:val="28"/>
        </w:rPr>
        <w:t>.</w:t>
      </w:r>
      <w:r>
        <w:rPr>
          <w:rFonts w:hint="default" w:ascii="仿宋" w:hAnsi="仿宋" w:eastAsia="仿宋" w:cs="仿宋"/>
          <w:bCs/>
          <w:kern w:val="2"/>
          <w:sz w:val="28"/>
          <w:szCs w:val="28"/>
        </w:rPr>
        <w:t>集团管控与国有企业授权分权机制改革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12</w:t>
      </w:r>
      <w:r>
        <w:rPr>
          <w:rFonts w:ascii="仿宋" w:hAnsi="仿宋" w:eastAsia="仿宋" w:cs="仿宋"/>
          <w:bCs/>
          <w:kern w:val="2"/>
          <w:sz w:val="28"/>
          <w:szCs w:val="28"/>
        </w:rPr>
        <w:t>.</w:t>
      </w:r>
      <w:r>
        <w:rPr>
          <w:rFonts w:hint="default" w:ascii="仿宋" w:hAnsi="仿宋" w:eastAsia="仿宋" w:cs="仿宋"/>
          <w:bCs/>
          <w:kern w:val="2"/>
          <w:sz w:val="28"/>
          <w:szCs w:val="28"/>
        </w:rPr>
        <w:t>集团战略管控体系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13</w:t>
      </w:r>
      <w:r>
        <w:rPr>
          <w:rFonts w:ascii="仿宋" w:hAnsi="仿宋" w:eastAsia="仿宋" w:cs="仿宋"/>
          <w:bCs/>
          <w:kern w:val="2"/>
          <w:sz w:val="28"/>
          <w:szCs w:val="28"/>
        </w:rPr>
        <w:t>.</w:t>
      </w:r>
      <w:r>
        <w:rPr>
          <w:rFonts w:hint="default" w:ascii="仿宋" w:hAnsi="仿宋" w:eastAsia="仿宋" w:cs="仿宋"/>
          <w:bCs/>
          <w:kern w:val="2"/>
          <w:sz w:val="28"/>
          <w:szCs w:val="28"/>
        </w:rPr>
        <w:t>集团人力资源管控体系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14</w:t>
      </w:r>
      <w:r>
        <w:rPr>
          <w:rFonts w:ascii="仿宋" w:hAnsi="仿宋" w:eastAsia="仿宋" w:cs="仿宋"/>
          <w:bCs/>
          <w:kern w:val="2"/>
          <w:sz w:val="28"/>
          <w:szCs w:val="28"/>
        </w:rPr>
        <w:t>.</w:t>
      </w:r>
      <w:r>
        <w:rPr>
          <w:rFonts w:hint="default" w:ascii="仿宋" w:hAnsi="仿宋" w:eastAsia="仿宋" w:cs="仿宋"/>
          <w:bCs/>
          <w:kern w:val="2"/>
          <w:sz w:val="28"/>
          <w:szCs w:val="28"/>
        </w:rPr>
        <w:t>集团财务管控体系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15</w:t>
      </w:r>
      <w:r>
        <w:rPr>
          <w:rFonts w:ascii="仿宋" w:hAnsi="仿宋" w:eastAsia="仿宋" w:cs="仿宋"/>
          <w:bCs/>
          <w:kern w:val="2"/>
          <w:sz w:val="28"/>
          <w:szCs w:val="28"/>
        </w:rPr>
        <w:t>.</w:t>
      </w:r>
      <w:r>
        <w:rPr>
          <w:rFonts w:hint="default" w:ascii="仿宋" w:hAnsi="仿宋" w:eastAsia="仿宋" w:cs="仿宋"/>
          <w:bCs/>
          <w:kern w:val="2"/>
          <w:sz w:val="28"/>
          <w:szCs w:val="28"/>
        </w:rPr>
        <w:t>业绩管控体系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16</w:t>
      </w:r>
      <w:r>
        <w:rPr>
          <w:rFonts w:ascii="仿宋" w:hAnsi="仿宋" w:eastAsia="仿宋" w:cs="仿宋"/>
          <w:bCs/>
          <w:kern w:val="2"/>
          <w:sz w:val="28"/>
          <w:szCs w:val="28"/>
        </w:rPr>
        <w:t>.</w:t>
      </w:r>
      <w:r>
        <w:rPr>
          <w:rFonts w:hint="default" w:ascii="仿宋" w:hAnsi="仿宋" w:eastAsia="仿宋" w:cs="仿宋"/>
          <w:bCs/>
          <w:kern w:val="2"/>
          <w:sz w:val="28"/>
          <w:szCs w:val="28"/>
        </w:rPr>
        <w:t>风险管控体系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17</w:t>
      </w:r>
      <w:r>
        <w:rPr>
          <w:rFonts w:ascii="仿宋" w:hAnsi="仿宋" w:eastAsia="仿宋" w:cs="仿宋"/>
          <w:bCs/>
          <w:kern w:val="2"/>
          <w:sz w:val="28"/>
          <w:szCs w:val="28"/>
        </w:rPr>
        <w:t>.</w:t>
      </w:r>
      <w:r>
        <w:rPr>
          <w:rFonts w:hint="default" w:ascii="仿宋" w:hAnsi="仿宋" w:eastAsia="仿宋" w:cs="仿宋"/>
          <w:bCs/>
          <w:kern w:val="2"/>
          <w:sz w:val="28"/>
          <w:szCs w:val="28"/>
        </w:rPr>
        <w:t>集团管控操作要点及难点</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六、《关于改革国有企业工资决定机制的意见》解读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工资决定机制主要概念界定</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国资系统如何整体规划打造国企与干部员工的命运共同体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国资委如何推动区域国企工资总额调整机制的建立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企业分类确定工资效益联动指标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国企如何利用一企一策改革个性化确定工资总额形成公式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基于工资总额机制的内部差异化薪酬</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工资分配监管体制</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ascii="黑体" w:hAnsi="黑体" w:eastAsia="黑体" w:cs="楷体"/>
          <w:bCs/>
          <w:kern w:val="2"/>
          <w:sz w:val="28"/>
          <w:szCs w:val="28"/>
        </w:rPr>
        <w:t>七、</w:t>
      </w:r>
      <w:r>
        <w:rPr>
          <w:rFonts w:hint="default" w:ascii="黑体" w:hAnsi="黑体" w:eastAsia="黑体" w:cs="楷体"/>
          <w:bCs/>
          <w:kern w:val="2"/>
          <w:sz w:val="28"/>
          <w:szCs w:val="28"/>
        </w:rPr>
        <w:t>国有企业人才管理机制及薪酬绩效管理体系改革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薪酬体系改革的政策解读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人才流动机制的建立与完善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绩效管理的操作步骤、指标设计及管理模式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国有企业改革中建立以绩效为导向和市场接轨的薪酬体系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绩效考核的难点及解决思路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国企三项制度改革的重点、难点问题解析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 xml:space="preserve"> 三项制度改革的推进策略、实施路径及典型成功案例解析</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八</w:t>
      </w:r>
      <w:r>
        <w:rPr>
          <w:rFonts w:ascii="黑体" w:hAnsi="黑体" w:eastAsia="黑体" w:cs="楷体"/>
          <w:bCs/>
          <w:kern w:val="2"/>
          <w:sz w:val="28"/>
          <w:szCs w:val="28"/>
        </w:rPr>
        <w:t>、</w:t>
      </w:r>
      <w:r>
        <w:rPr>
          <w:rFonts w:hint="default" w:ascii="黑体" w:hAnsi="黑体" w:eastAsia="黑体" w:cs="楷体"/>
          <w:bCs/>
          <w:kern w:val="2"/>
          <w:sz w:val="28"/>
          <w:szCs w:val="28"/>
        </w:rPr>
        <w:t>国企薪酬改革、员工持股与长期激励机制设计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薪酬体系构成与设计原则</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国企薪酬诊断分析与案例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薪酬设计“6+1”</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国企不同级别员工的薪酬构成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股权顶层设计</w:t>
      </w:r>
      <w:r>
        <w:rPr>
          <w:rFonts w:ascii="仿宋" w:hAnsi="仿宋" w:eastAsia="仿宋" w:cs="仿宋"/>
          <w:bCs/>
          <w:kern w:val="2"/>
          <w:sz w:val="28"/>
          <w:szCs w:val="28"/>
        </w:rPr>
        <w:t>—</w:t>
      </w:r>
      <w:r>
        <w:rPr>
          <w:rFonts w:hint="default" w:ascii="仿宋" w:hAnsi="仿宋" w:eastAsia="仿宋" w:cs="仿宋"/>
          <w:bCs/>
          <w:kern w:val="2"/>
          <w:sz w:val="28"/>
          <w:szCs w:val="28"/>
        </w:rPr>
        <w:t>股权治理机制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与薪酬体系匹配的激励方式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股权激励机制的现状与设计模式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8</w:t>
      </w:r>
      <w:r>
        <w:rPr>
          <w:rFonts w:ascii="仿宋" w:hAnsi="仿宋" w:eastAsia="仿宋" w:cs="仿宋"/>
          <w:bCs/>
          <w:kern w:val="2"/>
          <w:sz w:val="28"/>
          <w:szCs w:val="28"/>
        </w:rPr>
        <w:t>.</w:t>
      </w:r>
      <w:r>
        <w:rPr>
          <w:rFonts w:hint="default" w:ascii="仿宋" w:hAnsi="仿宋" w:eastAsia="仿宋" w:cs="仿宋"/>
          <w:bCs/>
          <w:kern w:val="2"/>
          <w:sz w:val="28"/>
          <w:szCs w:val="28"/>
        </w:rPr>
        <w:t>国企长期激励实施的要点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股权激励机制主要操作障碍</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九</w:t>
      </w:r>
      <w:r>
        <w:rPr>
          <w:rFonts w:ascii="黑体" w:hAnsi="黑体" w:eastAsia="黑体" w:cs="楷体"/>
          <w:bCs/>
          <w:kern w:val="2"/>
          <w:sz w:val="28"/>
          <w:szCs w:val="28"/>
        </w:rPr>
        <w:t>、</w:t>
      </w:r>
      <w:r>
        <w:rPr>
          <w:rFonts w:hint="default" w:ascii="黑体" w:hAnsi="黑体" w:eastAsia="黑体" w:cs="楷体"/>
          <w:bCs/>
          <w:kern w:val="2"/>
          <w:sz w:val="28"/>
          <w:szCs w:val="28"/>
        </w:rPr>
        <w:t>国有企业绩效考核方案设计与操作及案例分享</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1.国有企业</w:t>
      </w:r>
      <w:r>
        <w:rPr>
          <w:rFonts w:hint="default" w:ascii="仿宋" w:hAnsi="仿宋" w:eastAsia="仿宋" w:cs="仿宋"/>
          <w:bCs/>
          <w:kern w:val="2"/>
          <w:sz w:val="28"/>
          <w:szCs w:val="28"/>
        </w:rPr>
        <w:t>考核类型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绩效考核的目的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绩效考核的对象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（1）对团体人员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（2）对在岗人员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4.绩效考核的关系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5.考核及兑现方式</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股东会或出资人对董事会（或企业的管理部门）</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董事会对经营层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经营层（经授权）对中层经营管理、技术开发层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w:t>
      </w:r>
      <w:r>
        <w:rPr>
          <w:rFonts w:hint="default" w:ascii="仿宋" w:hAnsi="仿宋" w:eastAsia="仿宋" w:cs="仿宋"/>
          <w:bCs/>
          <w:kern w:val="2"/>
          <w:sz w:val="28"/>
          <w:szCs w:val="28"/>
        </w:rPr>
        <w:t>经营管理（被授权）对操作层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绩效考核指标的选择</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w:t>
      </w:r>
      <w:r>
        <w:rPr>
          <w:rFonts w:hint="default" w:ascii="仿宋" w:hAnsi="仿宋" w:eastAsia="仿宋" w:cs="仿宋"/>
          <w:bCs/>
          <w:kern w:val="2"/>
          <w:sz w:val="28"/>
          <w:szCs w:val="28"/>
        </w:rPr>
        <w:t>对经营管理层</w:t>
      </w:r>
      <w:r>
        <w:rPr>
          <w:rFonts w:ascii="仿宋" w:hAnsi="仿宋" w:eastAsia="仿宋" w:cs="仿宋"/>
          <w:bCs/>
          <w:kern w:val="2"/>
          <w:sz w:val="28"/>
          <w:szCs w:val="28"/>
        </w:rPr>
        <w:t>绩效考核指标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w:t>
      </w:r>
      <w:r>
        <w:rPr>
          <w:rFonts w:hint="default" w:ascii="仿宋" w:hAnsi="仿宋" w:eastAsia="仿宋" w:cs="仿宋"/>
          <w:bCs/>
          <w:kern w:val="2"/>
          <w:sz w:val="28"/>
          <w:szCs w:val="28"/>
        </w:rPr>
        <w:t>经营管理层对一般经营管理及技术开发人员</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w:t>
      </w:r>
      <w:r>
        <w:rPr>
          <w:rFonts w:hint="default" w:ascii="仿宋" w:hAnsi="仿宋" w:eastAsia="仿宋" w:cs="仿宋"/>
          <w:bCs/>
          <w:kern w:val="2"/>
          <w:sz w:val="28"/>
          <w:szCs w:val="28"/>
        </w:rPr>
        <w:t>经营管理对一般操作层</w:t>
      </w:r>
      <w:r>
        <w:rPr>
          <w:rFonts w:ascii="仿宋" w:hAnsi="仿宋" w:eastAsia="仿宋" w:cs="仿宋"/>
          <w:bCs/>
          <w:kern w:val="2"/>
          <w:sz w:val="28"/>
          <w:szCs w:val="28"/>
        </w:rPr>
        <w:t>考核指标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7.经营管理（含技术人员）人员劳动量化考核标准的设计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8.经营管理（技术）岗位工作定性考核办法的设计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9</w:t>
      </w:r>
      <w:r>
        <w:rPr>
          <w:rFonts w:ascii="仿宋" w:hAnsi="仿宋" w:eastAsia="仿宋" w:cs="仿宋"/>
          <w:bCs/>
          <w:kern w:val="2"/>
          <w:sz w:val="28"/>
          <w:szCs w:val="28"/>
        </w:rPr>
        <w:t>.</w:t>
      </w:r>
      <w:r>
        <w:rPr>
          <w:rFonts w:hint="default" w:ascii="仿宋" w:hAnsi="仿宋" w:eastAsia="仿宋" w:cs="仿宋"/>
          <w:bCs/>
          <w:kern w:val="2"/>
          <w:sz w:val="28"/>
          <w:szCs w:val="28"/>
        </w:rPr>
        <w:t>国企绩效考核应当注意的几个问题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10</w:t>
      </w:r>
      <w:r>
        <w:rPr>
          <w:rFonts w:ascii="仿宋" w:hAnsi="仿宋" w:eastAsia="仿宋" w:cs="仿宋"/>
          <w:bCs/>
          <w:kern w:val="2"/>
          <w:sz w:val="28"/>
          <w:szCs w:val="28"/>
        </w:rPr>
        <w:t>.</w:t>
      </w:r>
      <w:r>
        <w:rPr>
          <w:rFonts w:hint="default" w:ascii="仿宋" w:hAnsi="仿宋" w:eastAsia="仿宋" w:cs="仿宋"/>
          <w:bCs/>
          <w:kern w:val="2"/>
          <w:sz w:val="28"/>
          <w:szCs w:val="28"/>
        </w:rPr>
        <w:t>考核实战技巧及方案分析</w:t>
      </w:r>
    </w:p>
    <w:p>
      <w:pPr>
        <w:autoSpaceDE/>
        <w:autoSpaceDN/>
        <w:adjustRightInd/>
        <w:spacing w:line="280" w:lineRule="exact"/>
        <w:ind w:firstLine="548" w:firstLineChars="196"/>
        <w:jc w:val="both"/>
        <w:rPr>
          <w:rFonts w:hint="default" w:ascii="黑体" w:hAnsi="黑体" w:eastAsia="黑体" w:cs="楷体"/>
          <w:bCs/>
          <w:kern w:val="2"/>
          <w:sz w:val="28"/>
          <w:szCs w:val="28"/>
        </w:rPr>
      </w:pPr>
      <w:r>
        <w:rPr>
          <w:rFonts w:hint="default" w:ascii="黑体" w:hAnsi="黑体" w:eastAsia="黑体" w:cs="楷体"/>
          <w:bCs/>
          <w:kern w:val="2"/>
          <w:sz w:val="28"/>
          <w:szCs w:val="28"/>
        </w:rPr>
        <w:t>十</w:t>
      </w:r>
      <w:r>
        <w:rPr>
          <w:rFonts w:ascii="黑体" w:hAnsi="黑体" w:eastAsia="黑体" w:cs="楷体"/>
          <w:bCs/>
          <w:kern w:val="2"/>
          <w:sz w:val="28"/>
          <w:szCs w:val="28"/>
        </w:rPr>
        <w:t>、</w:t>
      </w:r>
      <w:r>
        <w:rPr>
          <w:rFonts w:hint="default" w:ascii="黑体" w:hAnsi="黑体" w:eastAsia="黑体" w:cs="楷体"/>
          <w:bCs/>
          <w:kern w:val="2"/>
          <w:sz w:val="28"/>
          <w:szCs w:val="28"/>
        </w:rPr>
        <w:t>国企混改中员工持股、股权和分红激励的操作要点及实战技术</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1.国企职工持股的经验教训总结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2.不同类型国企推行骨干职工持股的操作模式及可借鉴的典型案例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3.职工持股的可选载体及其适用性、利弊分析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4.国企混改中预留股权的操作方法与技巧 </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5.目前尚不符合职工持股试点意见所要求条件的国企，如何创新设计改革方式和操作路径，依法依规分步推进混改和职工持股工作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w:t>
      </w:r>
      <w:r>
        <w:rPr>
          <w:rFonts w:hint="default" w:ascii="仿宋" w:hAnsi="仿宋" w:eastAsia="仿宋" w:cs="仿宋"/>
          <w:bCs/>
          <w:kern w:val="2"/>
          <w:sz w:val="28"/>
          <w:szCs w:val="28"/>
        </w:rPr>
        <w:t xml:space="preserve">股权和分红激励的政策解读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7.股权和分红激励的适用范围、操作模式及可借鉴的典型案例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8.职工持股方案、股权和分红激励方案设计及实施疑难问题处</w:t>
      </w:r>
      <w:r>
        <w:rPr>
          <w:rFonts w:hint="default" w:ascii="仿宋" w:hAnsi="仿宋" w:eastAsia="仿宋" w:cs="仿宋"/>
          <w:bCs/>
          <w:kern w:val="2"/>
          <w:sz w:val="28"/>
          <w:szCs w:val="28"/>
        </w:rPr>
        <w:t xml:space="preserve">理 </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十一</w:t>
      </w:r>
      <w:r>
        <w:rPr>
          <w:rFonts w:ascii="黑体" w:hAnsi="黑体" w:eastAsia="黑体" w:cs="楷体"/>
          <w:bCs/>
          <w:kern w:val="2"/>
          <w:sz w:val="28"/>
          <w:szCs w:val="28"/>
        </w:rPr>
        <w:t>、</w:t>
      </w:r>
      <w:r>
        <w:rPr>
          <w:rFonts w:hint="default" w:ascii="黑体" w:hAnsi="黑体" w:eastAsia="黑体" w:cs="楷体"/>
          <w:bCs/>
          <w:kern w:val="2"/>
          <w:sz w:val="28"/>
          <w:szCs w:val="28"/>
        </w:rPr>
        <w:t>国企改革中的职工安置实务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国企改革所涉及的职工安置与劳动关系处理政策解析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不同国企改革类型职工安置要点、焦点难点问题的解决方式详解</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十二</w:t>
      </w:r>
      <w:r>
        <w:rPr>
          <w:rFonts w:ascii="黑体" w:hAnsi="黑体" w:eastAsia="黑体" w:cs="楷体"/>
          <w:bCs/>
          <w:kern w:val="2"/>
          <w:sz w:val="28"/>
          <w:szCs w:val="28"/>
        </w:rPr>
        <w:t>、</w:t>
      </w:r>
      <w:r>
        <w:rPr>
          <w:rFonts w:hint="default" w:ascii="黑体" w:hAnsi="黑体" w:eastAsia="黑体" w:cs="楷体"/>
          <w:bCs/>
          <w:kern w:val="2"/>
          <w:sz w:val="28"/>
          <w:szCs w:val="28"/>
        </w:rPr>
        <w:t xml:space="preserve"> 市场化选聘经营管理者与职业经理人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1</w:t>
      </w:r>
      <w:r>
        <w:rPr>
          <w:rFonts w:ascii="仿宋" w:hAnsi="仿宋" w:eastAsia="仿宋" w:cs="仿宋"/>
          <w:bCs/>
          <w:kern w:val="2"/>
          <w:sz w:val="28"/>
          <w:szCs w:val="28"/>
        </w:rPr>
        <w:t>.</w:t>
      </w:r>
      <w:r>
        <w:rPr>
          <w:rFonts w:hint="default" w:ascii="仿宋" w:hAnsi="仿宋" w:eastAsia="仿宋" w:cs="仿宋"/>
          <w:bCs/>
          <w:kern w:val="2"/>
          <w:sz w:val="28"/>
          <w:szCs w:val="28"/>
        </w:rPr>
        <w:t>《关于开展市场化选聘和管理国有企业经营管理者试点工作的意见》解读</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hint="default" w:ascii="仿宋" w:hAnsi="仿宋" w:eastAsia="仿宋" w:cs="仿宋"/>
          <w:bCs/>
          <w:kern w:val="2"/>
          <w:sz w:val="28"/>
          <w:szCs w:val="28"/>
        </w:rPr>
        <w:t>2</w:t>
      </w:r>
      <w:r>
        <w:rPr>
          <w:rFonts w:ascii="仿宋" w:hAnsi="仿宋" w:eastAsia="仿宋" w:cs="仿宋"/>
          <w:bCs/>
          <w:kern w:val="2"/>
          <w:sz w:val="28"/>
          <w:szCs w:val="28"/>
        </w:rPr>
        <w:t>.</w:t>
      </w:r>
      <w:r>
        <w:rPr>
          <w:rFonts w:hint="default" w:ascii="仿宋" w:hAnsi="仿宋" w:eastAsia="仿宋" w:cs="仿宋"/>
          <w:bCs/>
          <w:kern w:val="2"/>
          <w:sz w:val="28"/>
          <w:szCs w:val="28"/>
        </w:rPr>
        <w:t>《“双百企业”推行经理层成员任期制和契约化管理操作指引》和《“双百企业”推行职业经理人制度操作指引》解读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w:t>
      </w:r>
      <w:r>
        <w:rPr>
          <w:rFonts w:hint="default" w:ascii="仿宋" w:hAnsi="仿宋" w:eastAsia="仿宋" w:cs="仿宋"/>
          <w:bCs/>
          <w:kern w:val="2"/>
          <w:sz w:val="28"/>
          <w:szCs w:val="28"/>
        </w:rPr>
        <w:t xml:space="preserve">市场化选聘模式分析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w:t>
      </w:r>
      <w:r>
        <w:rPr>
          <w:rFonts w:hint="default" w:ascii="仿宋" w:hAnsi="仿宋" w:eastAsia="仿宋" w:cs="仿宋"/>
          <w:bCs/>
          <w:kern w:val="2"/>
          <w:sz w:val="28"/>
          <w:szCs w:val="28"/>
        </w:rPr>
        <w:t>推行职业经理人制度的总体要求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5</w:t>
      </w:r>
      <w:r>
        <w:rPr>
          <w:rFonts w:ascii="仿宋" w:hAnsi="仿宋" w:eastAsia="仿宋" w:cs="仿宋"/>
          <w:bCs/>
          <w:kern w:val="2"/>
          <w:sz w:val="28"/>
          <w:szCs w:val="28"/>
        </w:rPr>
        <w:t>.</w:t>
      </w:r>
      <w:r>
        <w:rPr>
          <w:rFonts w:hint="default" w:ascii="仿宋" w:hAnsi="仿宋" w:eastAsia="仿宋" w:cs="仿宋"/>
          <w:bCs/>
          <w:kern w:val="2"/>
          <w:sz w:val="28"/>
          <w:szCs w:val="28"/>
        </w:rPr>
        <w:t>职业经理人制度体系建设与实施的经验借鉴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6</w:t>
      </w:r>
      <w:r>
        <w:rPr>
          <w:rFonts w:ascii="仿宋" w:hAnsi="仿宋" w:eastAsia="仿宋" w:cs="仿宋"/>
          <w:bCs/>
          <w:kern w:val="2"/>
          <w:sz w:val="28"/>
          <w:szCs w:val="28"/>
        </w:rPr>
        <w:t>.</w:t>
      </w:r>
      <w:r>
        <w:rPr>
          <w:rFonts w:hint="default" w:ascii="仿宋" w:hAnsi="仿宋" w:eastAsia="仿宋" w:cs="仿宋"/>
          <w:bCs/>
          <w:kern w:val="2"/>
          <w:sz w:val="28"/>
          <w:szCs w:val="28"/>
        </w:rPr>
        <w:t>职业经理人制度与国企党建的重要工作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hint="default" w:ascii="仿宋" w:hAnsi="仿宋" w:eastAsia="仿宋" w:cs="仿宋"/>
          <w:bCs/>
          <w:kern w:val="2"/>
          <w:sz w:val="28"/>
          <w:szCs w:val="28"/>
        </w:rPr>
        <w:t>7</w:t>
      </w:r>
      <w:r>
        <w:rPr>
          <w:rFonts w:ascii="仿宋" w:hAnsi="仿宋" w:eastAsia="仿宋" w:cs="仿宋"/>
          <w:bCs/>
          <w:kern w:val="2"/>
          <w:sz w:val="28"/>
          <w:szCs w:val="28"/>
        </w:rPr>
        <w:t>.</w:t>
      </w:r>
      <w:r>
        <w:rPr>
          <w:rFonts w:hint="default" w:ascii="仿宋" w:hAnsi="仿宋" w:eastAsia="仿宋" w:cs="仿宋"/>
          <w:bCs/>
          <w:kern w:val="2"/>
          <w:sz w:val="28"/>
          <w:szCs w:val="28"/>
        </w:rPr>
        <w:t>案例分析:职业经理人选聘、薪酬机制模式</w:t>
      </w:r>
    </w:p>
    <w:p>
      <w:pPr>
        <w:autoSpaceDE/>
        <w:autoSpaceDN/>
        <w:adjustRightInd/>
        <w:spacing w:line="280" w:lineRule="exact"/>
        <w:ind w:firstLine="560" w:firstLineChars="200"/>
        <w:jc w:val="both"/>
        <w:rPr>
          <w:rFonts w:hint="default" w:ascii="黑体" w:hAnsi="黑体" w:eastAsia="黑体" w:cs="楷体"/>
          <w:bCs/>
          <w:kern w:val="2"/>
          <w:sz w:val="28"/>
          <w:szCs w:val="28"/>
        </w:rPr>
      </w:pPr>
      <w:r>
        <w:rPr>
          <w:rFonts w:hint="default" w:ascii="黑体" w:hAnsi="黑体" w:eastAsia="黑体" w:cs="楷体"/>
          <w:bCs/>
          <w:kern w:val="2"/>
          <w:sz w:val="28"/>
          <w:szCs w:val="28"/>
        </w:rPr>
        <w:t>十三</w:t>
      </w:r>
      <w:r>
        <w:rPr>
          <w:rFonts w:ascii="黑体" w:hAnsi="黑体" w:eastAsia="黑体" w:cs="楷体"/>
          <w:bCs/>
          <w:kern w:val="2"/>
          <w:sz w:val="28"/>
          <w:szCs w:val="28"/>
        </w:rPr>
        <w:t>、</w:t>
      </w:r>
      <w:r>
        <w:rPr>
          <w:rFonts w:hint="default" w:ascii="黑体" w:hAnsi="黑体" w:eastAsia="黑体" w:cs="楷体"/>
          <w:bCs/>
          <w:kern w:val="2"/>
          <w:sz w:val="28"/>
          <w:szCs w:val="28"/>
        </w:rPr>
        <w:t xml:space="preserve">公司治理的变革与升级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1.《关于进一步完善国有企业法人治理结构的指导意见》解读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2.混合所有制企业公司治理的难点问题及解决之道</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3.混合所有制企业商业化、可持续的公司治理结构构建</w:t>
      </w:r>
    </w:p>
    <w:p>
      <w:pPr>
        <w:autoSpaceDE/>
        <w:autoSpaceDN/>
        <w:adjustRightInd/>
        <w:spacing w:line="280" w:lineRule="exact"/>
        <w:ind w:left="837" w:leftChars="232"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4.建立“加强党的领导、落实董事会职权和构建市场化机制充分统一”的管理机制</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5.企业长期可持续发展与“治理结构竞争力”打造</w:t>
      </w:r>
    </w:p>
    <w:p>
      <w:pPr>
        <w:autoSpaceDE/>
        <w:autoSpaceDN/>
        <w:adjustRightInd/>
        <w:spacing w:line="280" w:lineRule="exact"/>
        <w:ind w:left="1397" w:leftChars="232" w:hanging="840" w:hangingChars="300"/>
        <w:jc w:val="both"/>
        <w:rPr>
          <w:rFonts w:hint="default" w:ascii="黑体" w:hAnsi="黑体" w:eastAsia="黑体" w:cs="楷体"/>
          <w:bCs/>
          <w:kern w:val="2"/>
          <w:sz w:val="28"/>
          <w:szCs w:val="28"/>
        </w:rPr>
      </w:pPr>
      <w:r>
        <w:rPr>
          <w:rFonts w:hint="default" w:ascii="黑体" w:hAnsi="黑体" w:eastAsia="黑体" w:cs="楷体"/>
          <w:bCs/>
          <w:kern w:val="2"/>
          <w:sz w:val="28"/>
          <w:szCs w:val="28"/>
        </w:rPr>
        <w:t>十四</w:t>
      </w:r>
      <w:r>
        <w:rPr>
          <w:rFonts w:ascii="黑体" w:hAnsi="黑体" w:eastAsia="黑体" w:cs="楷体"/>
          <w:bCs/>
          <w:kern w:val="2"/>
          <w:sz w:val="28"/>
          <w:szCs w:val="28"/>
        </w:rPr>
        <w:t>、</w:t>
      </w:r>
      <w:r>
        <w:rPr>
          <w:rFonts w:hint="default" w:ascii="黑体" w:hAnsi="黑体" w:eastAsia="黑体" w:cs="楷体"/>
          <w:bCs/>
          <w:kern w:val="2"/>
          <w:sz w:val="28"/>
          <w:szCs w:val="28"/>
        </w:rPr>
        <w:t>国企与民资双向混改和并购的资本运营政策、实操、工具运用案例分析</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1.参与混改并购的背景分析及资本市场混改3.0模式要点解读</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2.资本市场视角下混改中的重点问题及案例分析—盛宴或鸿门宴</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（1）混资本阶段标的企业的选择要点及国有资本的诉求</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（2）合规解决《关于国有控股混合所有制企业开展员工持股试点的意见》</w:t>
      </w:r>
      <w:r>
        <w:rPr>
          <w:rFonts w:hint="default" w:ascii="仿宋" w:hAnsi="仿宋" w:eastAsia="仿宋" w:cs="仿宋"/>
          <w:bCs/>
          <w:kern w:val="2"/>
          <w:sz w:val="28"/>
          <w:szCs w:val="28"/>
        </w:rPr>
        <w:t>（国资发改革〔2016〕133号）</w:t>
      </w:r>
      <w:r>
        <w:rPr>
          <w:rFonts w:ascii="仿宋" w:hAnsi="仿宋" w:eastAsia="仿宋" w:cs="仿宋"/>
          <w:bCs/>
          <w:kern w:val="2"/>
          <w:sz w:val="28"/>
          <w:szCs w:val="28"/>
        </w:rPr>
        <w:t>中提出的员工持股的众多限制性问题</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（3）混改的权利分配—改机制阶段如何合理处置实际控制权的争议问题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（4）混改主导机构的决策风险及应对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（5）国企经营特质不同的风险及应对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（6）国企混改手段目的的风险及应对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（7）国资产值论与民资利润论融合机制的合理安排问题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（8）混改退出方式特点及安排的要点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（9）对国资受限尽调的风险及应对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（10）人才IPO对混改控制型溢价的影响</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（11）防止业绩变脸—管理团队稳定性处理的建议</w:t>
      </w:r>
    </w:p>
    <w:p>
      <w:pPr>
        <w:autoSpaceDE/>
        <w:autoSpaceDN/>
        <w:adjustRightInd/>
        <w:spacing w:line="280" w:lineRule="exact"/>
        <w:ind w:left="1397" w:leftChars="232" w:hanging="840" w:hangingChars="300"/>
        <w:jc w:val="both"/>
        <w:rPr>
          <w:rFonts w:hint="default" w:ascii="仿宋" w:hAnsi="仿宋" w:eastAsia="仿宋" w:cs="仿宋"/>
          <w:bCs/>
          <w:kern w:val="2"/>
          <w:sz w:val="28"/>
          <w:szCs w:val="28"/>
        </w:rPr>
      </w:pPr>
      <w:r>
        <w:rPr>
          <w:rFonts w:ascii="仿宋" w:hAnsi="仿宋" w:eastAsia="仿宋" w:cs="仿宋"/>
          <w:bCs/>
          <w:kern w:val="2"/>
          <w:sz w:val="28"/>
          <w:szCs w:val="28"/>
        </w:rPr>
        <w:t>（12）混改股权架构设计—管理层收购或管理层控制的对比与合规性安排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（13）国有资产流失的责任、风险及应对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3.资本市场视角下国有资本参与并购重组与混改实操（逆向混改）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（1）IPO注册制以后上市公司的压力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（2）上市公司控股权/股权转让的特殊规定</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（3）国有资本的主动出击：借壳上市、收购上市公司、上市公司二股东、并购重组非上市公司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（4）国有资本收购上市公司控股权的特殊考虑</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（5）国有资本参与下的产业整合与纾困</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（6）逆向混改上市公司—平台公司转型发展的新阶段 </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（7）地方国资企业并购上市公司标的之筛选建议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w:t>
      </w:r>
      <w:r>
        <w:rPr>
          <w:rFonts w:hint="default" w:ascii="仿宋" w:hAnsi="仿宋" w:eastAsia="仿宋" w:cs="仿宋"/>
          <w:bCs/>
          <w:kern w:val="2"/>
          <w:sz w:val="28"/>
          <w:szCs w:val="28"/>
        </w:rPr>
        <w:t>）</w:t>
      </w:r>
      <w:r>
        <w:rPr>
          <w:rFonts w:ascii="仿宋" w:hAnsi="仿宋" w:eastAsia="仿宋" w:cs="仿宋"/>
          <w:bCs/>
          <w:kern w:val="2"/>
          <w:sz w:val="28"/>
          <w:szCs w:val="28"/>
        </w:rPr>
        <w:t>地方国资企业并购上市公司的后续整合</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（9）结构性机会捕获—逆向混改非上市公司</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（10）员工持股（限制、入股方式、减持要求）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4.资本市场视角下民资参与混改的模式及相关问题应对（正向混改）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（1）参与国企混改的模式：非上市公司混改、上市公司混改、并购</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（2）参与国企产权转让的相关要求及操作要点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（3）参与国企增资扩股的相关要求及操作要点</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（4）进场挂牌前需要完成工作</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（5）民资收购参股国有上市公司—国有上市公司的压力及动力</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（6）民资收购参股国有上市公司—国有上市公司转让规定配套安排</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（7）参与国企混改的资本市场退出路径</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 xml:space="preserve">5.上市公司层面混改下的并购重组方案设计、资金结构设计及代表    </w:t>
      </w:r>
    </w:p>
    <w:p>
      <w:pPr>
        <w:autoSpaceDE/>
        <w:autoSpaceDN/>
        <w:adjustRightInd/>
        <w:spacing w:line="280" w:lineRule="exact"/>
        <w:ind w:left="976" w:leftChars="290" w:hanging="280" w:hangingChars="100"/>
        <w:jc w:val="both"/>
        <w:rPr>
          <w:rFonts w:hint="default" w:ascii="仿宋" w:hAnsi="仿宋" w:eastAsia="仿宋" w:cs="仿宋"/>
          <w:bCs/>
          <w:kern w:val="2"/>
          <w:sz w:val="28"/>
          <w:szCs w:val="28"/>
        </w:rPr>
      </w:pPr>
      <w:r>
        <w:rPr>
          <w:rFonts w:ascii="仿宋" w:hAnsi="仿宋" w:eastAsia="仿宋" w:cs="仿宋"/>
          <w:bCs/>
          <w:kern w:val="2"/>
          <w:sz w:val="28"/>
          <w:szCs w:val="28"/>
        </w:rPr>
        <w:t xml:space="preserve">   性案例</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（1）构建立体化全要素的方案设计</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（2）标的估值作价安排—重视历史、差异及国资的特殊要求</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（3）如何选择支付—退出周期、预期判断、纳税及结合支付</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（4）业绩承诺与补偿</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（5）何时停牌—交易核心条款具备</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（6）并购前期的资金安排--资方对标的企业的介入</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（7）并购中的配套融资发行方式、额度及使用—再融资新规对混改中配套融资的深度影响（是否会形成第二次并购浪潮）</w:t>
      </w:r>
    </w:p>
    <w:p>
      <w:pPr>
        <w:autoSpaceDE/>
        <w:autoSpaceDN/>
        <w:adjustRightInd/>
        <w:spacing w:line="280" w:lineRule="exact"/>
        <w:ind w:firstLine="560" w:firstLineChars="200"/>
        <w:jc w:val="both"/>
        <w:rPr>
          <w:rFonts w:hint="default" w:ascii="仿宋" w:hAnsi="仿宋" w:eastAsia="仿宋" w:cs="仿宋"/>
          <w:bCs/>
          <w:kern w:val="2"/>
          <w:sz w:val="28"/>
          <w:szCs w:val="28"/>
        </w:rPr>
      </w:pPr>
      <w:r>
        <w:rPr>
          <w:rFonts w:ascii="仿宋" w:hAnsi="仿宋" w:eastAsia="仿宋" w:cs="仿宋"/>
          <w:bCs/>
          <w:kern w:val="2"/>
          <w:sz w:val="28"/>
          <w:szCs w:val="28"/>
        </w:rPr>
        <w:t>（8）并购中的配套融资牵扯的控制权变更认定标准</w:t>
      </w:r>
    </w:p>
    <w:p>
      <w:pPr>
        <w:autoSpaceDE/>
        <w:autoSpaceDN/>
        <w:adjustRightInd/>
        <w:spacing w:line="280" w:lineRule="exact"/>
        <w:ind w:left="1257" w:leftChars="232" w:hanging="700" w:hangingChars="250"/>
        <w:jc w:val="both"/>
        <w:rPr>
          <w:rFonts w:hint="default" w:ascii="仿宋" w:hAnsi="仿宋" w:eastAsia="仿宋" w:cs="仿宋"/>
          <w:bCs/>
          <w:kern w:val="2"/>
          <w:sz w:val="28"/>
          <w:szCs w:val="28"/>
        </w:rPr>
      </w:pPr>
      <w:r>
        <w:rPr>
          <w:rFonts w:ascii="仿宋" w:hAnsi="仿宋" w:eastAsia="仿宋" w:cs="仿宋"/>
          <w:bCs/>
          <w:kern w:val="2"/>
          <w:sz w:val="28"/>
          <w:szCs w:val="28"/>
        </w:rPr>
        <w:t>（9）并购中的资金支持--资金对并购方的介入（配套融资及参与型并购、控制型并购）</w:t>
      </w:r>
    </w:p>
    <w:p>
      <w:pPr>
        <w:widowControl/>
        <w:autoSpaceDE/>
        <w:autoSpaceDN/>
        <w:spacing w:line="360" w:lineRule="exact"/>
        <w:jc w:val="both"/>
        <w:rPr>
          <w:rStyle w:val="10"/>
          <w:rFonts w:hint="default" w:ascii="黑体" w:hAnsi="黑体" w:eastAsia="黑体" w:cs="黑体"/>
          <w:b w:val="0"/>
          <w:bCs w:val="0"/>
          <w:color w:val="000000"/>
          <w:sz w:val="28"/>
          <w:szCs w:val="28"/>
        </w:rPr>
      </w:pPr>
    </w:p>
    <w:p>
      <w:pPr>
        <w:widowControl/>
        <w:autoSpaceDE/>
        <w:autoSpaceDN/>
        <w:spacing w:line="360" w:lineRule="exact"/>
        <w:jc w:val="both"/>
        <w:rPr>
          <w:rStyle w:val="10"/>
          <w:rFonts w:ascii="黑体" w:hAnsi="黑体" w:eastAsia="黑体" w:cs="黑体"/>
          <w:b w:val="0"/>
          <w:bCs w:val="0"/>
          <w:color w:val="000000"/>
          <w:sz w:val="28"/>
          <w:szCs w:val="28"/>
        </w:rPr>
      </w:pPr>
    </w:p>
    <w:p>
      <w:pPr>
        <w:widowControl/>
        <w:autoSpaceDE/>
        <w:autoSpaceDN/>
        <w:spacing w:line="360" w:lineRule="exact"/>
        <w:jc w:val="both"/>
        <w:rPr>
          <w:rStyle w:val="10"/>
          <w:rFonts w:hint="default" w:ascii="黑体" w:hAnsi="黑体" w:eastAsia="黑体" w:cs="黑体"/>
          <w:b w:val="0"/>
          <w:bCs w:val="0"/>
          <w:color w:val="000000"/>
          <w:sz w:val="28"/>
          <w:szCs w:val="28"/>
        </w:rPr>
      </w:pPr>
      <w:r>
        <w:rPr>
          <w:rStyle w:val="10"/>
          <w:rFonts w:ascii="黑体" w:hAnsi="黑体" w:eastAsia="黑体" w:cs="黑体"/>
          <w:b w:val="0"/>
          <w:bCs w:val="0"/>
          <w:color w:val="000000"/>
          <w:sz w:val="28"/>
          <w:szCs w:val="28"/>
        </w:rPr>
        <w:t>附件：2</w:t>
      </w:r>
    </w:p>
    <w:p>
      <w:pPr>
        <w:widowControl/>
        <w:autoSpaceDE/>
        <w:autoSpaceDN/>
        <w:spacing w:line="360" w:lineRule="exact"/>
        <w:jc w:val="center"/>
        <w:rPr>
          <w:rStyle w:val="10"/>
          <w:rFonts w:hint="default" w:cs="宋体"/>
          <w:b w:val="0"/>
          <w:bCs w:val="0"/>
          <w:color w:val="000000"/>
          <w:sz w:val="28"/>
          <w:szCs w:val="28"/>
        </w:rPr>
      </w:pPr>
    </w:p>
    <w:p>
      <w:pPr>
        <w:autoSpaceDE/>
        <w:autoSpaceDN/>
        <w:adjustRightInd/>
        <w:spacing w:line="440" w:lineRule="exact"/>
        <w:jc w:val="center"/>
        <w:rPr>
          <w:rFonts w:hint="default" w:cs="宋体"/>
          <w:b/>
          <w:bCs/>
          <w:kern w:val="2"/>
          <w:sz w:val="32"/>
          <w:szCs w:val="32"/>
        </w:rPr>
      </w:pPr>
      <w:r>
        <w:rPr>
          <w:rFonts w:cs="宋体"/>
          <w:b/>
          <w:bCs/>
          <w:kern w:val="2"/>
          <w:sz w:val="32"/>
          <w:szCs w:val="32"/>
        </w:rPr>
        <w:t xml:space="preserve">国企混改方案设计暨战略规划 现代企业制度建设 员工持股 </w:t>
      </w:r>
    </w:p>
    <w:p>
      <w:pPr>
        <w:autoSpaceDE/>
        <w:autoSpaceDN/>
        <w:adjustRightInd/>
        <w:spacing w:line="440" w:lineRule="exact"/>
        <w:jc w:val="center"/>
        <w:rPr>
          <w:rFonts w:hint="default" w:cs="宋体"/>
          <w:b/>
          <w:bCs/>
          <w:kern w:val="2"/>
          <w:sz w:val="32"/>
          <w:szCs w:val="32"/>
        </w:rPr>
      </w:pPr>
      <w:r>
        <w:rPr>
          <w:rFonts w:cs="宋体"/>
          <w:b/>
          <w:bCs/>
          <w:kern w:val="2"/>
          <w:sz w:val="32"/>
          <w:szCs w:val="32"/>
        </w:rPr>
        <w:t>激励政策及资本运营实务培训班报名回执表</w:t>
      </w:r>
    </w:p>
    <w:p>
      <w:pPr>
        <w:widowControl/>
        <w:autoSpaceDE/>
        <w:autoSpaceDN/>
        <w:spacing w:line="360" w:lineRule="exact"/>
        <w:jc w:val="right"/>
        <w:rPr>
          <w:rStyle w:val="10"/>
          <w:rFonts w:hint="default" w:ascii="黑体" w:hAnsi="黑体" w:eastAsia="黑体" w:cs="黑体"/>
          <w:b w:val="0"/>
          <w:bCs w:val="0"/>
          <w:color w:val="000000"/>
          <w:sz w:val="28"/>
          <w:szCs w:val="28"/>
        </w:rPr>
      </w:pPr>
    </w:p>
    <w:tbl>
      <w:tblPr>
        <w:tblStyle w:val="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4"/>
        <w:gridCol w:w="1987"/>
        <w:gridCol w:w="157"/>
        <w:gridCol w:w="688"/>
        <w:gridCol w:w="53"/>
        <w:gridCol w:w="798"/>
        <w:gridCol w:w="2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单位名称</w:t>
            </w:r>
          </w:p>
        </w:tc>
        <w:tc>
          <w:tcPr>
            <w:tcW w:w="4966"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p>
        </w:tc>
        <w:tc>
          <w:tcPr>
            <w:tcW w:w="851"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r>
              <w:rPr>
                <w:rFonts w:ascii="仿宋_GB2312" w:hAnsi="Times New Roman" w:eastAsia="仿宋_GB2312"/>
                <w:kern w:val="2"/>
                <w:szCs w:val="22"/>
              </w:rPr>
              <w:t>邮编</w:t>
            </w:r>
          </w:p>
        </w:tc>
        <w:tc>
          <w:tcPr>
            <w:tcW w:w="2278" w:type="dxa"/>
            <w:gridSpan w:val="2"/>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单位地址</w:t>
            </w:r>
          </w:p>
        </w:tc>
        <w:tc>
          <w:tcPr>
            <w:tcW w:w="8095" w:type="dxa"/>
            <w:gridSpan w:val="9"/>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联系人</w:t>
            </w:r>
          </w:p>
        </w:tc>
        <w:tc>
          <w:tcPr>
            <w:tcW w:w="2134" w:type="dxa"/>
            <w:gridSpan w:val="2"/>
            <w:vAlign w:val="center"/>
          </w:tcPr>
          <w:p>
            <w:pPr>
              <w:autoSpaceDE/>
              <w:autoSpaceDN/>
              <w:adjustRightInd/>
              <w:spacing w:line="360" w:lineRule="exact"/>
              <w:ind w:right="-168" w:rightChars="-70" w:firstLine="96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职位/岗位</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办公电话</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    机</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传   真</w:t>
            </w:r>
          </w:p>
        </w:tc>
        <w:tc>
          <w:tcPr>
            <w:tcW w:w="213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2885" w:type="dxa"/>
            <w:gridSpan w:val="4"/>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电子信箱</w:t>
            </w:r>
          </w:p>
        </w:tc>
        <w:tc>
          <w:tcPr>
            <w:tcW w:w="3076" w:type="dxa"/>
            <w:gridSpan w:val="3"/>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5"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参加培训人员</w:t>
            </w:r>
          </w:p>
        </w:tc>
        <w:tc>
          <w:tcPr>
            <w:tcW w:w="850"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性别</w:t>
            </w:r>
          </w:p>
        </w:tc>
        <w:tc>
          <w:tcPr>
            <w:tcW w:w="1284"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职务</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电话</w:t>
            </w:r>
          </w:p>
        </w:tc>
        <w:tc>
          <w:tcPr>
            <w:tcW w:w="1987"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手机</w:t>
            </w:r>
          </w:p>
        </w:tc>
        <w:tc>
          <w:tcPr>
            <w:tcW w:w="1987"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66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50"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7"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4" w:hRule="atLeast"/>
        </w:trPr>
        <w:tc>
          <w:tcPr>
            <w:tcW w:w="1665" w:type="dxa"/>
            <w:vAlign w:val="center"/>
          </w:tcPr>
          <w:p>
            <w:pPr>
              <w:autoSpaceDE/>
              <w:autoSpaceDN/>
              <w:adjustRightInd/>
              <w:spacing w:line="360" w:lineRule="exact"/>
              <w:ind w:right="-168" w:rightChars="-70" w:firstLine="240" w:firstLineChars="100"/>
              <w:rPr>
                <w:rFonts w:hint="default" w:ascii="仿宋_GB2312" w:hAnsi="Times New Roman" w:eastAsia="仿宋_GB2312"/>
                <w:color w:val="FF0000"/>
                <w:kern w:val="2"/>
                <w:szCs w:val="22"/>
              </w:rPr>
            </w:pPr>
            <w:r>
              <w:rPr>
                <w:rFonts w:ascii="仿宋_GB2312" w:hAnsi="Times New Roman" w:eastAsia="仿宋_GB2312"/>
                <w:color w:val="000000"/>
                <w:kern w:val="2"/>
                <w:szCs w:val="22"/>
              </w:rPr>
              <w:t>证书申报</w:t>
            </w:r>
          </w:p>
        </w:tc>
        <w:tc>
          <w:tcPr>
            <w:tcW w:w="8095" w:type="dxa"/>
            <w:gridSpan w:val="9"/>
            <w:vAlign w:val="center"/>
          </w:tcPr>
          <w:p>
            <w:pPr>
              <w:autoSpaceDE/>
              <w:autoSpaceDN/>
              <w:adjustRightInd/>
              <w:spacing w:line="360" w:lineRule="exact"/>
              <w:ind w:right="-168" w:rightChars="-70"/>
              <w:rPr>
                <w:rFonts w:hint="default" w:ascii="仿宋_GB2312" w:hAnsi="Times New Roman" w:eastAsia="仿宋_GB2312"/>
                <w:color w:val="000000"/>
                <w:kern w:val="2"/>
                <w:szCs w:val="22"/>
              </w:rPr>
            </w:pPr>
            <w:r>
              <w:rPr>
                <w:rFonts w:ascii="仿宋_GB2312" w:hAnsi="Times New Roman" w:eastAsia="仿宋_GB2312"/>
                <w:color w:val="000000"/>
                <w:kern w:val="2"/>
                <w:szCs w:val="22"/>
              </w:rPr>
              <w:t>《高级人力资源经理》□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665" w:type="dxa"/>
            <w:vAlign w:val="center"/>
          </w:tcPr>
          <w:p>
            <w:pPr>
              <w:autoSpaceDE/>
              <w:autoSpaceDN/>
              <w:adjustRightInd/>
              <w:spacing w:line="360" w:lineRule="exact"/>
              <w:ind w:right="-168" w:rightChars="-70" w:firstLine="240" w:firstLineChars="100"/>
              <w:rPr>
                <w:rFonts w:hint="eastAsia" w:ascii="仿宋_GB2312" w:hAnsi="Times New Roman" w:eastAsia="仿宋_GB2312"/>
                <w:color w:val="000000"/>
                <w:kern w:val="2"/>
                <w:szCs w:val="22"/>
                <w:lang w:eastAsia="zh-CN"/>
              </w:rPr>
            </w:pPr>
            <w:r>
              <w:rPr>
                <w:rFonts w:hint="eastAsia" w:ascii="仿宋_GB2312" w:hAnsi="Times New Roman" w:eastAsia="仿宋_GB2312"/>
                <w:color w:val="000000"/>
                <w:kern w:val="2"/>
                <w:szCs w:val="22"/>
                <w:lang w:eastAsia="zh-CN"/>
              </w:rPr>
              <w:t>住宿标准</w:t>
            </w:r>
          </w:p>
        </w:tc>
        <w:tc>
          <w:tcPr>
            <w:tcW w:w="8095" w:type="dxa"/>
            <w:gridSpan w:val="9"/>
            <w:vAlign w:val="center"/>
          </w:tcPr>
          <w:p>
            <w:pPr>
              <w:autoSpaceDE/>
              <w:autoSpaceDN/>
              <w:adjustRightInd/>
              <w:spacing w:line="360" w:lineRule="exact"/>
              <w:ind w:right="-168" w:rightChars="-70" w:firstLine="480" w:firstLineChars="200"/>
              <w:rPr>
                <w:rFonts w:hint="default" w:ascii="仿宋_GB2312" w:hAnsi="Times New Roman" w:eastAsia="仿宋_GB2312"/>
                <w:color w:val="000000"/>
                <w:kern w:val="2"/>
                <w:szCs w:val="22"/>
              </w:rPr>
            </w:pPr>
            <w:r>
              <w:rPr>
                <w:rFonts w:hint="eastAsia" w:ascii="仿宋" w:hAnsi="仿宋" w:eastAsia="仿宋" w:cstheme="minorEastAsia"/>
                <w:lang w:eastAsia="zh-CN"/>
              </w:rPr>
              <w:t>单住</w:t>
            </w:r>
            <w:r>
              <w:rPr>
                <w:rFonts w:ascii="仿宋" w:hAnsi="仿宋" w:eastAsia="仿宋" w:cstheme="minorEastAsia"/>
              </w:rPr>
              <w:t>□</w:t>
            </w:r>
            <w:r>
              <w:rPr>
                <w:rFonts w:hint="eastAsia" w:ascii="仿宋" w:hAnsi="仿宋" w:eastAsia="仿宋" w:cstheme="minorEastAsia"/>
                <w:lang w:val="en-US" w:eastAsia="zh-CN"/>
              </w:rPr>
              <w:t xml:space="preserve">         合住</w:t>
            </w:r>
            <w:r>
              <w:rPr>
                <w:rFonts w:ascii="仿宋" w:hAnsi="仿宋" w:eastAsia="仿宋" w:cstheme="minorEastAsia"/>
              </w:rPr>
              <w:t>□</w:t>
            </w:r>
            <w:r>
              <w:rPr>
                <w:rFonts w:hint="eastAsia" w:ascii="仿宋" w:hAnsi="仿宋" w:eastAsia="仿宋" w:cstheme="minorEastAsia"/>
                <w:lang w:val="en-US" w:eastAsia="zh-CN"/>
              </w:rPr>
              <w:t xml:space="preserve">          自行安排</w:t>
            </w:r>
            <w:r>
              <w:rPr>
                <w:rFonts w:ascii="仿宋" w:hAnsi="仿宋" w:eastAsia="仿宋"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标准选项</w:t>
            </w:r>
          </w:p>
        </w:tc>
        <w:tc>
          <w:tcPr>
            <w:tcW w:w="8095" w:type="dxa"/>
            <w:gridSpan w:val="9"/>
            <w:vAlign w:val="center"/>
          </w:tcPr>
          <w:p>
            <w:pPr>
              <w:autoSpaceDE/>
              <w:autoSpaceDN/>
              <w:adjustRightInd/>
              <w:spacing w:line="360" w:lineRule="exact"/>
              <w:ind w:right="-168" w:rightChars="-70"/>
              <w:rPr>
                <w:rFonts w:hint="default" w:ascii="仿宋_GB2312" w:hAnsi="Times New Roman" w:eastAsia="仿宋_GB2312"/>
                <w:color w:val="000000"/>
                <w:kern w:val="2"/>
                <w:szCs w:val="22"/>
              </w:rPr>
            </w:pPr>
            <w:r>
              <w:rPr>
                <w:rFonts w:hint="default" w:ascii="仿宋_GB2312" w:eastAsia="仿宋_GB2312" w:cs="宋体"/>
                <w:color w:val="000000"/>
                <w:sz w:val="28"/>
                <w:szCs w:val="28"/>
              </w:rPr>
              <w:t>A：2980元□       B：3980元□     C</w:t>
            </w:r>
            <w:r>
              <w:rPr>
                <w:rFonts w:ascii="仿宋_GB2312" w:eastAsia="仿宋_GB2312" w:cs="宋体"/>
                <w:color w:val="000000"/>
                <w:sz w:val="28"/>
                <w:szCs w:val="28"/>
              </w:rPr>
              <w:t>：5</w:t>
            </w:r>
            <w:r>
              <w:rPr>
                <w:rFonts w:hint="default" w:ascii="仿宋_GB2312" w:eastAsia="仿宋_GB2312" w:cs="宋体"/>
                <w:color w:val="000000"/>
                <w:sz w:val="28"/>
                <w:szCs w:val="28"/>
              </w:rPr>
              <w:t>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65" w:type="dxa"/>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付款方式</w:t>
            </w:r>
          </w:p>
        </w:tc>
        <w:tc>
          <w:tcPr>
            <w:tcW w:w="4278" w:type="dxa"/>
            <w:gridSpan w:val="4"/>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 xml:space="preserve">□银行     □网银 </w:t>
            </w:r>
          </w:p>
        </w:tc>
        <w:tc>
          <w:tcPr>
            <w:tcW w:w="741" w:type="dxa"/>
            <w:gridSpan w:val="2"/>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金额</w:t>
            </w:r>
          </w:p>
        </w:tc>
        <w:tc>
          <w:tcPr>
            <w:tcW w:w="3076" w:type="dxa"/>
            <w:gridSpan w:val="3"/>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需要与专家</w:t>
            </w:r>
          </w:p>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沟通的问题</w:t>
            </w:r>
          </w:p>
        </w:tc>
        <w:tc>
          <w:tcPr>
            <w:tcW w:w="8095" w:type="dxa"/>
            <w:gridSpan w:val="9"/>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bCs/>
                <w:kern w:val="2"/>
                <w:szCs w:val="22"/>
              </w:rPr>
              <w:t>收款账户</w:t>
            </w:r>
          </w:p>
        </w:tc>
        <w:tc>
          <w:tcPr>
            <w:tcW w:w="8095" w:type="dxa"/>
            <w:gridSpan w:val="9"/>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单位名称：北京中科善若教育咨询有限公司</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 xml:space="preserve">开 户 行：中国工商银行股份有限公司北京永定路支行 </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账    号：0200247009200077514</w:t>
            </w:r>
          </w:p>
          <w:p>
            <w:pPr>
              <w:autoSpaceDE/>
              <w:autoSpaceDN/>
              <w:adjustRightInd/>
              <w:spacing w:line="360" w:lineRule="exact"/>
              <w:ind w:right="-168" w:rightChars="-70"/>
              <w:jc w:val="left"/>
              <w:rPr>
                <w:rFonts w:hint="default" w:ascii="仿宋_GB2312" w:hAnsi="Times New Roman" w:eastAsia="仿宋_GB2312"/>
                <w:b/>
                <w:bCs/>
                <w:kern w:val="2"/>
                <w:sz w:val="28"/>
                <w:szCs w:val="28"/>
              </w:rPr>
            </w:pPr>
            <w:r>
              <w:rPr>
                <w:rStyle w:val="10"/>
                <w:rFonts w:hint="eastAsia" w:ascii="仿宋" w:hAnsi="仿宋" w:eastAsia="仿宋" w:cs="仿宋"/>
                <w:b w:val="0"/>
                <w:bCs w:val="0"/>
                <w:color w:val="000000"/>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66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备注</w:t>
            </w:r>
          </w:p>
        </w:tc>
        <w:tc>
          <w:tcPr>
            <w:tcW w:w="5019" w:type="dxa"/>
            <w:gridSpan w:val="6"/>
            <w:vAlign w:val="center"/>
          </w:tcPr>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请将《报名回执表》发送至会务组，并于报名</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3日内将培训费汇至指定账户，会务组确认收</w:t>
            </w:r>
          </w:p>
          <w:p>
            <w:pPr>
              <w:autoSpaceDE/>
              <w:autoSpaceDN/>
              <w:adjustRightInd/>
              <w:spacing w:line="360" w:lineRule="exact"/>
              <w:ind w:right="-168" w:rightChars="-70"/>
              <w:jc w:val="left"/>
              <w:rPr>
                <w:rStyle w:val="10"/>
                <w:rFonts w:hint="eastAsia" w:ascii="仿宋" w:hAnsi="仿宋" w:eastAsia="仿宋" w:cs="仿宋"/>
                <w:b w:val="0"/>
                <w:bCs w:val="0"/>
                <w:color w:val="000000"/>
                <w:szCs w:val="24"/>
                <w:lang w:val="zh-CN"/>
              </w:rPr>
            </w:pPr>
            <w:r>
              <w:rPr>
                <w:rStyle w:val="10"/>
                <w:rFonts w:hint="eastAsia" w:ascii="仿宋" w:hAnsi="仿宋" w:eastAsia="仿宋" w:cs="仿宋"/>
                <w:b w:val="0"/>
                <w:bCs w:val="0"/>
                <w:color w:val="000000"/>
                <w:szCs w:val="24"/>
                <w:lang w:val="zh-CN"/>
              </w:rPr>
              <w:t>到培训费后即发《参会凭证》，详细说明培训</w:t>
            </w:r>
          </w:p>
          <w:p>
            <w:pPr>
              <w:autoSpaceDE/>
              <w:autoSpaceDN/>
              <w:adjustRightInd/>
              <w:spacing w:line="360" w:lineRule="exact"/>
              <w:ind w:right="-168" w:rightChars="-70"/>
              <w:jc w:val="left"/>
              <w:rPr>
                <w:rFonts w:hint="default" w:ascii="仿宋_GB2312" w:hAnsi="Times New Roman" w:eastAsia="仿宋_GB2312"/>
                <w:kern w:val="2"/>
                <w:szCs w:val="22"/>
              </w:rPr>
            </w:pPr>
            <w:r>
              <w:rPr>
                <w:rStyle w:val="10"/>
                <w:rFonts w:hint="eastAsia" w:ascii="仿宋" w:hAnsi="仿宋" w:eastAsia="仿宋" w:cs="仿宋"/>
                <w:b w:val="0"/>
                <w:bCs w:val="0"/>
                <w:color w:val="000000"/>
                <w:szCs w:val="24"/>
                <w:lang w:val="zh-CN"/>
              </w:rPr>
              <w:t>安排具体事项。</w:t>
            </w:r>
          </w:p>
        </w:tc>
        <w:tc>
          <w:tcPr>
            <w:tcW w:w="3076" w:type="dxa"/>
            <w:gridSpan w:val="3"/>
            <w:vAlign w:val="center"/>
          </w:tcPr>
          <w:p>
            <w:pPr>
              <w:autoSpaceDE/>
              <w:autoSpaceDN/>
              <w:adjustRightInd/>
              <w:spacing w:line="360" w:lineRule="exact"/>
              <w:ind w:right="-168" w:rightChars="-70" w:firstLine="1080" w:firstLineChars="450"/>
              <w:jc w:val="both"/>
              <w:rPr>
                <w:rFonts w:hint="default" w:ascii="仿宋_GB2312" w:hAnsi="Times New Roman" w:eastAsia="仿宋_GB2312"/>
                <w:kern w:val="2"/>
                <w:szCs w:val="22"/>
              </w:rPr>
            </w:pPr>
            <w:r>
              <w:rPr>
                <w:rFonts w:ascii="仿宋_GB2312" w:hAnsi="Times New Roman" w:eastAsia="仿宋_GB2312"/>
                <w:kern w:val="2"/>
                <w:szCs w:val="22"/>
              </w:rPr>
              <w:t>单位印章</w:t>
            </w:r>
          </w:p>
          <w:p>
            <w:pPr>
              <w:autoSpaceDE/>
              <w:autoSpaceDN/>
              <w:adjustRightInd/>
              <w:spacing w:line="360" w:lineRule="exact"/>
              <w:ind w:right="-168" w:rightChars="-70" w:firstLine="720" w:firstLineChars="300"/>
              <w:jc w:val="both"/>
              <w:rPr>
                <w:rFonts w:hint="default" w:ascii="仿宋_GB2312" w:hAnsi="Times New Roman" w:eastAsia="仿宋_GB2312"/>
                <w:kern w:val="2"/>
                <w:szCs w:val="22"/>
              </w:rPr>
            </w:pPr>
            <w:r>
              <w:rPr>
                <w:rFonts w:ascii="仿宋_GB2312" w:hAnsi="Times New Roman" w:eastAsia="仿宋_GB2312"/>
                <w:kern w:val="2"/>
                <w:szCs w:val="22"/>
              </w:rPr>
              <w:t>202</w:t>
            </w:r>
            <w:r>
              <w:rPr>
                <w:rFonts w:hint="eastAsia" w:ascii="仿宋_GB2312" w:hAnsi="Times New Roman" w:eastAsia="仿宋_GB2312"/>
                <w:kern w:val="2"/>
                <w:szCs w:val="22"/>
                <w:lang w:val="en-US" w:eastAsia="zh-CN"/>
              </w:rPr>
              <w:t>1</w:t>
            </w:r>
            <w:r>
              <w:rPr>
                <w:rFonts w:ascii="仿宋_GB2312" w:hAnsi="Times New Roman" w:eastAsia="仿宋_GB2312"/>
                <w:kern w:val="2"/>
                <w:szCs w:val="22"/>
              </w:rPr>
              <w:t>年  月  日</w:t>
            </w:r>
          </w:p>
        </w:tc>
      </w:tr>
    </w:tbl>
    <w:p>
      <w:pPr>
        <w:widowControl/>
        <w:autoSpaceDE/>
        <w:autoSpaceDN/>
        <w:spacing w:line="360" w:lineRule="exact"/>
        <w:jc w:val="center"/>
        <w:rPr>
          <w:rStyle w:val="10"/>
          <w:rFonts w:hint="default" w:cs="黑体"/>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Cs/>
          <w:kern w:val="2"/>
          <w:szCs w:val="24"/>
        </w:rPr>
      </w:pPr>
      <w:r>
        <w:rPr>
          <w:rFonts w:hint="eastAsia" w:ascii="仿宋" w:hAnsi="仿宋" w:eastAsia="仿宋" w:cs="仿宋"/>
          <w:bCs/>
          <w:kern w:val="2"/>
          <w:szCs w:val="24"/>
        </w:rPr>
        <w:t xml:space="preserve">报名负责人：聂红军 主任18211071700（微信）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Cs/>
          <w:kern w:val="2"/>
          <w:szCs w:val="24"/>
        </w:rPr>
      </w:pPr>
      <w:r>
        <w:rPr>
          <w:rFonts w:hint="eastAsia" w:ascii="仿宋" w:hAnsi="仿宋" w:eastAsia="仿宋" w:cs="仿宋"/>
          <w:bCs/>
          <w:kern w:val="2"/>
          <w:szCs w:val="24"/>
        </w:rPr>
        <w:t xml:space="preserve">电  话：010-87697580      邮    箱：zqgphwz@126.com  </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仿宋" w:hAnsi="仿宋" w:eastAsia="仿宋" w:cs="仿宋"/>
          <w:bCs/>
          <w:kern w:val="2"/>
          <w:szCs w:val="24"/>
        </w:rPr>
      </w:pPr>
      <w:r>
        <w:rPr>
          <w:rFonts w:hint="eastAsia" w:ascii="仿宋" w:hAnsi="仿宋" w:eastAsia="仿宋" w:cs="仿宋"/>
          <w:bCs/>
          <w:kern w:val="2"/>
          <w:szCs w:val="24"/>
        </w:rPr>
        <w:t>qq咨询：3177524020        网址查询：http://www.zqgpchina.cn/</w:t>
      </w:r>
    </w:p>
    <w:sectPr>
      <w:footerReference r:id="rId3" w:type="default"/>
      <w:pgSz w:w="11906" w:h="16838"/>
      <w:pgMar w:top="1440" w:right="1474" w:bottom="1440"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044B5"/>
    <w:rsid w:val="000111BB"/>
    <w:rsid w:val="00021EF2"/>
    <w:rsid w:val="00035C2D"/>
    <w:rsid w:val="00035E76"/>
    <w:rsid w:val="00035F93"/>
    <w:rsid w:val="0004463B"/>
    <w:rsid w:val="00067BD4"/>
    <w:rsid w:val="00073C5E"/>
    <w:rsid w:val="0009163D"/>
    <w:rsid w:val="0009632B"/>
    <w:rsid w:val="000B3CED"/>
    <w:rsid w:val="000B5CF0"/>
    <w:rsid w:val="000E468A"/>
    <w:rsid w:val="000F0735"/>
    <w:rsid w:val="001477F4"/>
    <w:rsid w:val="00154EF3"/>
    <w:rsid w:val="00172461"/>
    <w:rsid w:val="001B15FC"/>
    <w:rsid w:val="001D5820"/>
    <w:rsid w:val="001F266D"/>
    <w:rsid w:val="001F2CC6"/>
    <w:rsid w:val="001F5DBA"/>
    <w:rsid w:val="002016D4"/>
    <w:rsid w:val="00227088"/>
    <w:rsid w:val="00234D81"/>
    <w:rsid w:val="0023794D"/>
    <w:rsid w:val="0024067D"/>
    <w:rsid w:val="002733FA"/>
    <w:rsid w:val="002A5354"/>
    <w:rsid w:val="002C0C87"/>
    <w:rsid w:val="002D7C2D"/>
    <w:rsid w:val="00303B6C"/>
    <w:rsid w:val="00360AC6"/>
    <w:rsid w:val="00361B23"/>
    <w:rsid w:val="00362096"/>
    <w:rsid w:val="00366D1D"/>
    <w:rsid w:val="003843DE"/>
    <w:rsid w:val="003A1259"/>
    <w:rsid w:val="003A6A3F"/>
    <w:rsid w:val="003D3698"/>
    <w:rsid w:val="003E039A"/>
    <w:rsid w:val="003F712A"/>
    <w:rsid w:val="004127EC"/>
    <w:rsid w:val="00417F3A"/>
    <w:rsid w:val="0042016E"/>
    <w:rsid w:val="0042243A"/>
    <w:rsid w:val="0042509D"/>
    <w:rsid w:val="00444929"/>
    <w:rsid w:val="0045207C"/>
    <w:rsid w:val="00490AAB"/>
    <w:rsid w:val="00491230"/>
    <w:rsid w:val="004A463C"/>
    <w:rsid w:val="004C2C6B"/>
    <w:rsid w:val="004E33BE"/>
    <w:rsid w:val="00510FDD"/>
    <w:rsid w:val="00520FF8"/>
    <w:rsid w:val="005230FF"/>
    <w:rsid w:val="00524A3E"/>
    <w:rsid w:val="005258A8"/>
    <w:rsid w:val="00540080"/>
    <w:rsid w:val="00541B75"/>
    <w:rsid w:val="00544181"/>
    <w:rsid w:val="00566878"/>
    <w:rsid w:val="00572630"/>
    <w:rsid w:val="005C332F"/>
    <w:rsid w:val="005C5022"/>
    <w:rsid w:val="00600FA8"/>
    <w:rsid w:val="006011E8"/>
    <w:rsid w:val="00601C30"/>
    <w:rsid w:val="00605B40"/>
    <w:rsid w:val="00616606"/>
    <w:rsid w:val="00656947"/>
    <w:rsid w:val="00657822"/>
    <w:rsid w:val="00670351"/>
    <w:rsid w:val="00695CC8"/>
    <w:rsid w:val="006B1F90"/>
    <w:rsid w:val="006B3A84"/>
    <w:rsid w:val="006E23D4"/>
    <w:rsid w:val="006E54CB"/>
    <w:rsid w:val="006F117C"/>
    <w:rsid w:val="006F58F0"/>
    <w:rsid w:val="006F745F"/>
    <w:rsid w:val="00724E89"/>
    <w:rsid w:val="00760628"/>
    <w:rsid w:val="00786656"/>
    <w:rsid w:val="007B7347"/>
    <w:rsid w:val="007B7767"/>
    <w:rsid w:val="007C1475"/>
    <w:rsid w:val="007F5FC8"/>
    <w:rsid w:val="00832BCD"/>
    <w:rsid w:val="00836463"/>
    <w:rsid w:val="00852A49"/>
    <w:rsid w:val="00856C67"/>
    <w:rsid w:val="00860964"/>
    <w:rsid w:val="00882120"/>
    <w:rsid w:val="008B199B"/>
    <w:rsid w:val="008C6426"/>
    <w:rsid w:val="008E378E"/>
    <w:rsid w:val="008E47B6"/>
    <w:rsid w:val="008E633F"/>
    <w:rsid w:val="008E79C6"/>
    <w:rsid w:val="008F08D1"/>
    <w:rsid w:val="00916F8F"/>
    <w:rsid w:val="009176A2"/>
    <w:rsid w:val="00920D6E"/>
    <w:rsid w:val="00925415"/>
    <w:rsid w:val="009308F0"/>
    <w:rsid w:val="00930C9B"/>
    <w:rsid w:val="00935C8F"/>
    <w:rsid w:val="009418F0"/>
    <w:rsid w:val="00941E9F"/>
    <w:rsid w:val="00957A5B"/>
    <w:rsid w:val="00976288"/>
    <w:rsid w:val="00981D3A"/>
    <w:rsid w:val="009A4718"/>
    <w:rsid w:val="009D1BF9"/>
    <w:rsid w:val="009D3B47"/>
    <w:rsid w:val="009E1973"/>
    <w:rsid w:val="009F3CD3"/>
    <w:rsid w:val="009F5906"/>
    <w:rsid w:val="00A03547"/>
    <w:rsid w:val="00A21947"/>
    <w:rsid w:val="00A35661"/>
    <w:rsid w:val="00A365AD"/>
    <w:rsid w:val="00A55121"/>
    <w:rsid w:val="00A6651E"/>
    <w:rsid w:val="00A76A48"/>
    <w:rsid w:val="00AB4C35"/>
    <w:rsid w:val="00AF6597"/>
    <w:rsid w:val="00B055A5"/>
    <w:rsid w:val="00B36FBC"/>
    <w:rsid w:val="00B76E68"/>
    <w:rsid w:val="00B865F7"/>
    <w:rsid w:val="00B87A6C"/>
    <w:rsid w:val="00B953A2"/>
    <w:rsid w:val="00BA0443"/>
    <w:rsid w:val="00BC37A5"/>
    <w:rsid w:val="00BE0FB0"/>
    <w:rsid w:val="00BE5173"/>
    <w:rsid w:val="00BF18E2"/>
    <w:rsid w:val="00C04F37"/>
    <w:rsid w:val="00C10B2E"/>
    <w:rsid w:val="00C110F8"/>
    <w:rsid w:val="00C44BC1"/>
    <w:rsid w:val="00C5747F"/>
    <w:rsid w:val="00C7524A"/>
    <w:rsid w:val="00C96EFB"/>
    <w:rsid w:val="00CF1181"/>
    <w:rsid w:val="00D142CC"/>
    <w:rsid w:val="00D47982"/>
    <w:rsid w:val="00D74547"/>
    <w:rsid w:val="00D77B8F"/>
    <w:rsid w:val="00DA154B"/>
    <w:rsid w:val="00DB5D24"/>
    <w:rsid w:val="00DB62D4"/>
    <w:rsid w:val="00DC5B74"/>
    <w:rsid w:val="00DF2C2A"/>
    <w:rsid w:val="00E23AA1"/>
    <w:rsid w:val="00E364AD"/>
    <w:rsid w:val="00E40FB3"/>
    <w:rsid w:val="00E51A5B"/>
    <w:rsid w:val="00E63E5B"/>
    <w:rsid w:val="00E73D9A"/>
    <w:rsid w:val="00EB3F9D"/>
    <w:rsid w:val="00EC2070"/>
    <w:rsid w:val="00EC557A"/>
    <w:rsid w:val="00ED0F3B"/>
    <w:rsid w:val="00F032D9"/>
    <w:rsid w:val="00F2027E"/>
    <w:rsid w:val="00F23CC4"/>
    <w:rsid w:val="00F31608"/>
    <w:rsid w:val="00F52CD5"/>
    <w:rsid w:val="00F65A5C"/>
    <w:rsid w:val="00F73A63"/>
    <w:rsid w:val="00F847DA"/>
    <w:rsid w:val="00FA5D57"/>
    <w:rsid w:val="00FE7832"/>
    <w:rsid w:val="01D575DF"/>
    <w:rsid w:val="02010140"/>
    <w:rsid w:val="020B184C"/>
    <w:rsid w:val="023508ED"/>
    <w:rsid w:val="02A06172"/>
    <w:rsid w:val="03322ED8"/>
    <w:rsid w:val="034E0A46"/>
    <w:rsid w:val="03591A3A"/>
    <w:rsid w:val="03960487"/>
    <w:rsid w:val="03C34D69"/>
    <w:rsid w:val="03CA468D"/>
    <w:rsid w:val="040D19ED"/>
    <w:rsid w:val="04227050"/>
    <w:rsid w:val="04563419"/>
    <w:rsid w:val="04936B18"/>
    <w:rsid w:val="04CD2CB6"/>
    <w:rsid w:val="04D046BF"/>
    <w:rsid w:val="05445189"/>
    <w:rsid w:val="064E5209"/>
    <w:rsid w:val="06B920D9"/>
    <w:rsid w:val="06DD2DFE"/>
    <w:rsid w:val="06FF23B6"/>
    <w:rsid w:val="07000A08"/>
    <w:rsid w:val="07431114"/>
    <w:rsid w:val="07744D8F"/>
    <w:rsid w:val="082736D7"/>
    <w:rsid w:val="086E0519"/>
    <w:rsid w:val="09670DD9"/>
    <w:rsid w:val="09775B4F"/>
    <w:rsid w:val="09834B04"/>
    <w:rsid w:val="09BC4DC1"/>
    <w:rsid w:val="0A4F475D"/>
    <w:rsid w:val="0A6068B3"/>
    <w:rsid w:val="0AD840B0"/>
    <w:rsid w:val="0AD85986"/>
    <w:rsid w:val="0AEA7358"/>
    <w:rsid w:val="0B263D27"/>
    <w:rsid w:val="0B342C4E"/>
    <w:rsid w:val="0B38547E"/>
    <w:rsid w:val="0B963AD9"/>
    <w:rsid w:val="0CB407A4"/>
    <w:rsid w:val="0D1D7BBC"/>
    <w:rsid w:val="0D6816F1"/>
    <w:rsid w:val="0DBB49B3"/>
    <w:rsid w:val="0DEB38FB"/>
    <w:rsid w:val="0E334E87"/>
    <w:rsid w:val="0E4A5841"/>
    <w:rsid w:val="0E4E6BE0"/>
    <w:rsid w:val="0E5B5605"/>
    <w:rsid w:val="0E653794"/>
    <w:rsid w:val="0ED00BBE"/>
    <w:rsid w:val="0F0A6C7F"/>
    <w:rsid w:val="0F227C77"/>
    <w:rsid w:val="0F35059E"/>
    <w:rsid w:val="0F6A25A7"/>
    <w:rsid w:val="0F6A2C6A"/>
    <w:rsid w:val="0FB52D69"/>
    <w:rsid w:val="100028B6"/>
    <w:rsid w:val="100978E4"/>
    <w:rsid w:val="101C413A"/>
    <w:rsid w:val="1076080C"/>
    <w:rsid w:val="10A30B74"/>
    <w:rsid w:val="10BA4BFA"/>
    <w:rsid w:val="116A33E2"/>
    <w:rsid w:val="11994A95"/>
    <w:rsid w:val="11AD3F6C"/>
    <w:rsid w:val="12154990"/>
    <w:rsid w:val="125D33C3"/>
    <w:rsid w:val="12624D08"/>
    <w:rsid w:val="127F0B86"/>
    <w:rsid w:val="12A223A0"/>
    <w:rsid w:val="12A75D12"/>
    <w:rsid w:val="1300432D"/>
    <w:rsid w:val="130370BA"/>
    <w:rsid w:val="138676E1"/>
    <w:rsid w:val="144B78EE"/>
    <w:rsid w:val="14A4521A"/>
    <w:rsid w:val="14A45533"/>
    <w:rsid w:val="14F5183B"/>
    <w:rsid w:val="14FB37E7"/>
    <w:rsid w:val="15123C59"/>
    <w:rsid w:val="15D741F2"/>
    <w:rsid w:val="15F64273"/>
    <w:rsid w:val="161819A2"/>
    <w:rsid w:val="16582B97"/>
    <w:rsid w:val="1668735B"/>
    <w:rsid w:val="16C51BCF"/>
    <w:rsid w:val="16D0026B"/>
    <w:rsid w:val="16D65119"/>
    <w:rsid w:val="17963566"/>
    <w:rsid w:val="17F36277"/>
    <w:rsid w:val="18152505"/>
    <w:rsid w:val="18315960"/>
    <w:rsid w:val="185D49FD"/>
    <w:rsid w:val="186C2CE5"/>
    <w:rsid w:val="18F95CA4"/>
    <w:rsid w:val="192270A3"/>
    <w:rsid w:val="19AE385D"/>
    <w:rsid w:val="19B51E31"/>
    <w:rsid w:val="1A4851BB"/>
    <w:rsid w:val="1A9214E5"/>
    <w:rsid w:val="1AA41179"/>
    <w:rsid w:val="1B3D1A9E"/>
    <w:rsid w:val="1BB0272F"/>
    <w:rsid w:val="1BE72544"/>
    <w:rsid w:val="1C545D10"/>
    <w:rsid w:val="1C555446"/>
    <w:rsid w:val="1C6A4525"/>
    <w:rsid w:val="1CD36A83"/>
    <w:rsid w:val="1CE765F5"/>
    <w:rsid w:val="1D3F2E3A"/>
    <w:rsid w:val="1DD221B5"/>
    <w:rsid w:val="1E077B42"/>
    <w:rsid w:val="1E2A5A3A"/>
    <w:rsid w:val="1E4F7F49"/>
    <w:rsid w:val="1E52573B"/>
    <w:rsid w:val="1EC919C7"/>
    <w:rsid w:val="1ED6232C"/>
    <w:rsid w:val="1EF7164B"/>
    <w:rsid w:val="1EFC7295"/>
    <w:rsid w:val="1F4756F0"/>
    <w:rsid w:val="1F925D56"/>
    <w:rsid w:val="1FFA3FCD"/>
    <w:rsid w:val="20014536"/>
    <w:rsid w:val="2004540F"/>
    <w:rsid w:val="208D5A53"/>
    <w:rsid w:val="20ED6BF1"/>
    <w:rsid w:val="21154513"/>
    <w:rsid w:val="213073EB"/>
    <w:rsid w:val="213A587F"/>
    <w:rsid w:val="21671FA2"/>
    <w:rsid w:val="21FE02C4"/>
    <w:rsid w:val="21FF770B"/>
    <w:rsid w:val="226310D0"/>
    <w:rsid w:val="227026ED"/>
    <w:rsid w:val="227F122C"/>
    <w:rsid w:val="22AA5741"/>
    <w:rsid w:val="23357269"/>
    <w:rsid w:val="23360671"/>
    <w:rsid w:val="23457FDD"/>
    <w:rsid w:val="237E32ED"/>
    <w:rsid w:val="23DC2190"/>
    <w:rsid w:val="24B3225D"/>
    <w:rsid w:val="24D21B2B"/>
    <w:rsid w:val="24E20D27"/>
    <w:rsid w:val="24F32D6F"/>
    <w:rsid w:val="25BF1F0E"/>
    <w:rsid w:val="262C064B"/>
    <w:rsid w:val="263D67BA"/>
    <w:rsid w:val="26580C18"/>
    <w:rsid w:val="269814DC"/>
    <w:rsid w:val="26AF6904"/>
    <w:rsid w:val="26B9256C"/>
    <w:rsid w:val="26FC6F3B"/>
    <w:rsid w:val="28954560"/>
    <w:rsid w:val="289B156C"/>
    <w:rsid w:val="293A4DC4"/>
    <w:rsid w:val="293A614F"/>
    <w:rsid w:val="293F5C26"/>
    <w:rsid w:val="29625BA0"/>
    <w:rsid w:val="29AC2DED"/>
    <w:rsid w:val="2A524616"/>
    <w:rsid w:val="2A777DE0"/>
    <w:rsid w:val="2B141FEE"/>
    <w:rsid w:val="2B4E4E92"/>
    <w:rsid w:val="2B884590"/>
    <w:rsid w:val="2BA75B24"/>
    <w:rsid w:val="2BB86403"/>
    <w:rsid w:val="2BCE67F3"/>
    <w:rsid w:val="2BFE6327"/>
    <w:rsid w:val="2BFE70B8"/>
    <w:rsid w:val="2C0F35C2"/>
    <w:rsid w:val="2CA61C7B"/>
    <w:rsid w:val="2D062817"/>
    <w:rsid w:val="2D19794B"/>
    <w:rsid w:val="2D260A12"/>
    <w:rsid w:val="2DCF26B6"/>
    <w:rsid w:val="2E117179"/>
    <w:rsid w:val="2E34342A"/>
    <w:rsid w:val="2E9A11AA"/>
    <w:rsid w:val="2EFC34D4"/>
    <w:rsid w:val="2F0F1A5E"/>
    <w:rsid w:val="2F7224C7"/>
    <w:rsid w:val="2FCA1B63"/>
    <w:rsid w:val="2FDB1A27"/>
    <w:rsid w:val="301527E0"/>
    <w:rsid w:val="3049446D"/>
    <w:rsid w:val="307C1C46"/>
    <w:rsid w:val="31312DC4"/>
    <w:rsid w:val="31B202FA"/>
    <w:rsid w:val="320E6DB8"/>
    <w:rsid w:val="329B54CE"/>
    <w:rsid w:val="330658EE"/>
    <w:rsid w:val="33194E8B"/>
    <w:rsid w:val="33357C17"/>
    <w:rsid w:val="33987E8B"/>
    <w:rsid w:val="34BA2FEC"/>
    <w:rsid w:val="370A317A"/>
    <w:rsid w:val="374851A9"/>
    <w:rsid w:val="3751381C"/>
    <w:rsid w:val="377C7F4F"/>
    <w:rsid w:val="37AE71B7"/>
    <w:rsid w:val="37EC2A72"/>
    <w:rsid w:val="38180EAA"/>
    <w:rsid w:val="381F6465"/>
    <w:rsid w:val="382D095B"/>
    <w:rsid w:val="382E41E0"/>
    <w:rsid w:val="38611A20"/>
    <w:rsid w:val="389C3D42"/>
    <w:rsid w:val="38A86BD0"/>
    <w:rsid w:val="38BE6917"/>
    <w:rsid w:val="38E2170E"/>
    <w:rsid w:val="390B748A"/>
    <w:rsid w:val="395D0167"/>
    <w:rsid w:val="397A7295"/>
    <w:rsid w:val="398B671E"/>
    <w:rsid w:val="39A95330"/>
    <w:rsid w:val="3A007054"/>
    <w:rsid w:val="3A521561"/>
    <w:rsid w:val="3B5109D6"/>
    <w:rsid w:val="3B692CF3"/>
    <w:rsid w:val="3B8C3B88"/>
    <w:rsid w:val="3C360076"/>
    <w:rsid w:val="3C3674A9"/>
    <w:rsid w:val="3C667E10"/>
    <w:rsid w:val="3CA35392"/>
    <w:rsid w:val="3CD35984"/>
    <w:rsid w:val="3CD879D0"/>
    <w:rsid w:val="3CF60E3E"/>
    <w:rsid w:val="3D4C0924"/>
    <w:rsid w:val="3D6605C3"/>
    <w:rsid w:val="3D7F0281"/>
    <w:rsid w:val="3DAF09EE"/>
    <w:rsid w:val="3DBB6B08"/>
    <w:rsid w:val="3DED1096"/>
    <w:rsid w:val="3E6D68A1"/>
    <w:rsid w:val="3ED516E1"/>
    <w:rsid w:val="3EE90306"/>
    <w:rsid w:val="3F07408B"/>
    <w:rsid w:val="3F7E3230"/>
    <w:rsid w:val="3FA82939"/>
    <w:rsid w:val="3FED2847"/>
    <w:rsid w:val="402F0CE6"/>
    <w:rsid w:val="40850505"/>
    <w:rsid w:val="40AD2EF6"/>
    <w:rsid w:val="413D0100"/>
    <w:rsid w:val="414A0BB2"/>
    <w:rsid w:val="415B6467"/>
    <w:rsid w:val="4204679C"/>
    <w:rsid w:val="423635BF"/>
    <w:rsid w:val="427C2F17"/>
    <w:rsid w:val="428E348C"/>
    <w:rsid w:val="429243B5"/>
    <w:rsid w:val="42DF1518"/>
    <w:rsid w:val="42F15105"/>
    <w:rsid w:val="43A17C95"/>
    <w:rsid w:val="43C64C27"/>
    <w:rsid w:val="43F74639"/>
    <w:rsid w:val="44544259"/>
    <w:rsid w:val="44AE0531"/>
    <w:rsid w:val="44CD52AD"/>
    <w:rsid w:val="45225D69"/>
    <w:rsid w:val="45617C39"/>
    <w:rsid w:val="456A4030"/>
    <w:rsid w:val="465B62FB"/>
    <w:rsid w:val="46D92F28"/>
    <w:rsid w:val="46EE412E"/>
    <w:rsid w:val="46FE5667"/>
    <w:rsid w:val="47557B02"/>
    <w:rsid w:val="4840399D"/>
    <w:rsid w:val="485830F3"/>
    <w:rsid w:val="486767AE"/>
    <w:rsid w:val="491471D7"/>
    <w:rsid w:val="49296AAF"/>
    <w:rsid w:val="49376EC5"/>
    <w:rsid w:val="496E2109"/>
    <w:rsid w:val="49AB48C7"/>
    <w:rsid w:val="4A0D7A62"/>
    <w:rsid w:val="4A10171C"/>
    <w:rsid w:val="4A63438C"/>
    <w:rsid w:val="4AA67AD7"/>
    <w:rsid w:val="4AEF295E"/>
    <w:rsid w:val="4B290246"/>
    <w:rsid w:val="4BAD796F"/>
    <w:rsid w:val="4BEB49B7"/>
    <w:rsid w:val="4C0557EA"/>
    <w:rsid w:val="4C0810CB"/>
    <w:rsid w:val="4C441E0D"/>
    <w:rsid w:val="4CAE3738"/>
    <w:rsid w:val="4DBD7DC9"/>
    <w:rsid w:val="4E0B53B8"/>
    <w:rsid w:val="4E2027C9"/>
    <w:rsid w:val="4E227E96"/>
    <w:rsid w:val="4E2677EA"/>
    <w:rsid w:val="4F024402"/>
    <w:rsid w:val="4F2C783F"/>
    <w:rsid w:val="4F3417A4"/>
    <w:rsid w:val="4F6E7198"/>
    <w:rsid w:val="4F7F7D13"/>
    <w:rsid w:val="4FBA4695"/>
    <w:rsid w:val="502061F6"/>
    <w:rsid w:val="50AB28B9"/>
    <w:rsid w:val="50AF4CBD"/>
    <w:rsid w:val="50ED3696"/>
    <w:rsid w:val="511C1A7B"/>
    <w:rsid w:val="51461FD3"/>
    <w:rsid w:val="51923422"/>
    <w:rsid w:val="51AB35FC"/>
    <w:rsid w:val="51F05975"/>
    <w:rsid w:val="51FB4F77"/>
    <w:rsid w:val="520A173F"/>
    <w:rsid w:val="526E7FD3"/>
    <w:rsid w:val="52EE6C15"/>
    <w:rsid w:val="5340517B"/>
    <w:rsid w:val="53414FFB"/>
    <w:rsid w:val="535F44AA"/>
    <w:rsid w:val="537931A0"/>
    <w:rsid w:val="539A6C5C"/>
    <w:rsid w:val="53A957A1"/>
    <w:rsid w:val="53D6305E"/>
    <w:rsid w:val="53DF3B6B"/>
    <w:rsid w:val="53E92698"/>
    <w:rsid w:val="54FE2ECC"/>
    <w:rsid w:val="552347DC"/>
    <w:rsid w:val="553924EE"/>
    <w:rsid w:val="55A22BD4"/>
    <w:rsid w:val="566E7C19"/>
    <w:rsid w:val="56740007"/>
    <w:rsid w:val="56952CF6"/>
    <w:rsid w:val="56A60B89"/>
    <w:rsid w:val="56C934ED"/>
    <w:rsid w:val="56DD7342"/>
    <w:rsid w:val="574A07D7"/>
    <w:rsid w:val="57BA53D9"/>
    <w:rsid w:val="57CF6F24"/>
    <w:rsid w:val="57F71ED3"/>
    <w:rsid w:val="58BD43D8"/>
    <w:rsid w:val="58CD7314"/>
    <w:rsid w:val="59047ACD"/>
    <w:rsid w:val="59823785"/>
    <w:rsid w:val="59FF7DCA"/>
    <w:rsid w:val="5A243BC6"/>
    <w:rsid w:val="5AB13384"/>
    <w:rsid w:val="5AB81413"/>
    <w:rsid w:val="5AD83AED"/>
    <w:rsid w:val="5ADB268E"/>
    <w:rsid w:val="5B082961"/>
    <w:rsid w:val="5B2A02A5"/>
    <w:rsid w:val="5B41386F"/>
    <w:rsid w:val="5B5527A7"/>
    <w:rsid w:val="5C5F7915"/>
    <w:rsid w:val="5C607386"/>
    <w:rsid w:val="5CA70812"/>
    <w:rsid w:val="5CC74CE2"/>
    <w:rsid w:val="5CD62A2E"/>
    <w:rsid w:val="5CFD3517"/>
    <w:rsid w:val="5D196434"/>
    <w:rsid w:val="5D3A7A95"/>
    <w:rsid w:val="5DD20A98"/>
    <w:rsid w:val="5DFC6CC2"/>
    <w:rsid w:val="5F74014A"/>
    <w:rsid w:val="60205CEF"/>
    <w:rsid w:val="60273EB8"/>
    <w:rsid w:val="60403B7E"/>
    <w:rsid w:val="60454F58"/>
    <w:rsid w:val="60712CD9"/>
    <w:rsid w:val="60813D39"/>
    <w:rsid w:val="609A029B"/>
    <w:rsid w:val="60BD26AE"/>
    <w:rsid w:val="61161BAD"/>
    <w:rsid w:val="622E7F85"/>
    <w:rsid w:val="6242083F"/>
    <w:rsid w:val="62AC0DA2"/>
    <w:rsid w:val="63CC0121"/>
    <w:rsid w:val="63EF1A9D"/>
    <w:rsid w:val="64511834"/>
    <w:rsid w:val="645E5FEC"/>
    <w:rsid w:val="64C841CC"/>
    <w:rsid w:val="64D10AE6"/>
    <w:rsid w:val="64D96741"/>
    <w:rsid w:val="64E3096C"/>
    <w:rsid w:val="65426514"/>
    <w:rsid w:val="656873E0"/>
    <w:rsid w:val="656F7820"/>
    <w:rsid w:val="6584163C"/>
    <w:rsid w:val="65A52350"/>
    <w:rsid w:val="669104F0"/>
    <w:rsid w:val="670E3B06"/>
    <w:rsid w:val="67293AC0"/>
    <w:rsid w:val="675456FC"/>
    <w:rsid w:val="67994D04"/>
    <w:rsid w:val="682D22AE"/>
    <w:rsid w:val="689D3856"/>
    <w:rsid w:val="68E6134D"/>
    <w:rsid w:val="690F388B"/>
    <w:rsid w:val="69D27F7B"/>
    <w:rsid w:val="6A34700B"/>
    <w:rsid w:val="6A6E2127"/>
    <w:rsid w:val="6A855B2E"/>
    <w:rsid w:val="6A881BC4"/>
    <w:rsid w:val="6AE178F4"/>
    <w:rsid w:val="6AF207CF"/>
    <w:rsid w:val="6B3F4974"/>
    <w:rsid w:val="6B5928AF"/>
    <w:rsid w:val="6B6A06F4"/>
    <w:rsid w:val="6B747CCF"/>
    <w:rsid w:val="6BF35FD8"/>
    <w:rsid w:val="6BF419C7"/>
    <w:rsid w:val="6BF64DD5"/>
    <w:rsid w:val="6C181278"/>
    <w:rsid w:val="6C450C57"/>
    <w:rsid w:val="6C5C1A9F"/>
    <w:rsid w:val="6D0E6F7C"/>
    <w:rsid w:val="6DC22345"/>
    <w:rsid w:val="6DDF7DC2"/>
    <w:rsid w:val="6E525065"/>
    <w:rsid w:val="6E89023F"/>
    <w:rsid w:val="6F7A486F"/>
    <w:rsid w:val="6F846071"/>
    <w:rsid w:val="6FE52B63"/>
    <w:rsid w:val="700737BB"/>
    <w:rsid w:val="700F3CE3"/>
    <w:rsid w:val="703E5399"/>
    <w:rsid w:val="709B3E60"/>
    <w:rsid w:val="718D71C1"/>
    <w:rsid w:val="71AA53EE"/>
    <w:rsid w:val="721B6500"/>
    <w:rsid w:val="721F4455"/>
    <w:rsid w:val="72586259"/>
    <w:rsid w:val="7289362C"/>
    <w:rsid w:val="734C7FA3"/>
    <w:rsid w:val="740350C3"/>
    <w:rsid w:val="741A5896"/>
    <w:rsid w:val="74897380"/>
    <w:rsid w:val="74AC4302"/>
    <w:rsid w:val="752F7DE4"/>
    <w:rsid w:val="75674A24"/>
    <w:rsid w:val="75962816"/>
    <w:rsid w:val="75C766AA"/>
    <w:rsid w:val="75F916EE"/>
    <w:rsid w:val="760567B0"/>
    <w:rsid w:val="765D7659"/>
    <w:rsid w:val="76753026"/>
    <w:rsid w:val="76AB7DFA"/>
    <w:rsid w:val="76DA3203"/>
    <w:rsid w:val="773E1FD2"/>
    <w:rsid w:val="774F7BF2"/>
    <w:rsid w:val="777B2B6F"/>
    <w:rsid w:val="77CB3827"/>
    <w:rsid w:val="77DC4543"/>
    <w:rsid w:val="780C7A92"/>
    <w:rsid w:val="780E0F29"/>
    <w:rsid w:val="787E6628"/>
    <w:rsid w:val="79383FBD"/>
    <w:rsid w:val="79614495"/>
    <w:rsid w:val="7A0D50F7"/>
    <w:rsid w:val="7A697DD4"/>
    <w:rsid w:val="7ABE085B"/>
    <w:rsid w:val="7AC71563"/>
    <w:rsid w:val="7B013398"/>
    <w:rsid w:val="7B337958"/>
    <w:rsid w:val="7B426BD2"/>
    <w:rsid w:val="7B7B394F"/>
    <w:rsid w:val="7C332D7C"/>
    <w:rsid w:val="7C3771DF"/>
    <w:rsid w:val="7C3F7D01"/>
    <w:rsid w:val="7C662AE0"/>
    <w:rsid w:val="7CB262CC"/>
    <w:rsid w:val="7CB46677"/>
    <w:rsid w:val="7D277049"/>
    <w:rsid w:val="7D401671"/>
    <w:rsid w:val="7D976261"/>
    <w:rsid w:val="7E057283"/>
    <w:rsid w:val="7E29314A"/>
    <w:rsid w:val="7EA61C0A"/>
    <w:rsid w:val="7ED3073F"/>
    <w:rsid w:val="7EE34799"/>
    <w:rsid w:val="7FAC0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character" w:styleId="10">
    <w:name w:val="Strong"/>
    <w:basedOn w:val="9"/>
    <w:qFormat/>
    <w:uiPriority w:val="99"/>
    <w:rPr>
      <w:rFonts w:cs="Times New Roman"/>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widowControl/>
      <w:autoSpaceDE/>
      <w:autoSpaceDN/>
      <w:adjustRightInd/>
      <w:ind w:firstLine="420" w:firstLineChars="200"/>
    </w:pPr>
    <w:rPr>
      <w:rFonts w:hint="default" w:cs="宋体"/>
      <w:szCs w:val="24"/>
    </w:rPr>
  </w:style>
  <w:style w:type="character" w:customStyle="1" w:styleId="15">
    <w:name w:val="日期 Char"/>
    <w:basedOn w:val="9"/>
    <w:link w:val="3"/>
    <w:semiHidden/>
    <w:qFormat/>
    <w:uiPriority w:val="99"/>
    <w:rPr>
      <w:rFonts w:ascii="宋体" w:hAnsi="宋体" w:eastAsia="宋体" w:cs="Times New Roman"/>
      <w:kern w:val="0"/>
      <w:sz w:val="24"/>
      <w:szCs w:val="20"/>
    </w:rPr>
  </w:style>
  <w:style w:type="paragraph" w:customStyle="1" w:styleId="16">
    <w:name w:val="列出段落1"/>
    <w:basedOn w:val="1"/>
    <w:qFormat/>
    <w:uiPriority w:val="99"/>
    <w:pPr>
      <w:ind w:firstLine="420" w:firstLineChars="200"/>
    </w:pPr>
    <w:rPr>
      <w:szCs w:val="22"/>
    </w:rPr>
  </w:style>
  <w:style w:type="character" w:customStyle="1" w:styleId="17">
    <w:name w:val="批注框文本 Char"/>
    <w:basedOn w:val="9"/>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A32B-08AE-4904-953A-B693A4E19C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5211</Words>
  <Characters>5707</Characters>
  <Lines>10</Lines>
  <Paragraphs>12</Paragraphs>
  <TotalTime>1</TotalTime>
  <ScaleCrop>false</ScaleCrop>
  <LinksUpToDate>false</LinksUpToDate>
  <CharactersWithSpaces>5875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2021-01-02T09:15:00Z</dcterms:created>
  <dc:creator>微软用户</dc:creator>
  <cp:lastModifiedBy>Administrator</cp:lastModifiedBy>
  <cp:lastPrinted>2021-04-25T02:13:00Z</cp:lastPrinted>
  <dcterms:modified xsi:type="dcterms:W3CDTF">2021-08-27T07:47:17Z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910437316CED4114900A83FEF3E63390</vt:lpwstr>
  </property>
</Properties>
</file>