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248" w:type="dxa"/>
        <w:jc w:val="center"/>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1" w:hRule="atLeast"/>
          <w:jc w:val="center"/>
        </w:trPr>
        <w:tc>
          <w:tcPr>
            <w:tcW w:w="9248" w:type="dxa"/>
            <w:vAlign w:val="center"/>
          </w:tcPr>
          <w:p>
            <w:pPr>
              <w:autoSpaceDE/>
              <w:autoSpaceDN/>
              <w:jc w:val="distribute"/>
              <w:rPr>
                <w:rFonts w:hint="default" w:cs="宋体"/>
                <w:color w:val="FF0000"/>
                <w:sz w:val="70"/>
                <w:szCs w:val="70"/>
              </w:rPr>
            </w:pPr>
            <w:r>
              <w:rPr>
                <w:rFonts w:cs="宋体"/>
                <w:color w:val="FF0000"/>
                <w:sz w:val="70"/>
                <w:szCs w:val="70"/>
              </w:rPr>
              <w:t>中国投资协会</w:t>
            </w:r>
          </w:p>
          <w:p>
            <w:pPr>
              <w:autoSpaceDE/>
              <w:autoSpaceDN/>
              <w:jc w:val="distribute"/>
              <w:rPr>
                <w:rFonts w:hint="default" w:ascii="楷体" w:hAnsi="楷体" w:eastAsia="楷体"/>
                <w:color w:val="FF0000"/>
                <w:sz w:val="70"/>
                <w:szCs w:val="70"/>
              </w:rPr>
            </w:pPr>
            <w:r>
              <w:rPr>
                <w:rFonts w:cs="宋体"/>
                <w:color w:val="FF0000"/>
                <w:sz w:val="70"/>
                <w:szCs w:val="70"/>
              </w:rPr>
              <w:t>项目投融资专业委员会文件</w:t>
            </w:r>
          </w:p>
          <w:p>
            <w:pPr>
              <w:autoSpaceDE/>
              <w:autoSpaceDN/>
              <w:spacing w:line="440" w:lineRule="exact"/>
              <w:jc w:val="center"/>
              <w:rPr>
                <w:rFonts w:hint="default" w:ascii="仿宋" w:hAnsi="仿宋" w:eastAsia="仿宋"/>
                <w:color w:val="000000"/>
                <w:sz w:val="32"/>
                <w:szCs w:val="32"/>
              </w:rPr>
            </w:pPr>
            <w:r>
              <w:rPr>
                <w:rFonts w:ascii="仿宋" w:hAnsi="仿宋" w:eastAsia="仿宋" w:cs="宋体"/>
                <w:sz w:val="32"/>
                <w:szCs w:val="32"/>
              </w:rPr>
              <w:t>投融培〔2021〕</w:t>
            </w:r>
            <w:r>
              <w:rPr>
                <w:rFonts w:hint="eastAsia" w:ascii="仿宋" w:hAnsi="仿宋" w:eastAsia="仿宋" w:cs="宋体"/>
                <w:sz w:val="32"/>
                <w:szCs w:val="32"/>
                <w:lang w:val="en-US" w:eastAsia="zh-CN"/>
              </w:rPr>
              <w:t>16</w:t>
            </w:r>
            <w:r>
              <w:rPr>
                <w:rFonts w:ascii="仿宋" w:hAnsi="仿宋" w:eastAsia="仿宋" w:cs="宋体"/>
                <w:sz w:val="32"/>
                <w:szCs w:val="32"/>
              </w:rPr>
              <w:t>号</w:t>
            </w:r>
          </w:p>
        </w:tc>
      </w:tr>
    </w:tbl>
    <w:p>
      <w:pPr>
        <w:pStyle w:val="9"/>
        <w:spacing w:before="0" w:after="0" w:line="440" w:lineRule="exact"/>
        <w:rPr>
          <w:rFonts w:hint="default" w:asciiTheme="majorEastAsia" w:hAnsiTheme="majorEastAsia" w:eastAsiaTheme="majorEastAsia" w:cstheme="majorEastAsia"/>
          <w:sz w:val="36"/>
          <w:szCs w:val="36"/>
        </w:rPr>
      </w:pPr>
    </w:p>
    <w:p>
      <w:pPr>
        <w:pStyle w:val="9"/>
        <w:spacing w:before="0" w:after="0" w:line="440" w:lineRule="exact"/>
        <w:outlineLvl w:val="9"/>
        <w:rPr>
          <w:rFonts w:hint="default" w:asciiTheme="majorEastAsia" w:hAnsiTheme="majorEastAsia" w:eastAsiaTheme="majorEastAsia" w:cstheme="majorEastAsia"/>
          <w:sz w:val="36"/>
          <w:szCs w:val="36"/>
        </w:rPr>
      </w:pPr>
      <w:r>
        <w:rPr>
          <w:rFonts w:asciiTheme="majorEastAsia" w:hAnsiTheme="majorEastAsia" w:eastAsiaTheme="majorEastAsia" w:cstheme="majorEastAsia"/>
          <w:sz w:val="36"/>
          <w:szCs w:val="36"/>
        </w:rPr>
        <w:t>关于举办地方政府“两新一重”项目谋划及</w:t>
      </w:r>
    </w:p>
    <w:p>
      <w:pPr>
        <w:pStyle w:val="9"/>
        <w:spacing w:before="0" w:after="0" w:line="440" w:lineRule="exact"/>
        <w:outlineLvl w:val="9"/>
        <w:rPr>
          <w:rFonts w:hint="default" w:asciiTheme="majorEastAsia" w:hAnsiTheme="majorEastAsia" w:eastAsiaTheme="majorEastAsia" w:cstheme="majorEastAsia"/>
          <w:sz w:val="36"/>
          <w:szCs w:val="36"/>
        </w:rPr>
      </w:pPr>
      <w:r>
        <w:rPr>
          <w:rFonts w:asciiTheme="majorEastAsia" w:hAnsiTheme="majorEastAsia" w:eastAsiaTheme="majorEastAsia" w:cstheme="majorEastAsia"/>
          <w:sz w:val="36"/>
          <w:szCs w:val="36"/>
        </w:rPr>
        <w:t>片区</w:t>
      </w:r>
      <w:r>
        <w:rPr>
          <w:rFonts w:hint="eastAsia" w:asciiTheme="majorEastAsia" w:hAnsiTheme="majorEastAsia" w:eastAsiaTheme="majorEastAsia" w:cstheme="majorEastAsia"/>
          <w:sz w:val="36"/>
          <w:szCs w:val="36"/>
          <w:lang w:eastAsia="zh-CN"/>
        </w:rPr>
        <w:t>综合</w:t>
      </w:r>
      <w:r>
        <w:rPr>
          <w:rFonts w:asciiTheme="majorEastAsia" w:hAnsiTheme="majorEastAsia" w:eastAsiaTheme="majorEastAsia" w:cstheme="majorEastAsia"/>
          <w:sz w:val="36"/>
          <w:szCs w:val="36"/>
        </w:rPr>
        <w:t>开发投融资实务培训班的通知</w:t>
      </w:r>
    </w:p>
    <w:p>
      <w:pPr>
        <w:pStyle w:val="9"/>
        <w:keepNext w:val="0"/>
        <w:keepLines w:val="0"/>
        <w:pageBreakBefore w:val="0"/>
        <w:kinsoku/>
        <w:wordWrap/>
        <w:overflowPunct/>
        <w:topLinePunct w:val="0"/>
        <w:bidi w:val="0"/>
        <w:snapToGrid/>
        <w:spacing w:before="0" w:after="0" w:line="428" w:lineRule="exact"/>
        <w:jc w:val="left"/>
        <w:textAlignment w:val="auto"/>
        <w:rPr>
          <w:rFonts w:hint="default" w:ascii="仿宋" w:hAnsi="仿宋" w:eastAsia="仿宋" w:cs="仿宋"/>
          <w:kern w:val="2"/>
        </w:rPr>
      </w:pPr>
    </w:p>
    <w:p>
      <w:pPr>
        <w:pStyle w:val="9"/>
        <w:keepNext w:val="0"/>
        <w:keepLines w:val="0"/>
        <w:pageBreakBefore w:val="0"/>
        <w:kinsoku/>
        <w:wordWrap/>
        <w:overflowPunct/>
        <w:topLinePunct w:val="0"/>
        <w:bidi w:val="0"/>
        <w:snapToGrid/>
        <w:spacing w:before="0" w:after="0" w:line="428" w:lineRule="exact"/>
        <w:jc w:val="left"/>
        <w:textAlignment w:val="auto"/>
        <w:rPr>
          <w:rFonts w:hint="eastAsia" w:ascii="仿宋" w:hAnsi="仿宋" w:eastAsia="仿宋" w:cs="仿宋"/>
          <w:b w:val="0"/>
          <w:kern w:val="2"/>
          <w:sz w:val="30"/>
          <w:szCs w:val="30"/>
        </w:rPr>
      </w:pPr>
      <w:r>
        <w:rPr>
          <w:rFonts w:hint="eastAsia" w:ascii="仿宋" w:hAnsi="仿宋" w:eastAsia="仿宋" w:cs="仿宋"/>
          <w:b w:val="0"/>
          <w:kern w:val="2"/>
          <w:sz w:val="30"/>
          <w:szCs w:val="30"/>
        </w:rPr>
        <w:t>各有关单位:</w:t>
      </w:r>
    </w:p>
    <w:p>
      <w:pPr>
        <w:spacing w:line="46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kern w:val="2"/>
          <w:sz w:val="30"/>
          <w:szCs w:val="30"/>
        </w:rPr>
        <w:t>“十四五”规划和2035年远景目标纲要提出,推进既促消费惠民生又调结构增后劲的</w:t>
      </w:r>
      <w:r>
        <w:rPr>
          <w:rFonts w:hint="eastAsia" w:ascii="仿宋" w:hAnsi="仿宋" w:eastAsia="仿宋" w:cs="仿宋"/>
          <w:sz w:val="30"/>
          <w:szCs w:val="30"/>
        </w:rPr>
        <w:t>新型基础设施、新型城镇化、交通水利等重大工程建设。</w:t>
      </w:r>
      <w:r>
        <w:rPr>
          <w:rFonts w:hint="eastAsia" w:ascii="仿宋" w:hAnsi="仿宋" w:eastAsia="仿宋" w:cs="仿宋"/>
          <w:spacing w:val="7"/>
          <w:sz w:val="30"/>
          <w:szCs w:val="30"/>
        </w:rPr>
        <w:t>“两新一重”建设是促进我国经济社会发展的新机遇、新动能，成为扩大有效投资的重要抓手。</w:t>
      </w:r>
      <w:r>
        <w:rPr>
          <w:rFonts w:hint="eastAsia" w:ascii="仿宋" w:hAnsi="仿宋" w:eastAsia="仿宋" w:cs="仿宋"/>
          <w:sz w:val="30"/>
          <w:szCs w:val="30"/>
        </w:rPr>
        <w:t>片区综合开发是推动新型城镇化建设重要开发模式，是“十四五”期间引领城市发展升级的主要举措。《国务院关于进一步深化预算管理制度改革意见》（国发〔2021〕5号）提出，“把防范化解地方政府隐性债务风险作为重要的政治纪律和政治规矩，坚决遏制隐性债务增量，妥善处置和化解隐性债务存量。”为贯彻落实各项文件精神，助力相关单位健康有序高质量推进项目建设，有效防范控制风险，</w:t>
      </w:r>
      <w:r>
        <w:rPr>
          <w:rFonts w:hint="eastAsia" w:ascii="仿宋" w:hAnsi="仿宋" w:eastAsia="仿宋" w:cs="仿宋"/>
          <w:color w:val="000000" w:themeColor="text1"/>
          <w:sz w:val="30"/>
          <w:szCs w:val="30"/>
          <w14:textFill>
            <w14:solidFill>
              <w14:schemeClr w14:val="tx1"/>
            </w14:solidFill>
          </w14:textFill>
        </w:rPr>
        <w:t>中国投资协会项目投融资专业委员会会同北京中科善若教育咨询有限公司举办地方政府“两新一重”项目谋划及片区综合开发投融资实务培训班。</w:t>
      </w:r>
    </w:p>
    <w:p>
      <w:pPr>
        <w:widowControl/>
        <w:autoSpaceDE/>
        <w:autoSpaceDN/>
        <w:adjustRightInd/>
        <w:spacing w:line="44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本次培训旨在帮助地方政府做好项目谋划，促进平台公司加快转型，提高城市新区、产业园区和新型城镇化项目建设水平，</w:t>
      </w:r>
      <w:r>
        <w:rPr>
          <w:rFonts w:hint="eastAsia" w:ascii="仿宋" w:hAnsi="仿宋" w:eastAsia="仿宋" w:cs="仿宋"/>
          <w:color w:val="000000"/>
          <w:sz w:val="30"/>
          <w:szCs w:val="30"/>
        </w:rPr>
        <w:t>帮助金融机构</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sz w:val="30"/>
          <w:szCs w:val="30"/>
        </w:rPr>
        <w:t>片区综合开发企业系统学习国家投融资相关政策，</w:t>
      </w:r>
      <w:r>
        <w:rPr>
          <w:rFonts w:hint="eastAsia" w:ascii="仿宋" w:hAnsi="仿宋" w:eastAsia="仿宋" w:cs="仿宋"/>
          <w:color w:val="000000" w:themeColor="text1"/>
          <w:sz w:val="30"/>
          <w:szCs w:val="30"/>
          <w14:textFill>
            <w14:solidFill>
              <w14:schemeClr w14:val="tx1"/>
            </w14:solidFill>
          </w14:textFill>
        </w:rPr>
        <w:t>加强合规参与政府投资类项目</w:t>
      </w:r>
      <w:r>
        <w:rPr>
          <w:rFonts w:hint="eastAsia" w:ascii="仿宋" w:hAnsi="仿宋" w:eastAsia="仿宋" w:cs="仿宋"/>
          <w:color w:val="000000"/>
          <w:sz w:val="30"/>
          <w:szCs w:val="30"/>
        </w:rPr>
        <w:t>能力，</w:t>
      </w:r>
      <w:r>
        <w:rPr>
          <w:rFonts w:hint="eastAsia" w:ascii="仿宋" w:hAnsi="仿宋" w:eastAsia="仿宋" w:cs="仿宋"/>
          <w:color w:val="000000" w:themeColor="text1"/>
          <w:sz w:val="30"/>
          <w:szCs w:val="30"/>
          <w14:textFill>
            <w14:solidFill>
              <w14:schemeClr w14:val="tx1"/>
            </w14:solidFill>
          </w14:textFill>
        </w:rPr>
        <w:t>熟悉</w:t>
      </w:r>
      <w:r>
        <w:rPr>
          <w:rFonts w:hint="eastAsia" w:ascii="仿宋" w:hAnsi="仿宋" w:eastAsia="仿宋" w:cs="仿宋"/>
          <w:color w:val="000000"/>
          <w:sz w:val="30"/>
          <w:szCs w:val="30"/>
        </w:rPr>
        <w:t>项目谋划与实施</w:t>
      </w:r>
      <w:r>
        <w:rPr>
          <w:rFonts w:hint="eastAsia" w:ascii="仿宋" w:hAnsi="仿宋" w:eastAsia="仿宋" w:cs="仿宋"/>
          <w:color w:val="000000" w:themeColor="text1"/>
          <w:sz w:val="30"/>
          <w:szCs w:val="30"/>
          <w14:textFill>
            <w14:solidFill>
              <w14:schemeClr w14:val="tx1"/>
            </w14:solidFill>
          </w14:textFill>
        </w:rPr>
        <w:t>路径</w:t>
      </w:r>
      <w:r>
        <w:rPr>
          <w:rFonts w:hint="eastAsia" w:ascii="仿宋" w:hAnsi="仿宋" w:eastAsia="仿宋" w:cs="仿宋"/>
          <w:color w:val="000000"/>
          <w:sz w:val="30"/>
          <w:szCs w:val="30"/>
        </w:rPr>
        <w:t>，</w:t>
      </w:r>
      <w:r>
        <w:rPr>
          <w:rFonts w:hint="eastAsia" w:ascii="仿宋" w:hAnsi="仿宋" w:eastAsia="仿宋" w:cs="仿宋"/>
          <w:color w:val="000000" w:themeColor="text1"/>
          <w:sz w:val="30"/>
          <w:szCs w:val="30"/>
          <w14:textFill>
            <w14:solidFill>
              <w14:schemeClr w14:val="tx1"/>
            </w14:solidFill>
          </w14:textFill>
        </w:rPr>
        <w:t>掌握</w:t>
      </w:r>
      <w:r>
        <w:rPr>
          <w:rFonts w:hint="eastAsia" w:ascii="仿宋" w:hAnsi="仿宋" w:eastAsia="仿宋" w:cs="仿宋"/>
          <w:color w:val="000000"/>
          <w:sz w:val="30"/>
          <w:szCs w:val="30"/>
        </w:rPr>
        <w:t>投融资模式创新实务，</w:t>
      </w:r>
      <w:r>
        <w:rPr>
          <w:rFonts w:hint="eastAsia" w:ascii="仿宋" w:hAnsi="仿宋" w:eastAsia="仿宋" w:cs="仿宋"/>
          <w:color w:val="000000" w:themeColor="text1"/>
          <w:sz w:val="30"/>
          <w:szCs w:val="30"/>
          <w14:textFill>
            <w14:solidFill>
              <w14:schemeClr w14:val="tx1"/>
            </w14:solidFill>
          </w14:textFill>
        </w:rPr>
        <w:t>促进地方经济社会健康持续发展。现将具体事项通知如下：</w:t>
      </w:r>
    </w:p>
    <w:p>
      <w:pPr>
        <w:keepNext w:val="0"/>
        <w:keepLines w:val="0"/>
        <w:pageBreakBefore w:val="0"/>
        <w:shd w:val="clear" w:color="auto" w:fill="FFFFFF"/>
        <w:kinsoku/>
        <w:wordWrap/>
        <w:overflowPunct/>
        <w:topLinePunct w:val="0"/>
        <w:bidi w:val="0"/>
        <w:snapToGrid/>
        <w:spacing w:line="428" w:lineRule="exact"/>
        <w:ind w:firstLine="600" w:firstLineChars="200"/>
        <w:jc w:val="both"/>
        <w:textAlignment w:val="auto"/>
        <w:rPr>
          <w:rFonts w:hint="default" w:ascii="黑体" w:hAnsi="黑体" w:eastAsia="黑体" w:cs="黑体"/>
          <w:color w:val="000000"/>
          <w:kern w:val="2"/>
          <w:sz w:val="30"/>
          <w:szCs w:val="30"/>
        </w:rPr>
      </w:pPr>
      <w:r>
        <w:rPr>
          <w:rFonts w:ascii="黑体" w:hAnsi="黑体" w:eastAsia="黑体" w:cs="黑体"/>
          <w:kern w:val="2"/>
          <w:sz w:val="30"/>
          <w:szCs w:val="30"/>
        </w:rPr>
        <w:t>一、组织机构</w:t>
      </w:r>
    </w:p>
    <w:p>
      <w:pPr>
        <w:widowControl/>
        <w:autoSpaceDE/>
        <w:autoSpaceDN/>
        <w:adjustRightInd/>
        <w:spacing w:line="440" w:lineRule="exact"/>
        <w:ind w:firstLine="600" w:firstLineChars="200"/>
        <w:rPr>
          <w:rFonts w:hint="default" w:ascii="仿宋" w:hAnsi="仿宋" w:eastAsia="仿宋" w:cs="仿宋"/>
          <w:color w:val="000000"/>
          <w:sz w:val="30"/>
          <w:szCs w:val="30"/>
        </w:rPr>
      </w:pPr>
      <w:r>
        <w:rPr>
          <w:rFonts w:hint="eastAsia" w:ascii="仿宋" w:hAnsi="仿宋" w:eastAsia="仿宋" w:cs="仿宋"/>
          <w:color w:val="000000"/>
          <w:sz w:val="30"/>
          <w:szCs w:val="30"/>
        </w:rPr>
        <w:t>主办单位：中国投资协会项目投融资专业委员会</w:t>
      </w:r>
    </w:p>
    <w:p>
      <w:pPr>
        <w:widowControl/>
        <w:autoSpaceDE/>
        <w:autoSpaceDN/>
        <w:adjustRightInd/>
        <w:spacing w:line="440" w:lineRule="exact"/>
        <w:ind w:firstLine="600" w:firstLineChars="200"/>
        <w:rPr>
          <w:rFonts w:hint="default" w:ascii="仿宋" w:hAnsi="仿宋" w:eastAsia="仿宋" w:cs="仿宋"/>
          <w:color w:val="000000"/>
          <w:sz w:val="30"/>
          <w:szCs w:val="30"/>
        </w:rPr>
      </w:pPr>
      <w:r>
        <w:rPr>
          <w:rFonts w:hint="eastAsia" w:ascii="仿宋" w:hAnsi="仿宋" w:eastAsia="仿宋" w:cs="仿宋"/>
          <w:color w:val="000000"/>
          <w:sz w:val="30"/>
          <w:szCs w:val="30"/>
        </w:rPr>
        <w:t>承办单位：北京中科善若教育咨询有限公司</w:t>
      </w:r>
    </w:p>
    <w:p>
      <w:pPr>
        <w:keepNext w:val="0"/>
        <w:keepLines w:val="0"/>
        <w:pageBreakBefore w:val="0"/>
        <w:numPr>
          <w:ilvl w:val="0"/>
          <w:numId w:val="1"/>
        </w:numPr>
        <w:kinsoku/>
        <w:wordWrap/>
        <w:overflowPunct/>
        <w:topLinePunct w:val="0"/>
        <w:bidi w:val="0"/>
        <w:snapToGrid/>
        <w:spacing w:line="428" w:lineRule="exact"/>
        <w:ind w:firstLine="600" w:firstLineChars="200"/>
        <w:textAlignment w:val="auto"/>
        <w:rPr>
          <w:rFonts w:ascii="黑体" w:hAnsi="黑体" w:eastAsia="黑体" w:cs="黑体"/>
          <w:kern w:val="2"/>
          <w:sz w:val="30"/>
          <w:szCs w:val="30"/>
        </w:rPr>
      </w:pPr>
      <w:r>
        <w:rPr>
          <w:rFonts w:ascii="黑体" w:hAnsi="黑体" w:eastAsia="黑体" w:cs="黑体"/>
          <w:kern w:val="2"/>
          <w:sz w:val="30"/>
          <w:szCs w:val="30"/>
        </w:rPr>
        <w:t>培训内容（详细内容见附件）</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1.“两新一重”建设及基础设施投融资政策解读与实务</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2.“两新一重”建设内容解析与案例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3.“两新一重”建设合规投融资模式与案例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4.国发〔2021〕5号文后基建ABO模式的应用及限制</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5.“两新一重”建设与政府债务防范及案例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6.“两新一重”建设谋划储备、项目包装及案例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7.园区、片区开发相关政策要点解读</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8.片区综合开发中土地储备与交易及案例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9.城投公司如何参与片区综合开发及作用</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10.片区综合开发模式分析及案例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11.商业银行等金融机构参与片区综合开发</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12.央企、国企参与片区综合开发模式探讨及案例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13.“管委会+平台”模式实施片区综合开发项目的应用</w:t>
      </w:r>
    </w:p>
    <w:p>
      <w:pPr>
        <w:keepNext w:val="0"/>
        <w:keepLines w:val="0"/>
        <w:pageBreakBefore w:val="0"/>
        <w:shd w:val="clear" w:color="auto" w:fill="FFFFFF"/>
        <w:kinsoku/>
        <w:wordWrap/>
        <w:overflowPunct/>
        <w:topLinePunct w:val="0"/>
        <w:bidi w:val="0"/>
        <w:snapToGrid/>
        <w:spacing w:line="428" w:lineRule="exact"/>
        <w:ind w:firstLine="600" w:firstLineChars="200"/>
        <w:jc w:val="both"/>
        <w:textAlignment w:val="auto"/>
        <w:rPr>
          <w:rFonts w:hint="default" w:ascii="黑体" w:hAnsi="黑体" w:eastAsia="黑体" w:cs="黑体"/>
          <w:kern w:val="2"/>
          <w:sz w:val="30"/>
          <w:szCs w:val="30"/>
        </w:rPr>
      </w:pPr>
      <w:r>
        <w:rPr>
          <w:rFonts w:ascii="黑体" w:hAnsi="黑体" w:eastAsia="黑体" w:cs="黑体"/>
          <w:kern w:val="2"/>
          <w:sz w:val="30"/>
          <w:szCs w:val="30"/>
        </w:rPr>
        <w:t>三、培训对象</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1.各地方政府发改、教育、科技、司法、财政、环保、住建、交通、水利、农业、林业、文旅、卫健、能源等部门相关工作人员。</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2.参与新型城镇化、新型基础设施和政府项目的央企、国企、上市公司高管及项目负责人。</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3.银行、证券、基金、信托、资产管理、融资租赁等金融机构和工程咨询、规划设计、财务顾问、法律行业等部门负责人及管理人员。</w:t>
      </w:r>
    </w:p>
    <w:p>
      <w:pPr>
        <w:keepNext w:val="0"/>
        <w:keepLines w:val="0"/>
        <w:pageBreakBefore w:val="0"/>
        <w:shd w:val="clear" w:color="auto" w:fill="FFFFFF"/>
        <w:kinsoku/>
        <w:wordWrap/>
        <w:overflowPunct/>
        <w:topLinePunct w:val="0"/>
        <w:bidi w:val="0"/>
        <w:snapToGrid/>
        <w:spacing w:line="428" w:lineRule="exact"/>
        <w:ind w:firstLine="600" w:firstLineChars="200"/>
        <w:jc w:val="both"/>
        <w:textAlignment w:val="auto"/>
        <w:rPr>
          <w:rFonts w:hint="default" w:ascii="黑体" w:hAnsi="黑体" w:eastAsia="黑体" w:cs="黑体"/>
          <w:kern w:val="2"/>
          <w:sz w:val="30"/>
          <w:szCs w:val="30"/>
        </w:rPr>
      </w:pPr>
      <w:r>
        <w:rPr>
          <w:rFonts w:ascii="黑体" w:hAnsi="黑体" w:eastAsia="黑体" w:cs="黑体"/>
          <w:kern w:val="2"/>
          <w:sz w:val="30"/>
          <w:szCs w:val="30"/>
        </w:rPr>
        <w:t>四、授课专家</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拟邀请国家发展改革委、财政部相关领域专家授课，培训采用专题讲座、案例分析、政策解读、现场答疑、研讨交流等形式进行讲解。</w:t>
      </w:r>
    </w:p>
    <w:p>
      <w:pPr>
        <w:keepNext w:val="0"/>
        <w:keepLines w:val="0"/>
        <w:pageBreakBefore w:val="0"/>
        <w:shd w:val="clear" w:color="auto" w:fill="FFFFFF"/>
        <w:kinsoku/>
        <w:wordWrap/>
        <w:overflowPunct/>
        <w:topLinePunct w:val="0"/>
        <w:bidi w:val="0"/>
        <w:snapToGrid/>
        <w:spacing w:line="428" w:lineRule="exact"/>
        <w:ind w:firstLine="600" w:firstLineChars="200"/>
        <w:jc w:val="both"/>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ascii="黑体" w:hAnsi="黑体" w:eastAsia="黑体" w:cs="黑体"/>
          <w:kern w:val="2"/>
          <w:sz w:val="30"/>
          <w:szCs w:val="30"/>
        </w:rPr>
        <w:t>五、时间地点</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年</w:t>
      </w:r>
      <w:r>
        <w:rPr>
          <w:rFonts w:hint="eastAsia" w:ascii="仿宋" w:hAnsi="仿宋" w:eastAsia="仿宋" w:cs="仿宋"/>
          <w:kern w:val="2"/>
          <w:sz w:val="30"/>
          <w:szCs w:val="30"/>
          <w:lang w:val="en-US" w:eastAsia="zh-CN"/>
        </w:rPr>
        <w:t>09</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09</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28</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成都</w:t>
      </w:r>
      <w:r>
        <w:rPr>
          <w:rFonts w:hint="eastAsia" w:ascii="仿宋" w:hAnsi="仿宋" w:eastAsia="仿宋" w:cs="仿宋"/>
          <w:kern w:val="2"/>
          <w:sz w:val="30"/>
          <w:szCs w:val="30"/>
        </w:rPr>
        <w:t>市（</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年</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22</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南宁</w:t>
      </w:r>
      <w:r>
        <w:rPr>
          <w:rFonts w:hint="eastAsia" w:ascii="仿宋" w:hAnsi="仿宋" w:eastAsia="仿宋" w:cs="仿宋"/>
          <w:kern w:val="2"/>
          <w:sz w:val="30"/>
          <w:szCs w:val="30"/>
        </w:rPr>
        <w:t>市（</w:t>
      </w:r>
      <w:r>
        <w:rPr>
          <w:rFonts w:hint="eastAsia" w:ascii="仿宋" w:hAnsi="仿宋" w:eastAsia="仿宋" w:cs="仿宋"/>
          <w:kern w:val="2"/>
          <w:sz w:val="30"/>
          <w:szCs w:val="30"/>
          <w:lang w:val="en-US" w:eastAsia="zh-CN"/>
        </w:rPr>
        <w:t>22</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合肥</w:t>
      </w:r>
      <w:r>
        <w:rPr>
          <w:rFonts w:hint="eastAsia" w:ascii="仿宋" w:hAnsi="仿宋" w:eastAsia="仿宋" w:cs="仿宋"/>
          <w:kern w:val="2"/>
          <w:sz w:val="30"/>
          <w:szCs w:val="30"/>
        </w:rPr>
        <w:t>市（1</w:t>
      </w: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lang w:eastAsia="zh-CN"/>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30</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eastAsia="zh-CN"/>
        </w:rPr>
        <w:t>郑州</w:t>
      </w:r>
      <w:r>
        <w:rPr>
          <w:rFonts w:hint="eastAsia" w:ascii="仿宋" w:hAnsi="仿宋" w:eastAsia="仿宋" w:cs="仿宋"/>
          <w:kern w:val="2"/>
          <w:sz w:val="30"/>
          <w:szCs w:val="30"/>
          <w:lang w:val="en-US" w:eastAsia="zh-CN"/>
        </w:rPr>
        <w:t>市</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日全天报到</w:t>
      </w:r>
      <w:r>
        <w:rPr>
          <w:rFonts w:hint="eastAsia" w:ascii="仿宋" w:hAnsi="仿宋" w:eastAsia="仿宋" w:cs="仿宋"/>
          <w:kern w:val="2"/>
          <w:sz w:val="30"/>
          <w:szCs w:val="30"/>
          <w:lang w:eastAsia="zh-CN"/>
        </w:rPr>
        <w:t>）</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厦门</w:t>
      </w:r>
      <w:r>
        <w:rPr>
          <w:rFonts w:hint="eastAsia" w:ascii="仿宋" w:hAnsi="仿宋" w:eastAsia="仿宋" w:cs="仿宋"/>
          <w:kern w:val="2"/>
          <w:sz w:val="30"/>
          <w:szCs w:val="30"/>
        </w:rPr>
        <w:t>市（1</w:t>
      </w:r>
      <w:r>
        <w:rPr>
          <w:rFonts w:hint="eastAsia" w:ascii="仿宋" w:hAnsi="仿宋" w:eastAsia="仿宋" w:cs="仿宋"/>
          <w:kern w:val="2"/>
          <w:sz w:val="30"/>
          <w:szCs w:val="30"/>
          <w:lang w:val="en-US" w:eastAsia="zh-CN"/>
        </w:rPr>
        <w:t>0</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lang w:eastAsia="zh-CN"/>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28</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eastAsia="zh-CN"/>
        </w:rPr>
        <w:t>海口</w:t>
      </w:r>
      <w:r>
        <w:rPr>
          <w:rFonts w:hint="eastAsia" w:ascii="仿宋" w:hAnsi="仿宋" w:eastAsia="仿宋" w:cs="仿宋"/>
          <w:kern w:val="2"/>
          <w:sz w:val="30"/>
          <w:szCs w:val="30"/>
          <w:lang w:val="en-US" w:eastAsia="zh-CN"/>
        </w:rPr>
        <w:t>市</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日全天报到</w:t>
      </w:r>
      <w:r>
        <w:rPr>
          <w:rFonts w:hint="eastAsia" w:ascii="仿宋" w:hAnsi="仿宋" w:eastAsia="仿宋" w:cs="仿宋"/>
          <w:kern w:val="2"/>
          <w:sz w:val="30"/>
          <w:szCs w:val="30"/>
          <w:lang w:eastAsia="zh-CN"/>
        </w:rPr>
        <w:t>）</w:t>
      </w:r>
    </w:p>
    <w:p>
      <w:pPr>
        <w:keepNext w:val="0"/>
        <w:keepLines w:val="0"/>
        <w:pageBreakBefore w:val="0"/>
        <w:shd w:val="clear" w:color="auto" w:fill="FFFFFF"/>
        <w:kinsoku/>
        <w:wordWrap/>
        <w:overflowPunct/>
        <w:topLinePunct w:val="0"/>
        <w:bidi w:val="0"/>
        <w:snapToGrid/>
        <w:spacing w:line="428" w:lineRule="exact"/>
        <w:ind w:firstLine="600" w:firstLineChars="200"/>
        <w:jc w:val="both"/>
        <w:textAlignment w:val="auto"/>
        <w:rPr>
          <w:rFonts w:hint="default" w:ascii="黑体" w:hAnsi="黑体" w:eastAsia="黑体" w:cs="黑体"/>
          <w:kern w:val="2"/>
          <w:sz w:val="30"/>
          <w:szCs w:val="30"/>
        </w:rPr>
      </w:pPr>
      <w:r>
        <w:rPr>
          <w:rFonts w:ascii="黑体" w:hAnsi="黑体" w:eastAsia="黑体" w:cs="黑体"/>
          <w:kern w:val="2"/>
          <w:sz w:val="30"/>
          <w:szCs w:val="30"/>
        </w:rPr>
        <w:t>六、相关事宜</w:t>
      </w:r>
    </w:p>
    <w:p>
      <w:pPr>
        <w:pStyle w:val="3"/>
        <w:keepNext w:val="0"/>
        <w:keepLines w:val="0"/>
        <w:pageBreakBefore w:val="0"/>
        <w:kinsoku/>
        <w:wordWrap/>
        <w:overflowPunct/>
        <w:topLinePunct w:val="0"/>
        <w:autoSpaceDE/>
        <w:autoSpaceDN/>
        <w:bidi w:val="0"/>
        <w:adjustRightInd/>
        <w:snapToGrid/>
        <w:spacing w:line="428" w:lineRule="exact"/>
        <w:ind w:left="0" w:firstLine="480" w:firstLineChars="150"/>
        <w:textAlignment w:val="auto"/>
        <w:rPr>
          <w:rFonts w:hint="default" w:ascii="楷体" w:hAnsi="楷体" w:eastAsia="楷体" w:cs="仿宋"/>
          <w:color w:val="000000" w:themeColor="text1"/>
          <w14:textFill>
            <w14:solidFill>
              <w14:schemeClr w14:val="tx1"/>
            </w14:solidFill>
          </w14:textFill>
        </w:rPr>
      </w:pPr>
      <w:r>
        <w:rPr>
          <w:rFonts w:ascii="楷体" w:hAnsi="楷体" w:eastAsia="楷体" w:cs="仿宋"/>
          <w:color w:val="000000" w:themeColor="text1"/>
          <w14:textFill>
            <w14:solidFill>
              <w14:schemeClr w14:val="tx1"/>
            </w14:solidFill>
          </w14:textFill>
        </w:rPr>
        <w:t>（一）培训费用</w:t>
      </w:r>
    </w:p>
    <w:p>
      <w:pPr>
        <w:pStyle w:val="3"/>
        <w:keepNext w:val="0"/>
        <w:keepLines w:val="0"/>
        <w:pageBreakBefore w:val="0"/>
        <w:kinsoku/>
        <w:wordWrap/>
        <w:overflowPunct/>
        <w:topLinePunct w:val="0"/>
        <w:autoSpaceDE/>
        <w:autoSpaceDN/>
        <w:bidi w:val="0"/>
        <w:adjustRightInd/>
        <w:snapToGrid/>
        <w:spacing w:line="428" w:lineRule="exact"/>
        <w:ind w:left="0" w:firstLine="600" w:firstLineChars="200"/>
        <w:textAlignment w:val="auto"/>
        <w:rPr>
          <w:rFonts w:hint="default" w:ascii="仿宋" w:hAnsi="仿宋" w:eastAsia="仿宋" w:cs="仿宋"/>
          <w:bCs/>
          <w:color w:val="000000" w:themeColor="text1"/>
          <w:sz w:val="30"/>
          <w:szCs w:val="30"/>
          <w14:textFill>
            <w14:solidFill>
              <w14:schemeClr w14:val="tx1"/>
            </w14:solidFill>
          </w14:textFill>
        </w:rPr>
      </w:pPr>
      <w:r>
        <w:rPr>
          <w:rFonts w:ascii="仿宋" w:hAnsi="仿宋" w:eastAsia="仿宋" w:cs="仿宋"/>
          <w:bCs/>
          <w:color w:val="000000" w:themeColor="text1"/>
          <w:sz w:val="30"/>
          <w:szCs w:val="30"/>
          <w14:textFill>
            <w14:solidFill>
              <w14:schemeClr w14:val="tx1"/>
            </w14:solidFill>
          </w14:textFill>
        </w:rPr>
        <w:t>A.2980元/人（含培训、资料、课件、场地费用及会议期间午餐），住宿统一安排，费用自理。</w:t>
      </w:r>
    </w:p>
    <w:p>
      <w:pPr>
        <w:pStyle w:val="3"/>
        <w:keepNext w:val="0"/>
        <w:keepLines w:val="0"/>
        <w:pageBreakBefore w:val="0"/>
        <w:kinsoku/>
        <w:wordWrap/>
        <w:overflowPunct/>
        <w:topLinePunct w:val="0"/>
        <w:autoSpaceDE/>
        <w:autoSpaceDN/>
        <w:bidi w:val="0"/>
        <w:adjustRightInd/>
        <w:snapToGrid/>
        <w:spacing w:line="428" w:lineRule="exact"/>
        <w:ind w:left="0" w:firstLine="600" w:firstLineChars="200"/>
        <w:textAlignment w:val="auto"/>
        <w:rPr>
          <w:rFonts w:hint="default" w:ascii="仿宋" w:hAnsi="仿宋" w:eastAsia="仿宋" w:cs="仿宋"/>
          <w:bCs/>
          <w:color w:val="000000" w:themeColor="text1"/>
          <w:sz w:val="30"/>
          <w:szCs w:val="30"/>
          <w14:textFill>
            <w14:solidFill>
              <w14:schemeClr w14:val="tx1"/>
            </w14:solidFill>
          </w14:textFill>
        </w:rPr>
      </w:pPr>
      <w:r>
        <w:rPr>
          <w:rFonts w:ascii="仿宋" w:hAnsi="仿宋" w:eastAsia="仿宋" w:cs="仿宋"/>
          <w:bCs/>
          <w:color w:val="000000" w:themeColor="text1"/>
          <w:sz w:val="30"/>
          <w:szCs w:val="30"/>
          <w14:textFill>
            <w14:solidFill>
              <w14:schemeClr w14:val="tx1"/>
            </w14:solidFill>
          </w14:textFill>
        </w:rPr>
        <w:t>B.3980元/人（含证书、培训、资料、课件、场地费用及会议期间午餐），住宿统一安排，费用自理。</w:t>
      </w:r>
    </w:p>
    <w:p>
      <w:pPr>
        <w:pStyle w:val="3"/>
        <w:keepNext w:val="0"/>
        <w:keepLines w:val="0"/>
        <w:pageBreakBefore w:val="0"/>
        <w:kinsoku/>
        <w:wordWrap/>
        <w:overflowPunct/>
        <w:topLinePunct w:val="0"/>
        <w:autoSpaceDE/>
        <w:autoSpaceDN/>
        <w:bidi w:val="0"/>
        <w:adjustRightInd/>
        <w:snapToGrid/>
        <w:spacing w:line="428" w:lineRule="exact"/>
        <w:ind w:left="0" w:firstLine="600" w:firstLineChars="200"/>
        <w:textAlignment w:val="auto"/>
        <w:rPr>
          <w:rFonts w:hint="default" w:ascii="仿宋" w:hAnsi="仿宋" w:eastAsia="仿宋" w:cs="仿宋"/>
          <w:bCs/>
          <w:color w:val="000000" w:themeColor="text1"/>
          <w:sz w:val="30"/>
          <w:szCs w:val="30"/>
          <w14:textFill>
            <w14:solidFill>
              <w14:schemeClr w14:val="tx1"/>
            </w14:solidFill>
          </w14:textFill>
        </w:rPr>
      </w:pPr>
      <w:r>
        <w:rPr>
          <w:rFonts w:ascii="仿宋" w:hAnsi="仿宋" w:eastAsia="仿宋" w:cs="仿宋"/>
          <w:bCs/>
          <w:color w:val="000000" w:themeColor="text1"/>
          <w:sz w:val="30"/>
          <w:szCs w:val="30"/>
          <w14:textFill>
            <w14:solidFill>
              <w14:schemeClr w14:val="tx1"/>
            </w14:solidFill>
          </w14:textFill>
        </w:rPr>
        <w:t>C.5980元/人（含证书、培训、资料、课件、场地费用及会议期间食宿）。</w:t>
      </w:r>
    </w:p>
    <w:p>
      <w:pPr>
        <w:keepNext w:val="0"/>
        <w:keepLines w:val="0"/>
        <w:pageBreakBefore w:val="0"/>
        <w:kinsoku/>
        <w:wordWrap/>
        <w:overflowPunct/>
        <w:topLinePunct w:val="0"/>
        <w:autoSpaceDE/>
        <w:autoSpaceDN/>
        <w:bidi w:val="0"/>
        <w:adjustRightInd/>
        <w:snapToGrid/>
        <w:spacing w:line="428" w:lineRule="exact"/>
        <w:ind w:firstLine="600" w:firstLineChars="200"/>
        <w:textAlignment w:val="auto"/>
        <w:rPr>
          <w:rFonts w:hint="default" w:ascii="仿宋" w:hAnsi="仿宋" w:eastAsia="仿宋" w:cs="仿宋"/>
          <w:bCs/>
          <w:color w:val="000000" w:themeColor="text1"/>
          <w:sz w:val="30"/>
          <w:szCs w:val="30"/>
          <w14:textFill>
            <w14:solidFill>
              <w14:schemeClr w14:val="tx1"/>
            </w14:solidFill>
          </w14:textFill>
        </w:rPr>
      </w:pPr>
      <w:r>
        <w:rPr>
          <w:rFonts w:ascii="仿宋" w:hAnsi="仿宋" w:eastAsia="仿宋" w:cs="仿宋"/>
          <w:bCs/>
          <w:color w:val="000000" w:themeColor="text1"/>
          <w:sz w:val="30"/>
          <w:szCs w:val="30"/>
          <w14:textFill>
            <w14:solidFill>
              <w14:schemeClr w14:val="tx1"/>
            </w14:solidFill>
          </w14:textFill>
        </w:rPr>
        <w:t>培训</w:t>
      </w:r>
      <w:r>
        <w:rPr>
          <w:rFonts w:hint="eastAsia" w:ascii="仿宋" w:hAnsi="仿宋" w:eastAsia="仿宋" w:cs="仿宋"/>
          <w:bCs/>
          <w:color w:val="000000" w:themeColor="text1"/>
          <w:sz w:val="30"/>
          <w:szCs w:val="30"/>
          <w:lang w:eastAsia="zh-CN"/>
          <w14:textFill>
            <w14:solidFill>
              <w14:schemeClr w14:val="tx1"/>
            </w14:solidFill>
          </w14:textFill>
        </w:rPr>
        <w:t>结束</w:t>
      </w:r>
      <w:r>
        <w:rPr>
          <w:rFonts w:ascii="仿宋" w:hAnsi="仿宋" w:eastAsia="仿宋" w:cs="仿宋"/>
          <w:bCs/>
          <w:color w:val="000000" w:themeColor="text1"/>
          <w:sz w:val="30"/>
          <w:szCs w:val="30"/>
          <w14:textFill>
            <w14:solidFill>
              <w14:schemeClr w14:val="tx1"/>
            </w14:solidFill>
          </w14:textFill>
        </w:rPr>
        <w:t>由</w:t>
      </w:r>
      <w:r>
        <w:rPr>
          <w:rFonts w:hint="eastAsia" w:ascii="仿宋" w:hAnsi="仿宋" w:eastAsia="仿宋" w:cs="仿宋"/>
          <w:bCs/>
          <w:color w:val="000000" w:themeColor="text1"/>
          <w:sz w:val="30"/>
          <w:szCs w:val="30"/>
          <w:lang w:eastAsia="zh-CN"/>
          <w14:textFill>
            <w14:solidFill>
              <w14:schemeClr w14:val="tx1"/>
            </w14:solidFill>
          </w14:textFill>
        </w:rPr>
        <w:t>中</w:t>
      </w:r>
      <w:r>
        <w:rPr>
          <w:rFonts w:ascii="仿宋" w:hAnsi="仿宋" w:eastAsia="仿宋" w:cs="仿宋"/>
          <w:bCs/>
          <w:color w:val="000000" w:themeColor="text1"/>
          <w:sz w:val="30"/>
          <w:szCs w:val="30"/>
          <w14:textFill>
            <w14:solidFill>
              <w14:schemeClr w14:val="tx1"/>
            </w14:solidFill>
          </w14:textFill>
        </w:rPr>
        <w:t>国</w:t>
      </w:r>
      <w:r>
        <w:rPr>
          <w:rFonts w:hint="eastAsia" w:ascii="仿宋" w:hAnsi="仿宋" w:eastAsia="仿宋" w:cs="仿宋"/>
          <w:bCs/>
          <w:color w:val="000000" w:themeColor="text1"/>
          <w:sz w:val="30"/>
          <w:szCs w:val="30"/>
          <w:lang w:eastAsia="zh-CN"/>
          <w14:textFill>
            <w14:solidFill>
              <w14:schemeClr w14:val="tx1"/>
            </w14:solidFill>
          </w14:textFill>
        </w:rPr>
        <w:t>国</w:t>
      </w:r>
      <w:r>
        <w:rPr>
          <w:rFonts w:ascii="仿宋" w:hAnsi="仿宋" w:eastAsia="仿宋" w:cs="仿宋"/>
          <w:bCs/>
          <w:color w:val="000000" w:themeColor="text1"/>
          <w:sz w:val="30"/>
          <w:szCs w:val="30"/>
          <w14:textFill>
            <w14:solidFill>
              <w14:schemeClr w14:val="tx1"/>
            </w14:solidFill>
          </w14:textFill>
        </w:rPr>
        <w:t>家人事人才培训网、北京企业管理咨询协会共同颁发</w:t>
      </w:r>
      <w:r>
        <w:rPr>
          <w:rFonts w:hint="eastAsia" w:ascii="仿宋" w:hAnsi="仿宋" w:eastAsia="仿宋" w:cs="仿宋"/>
          <w:bCs/>
          <w:color w:val="000000" w:themeColor="text1"/>
          <w:sz w:val="30"/>
          <w:szCs w:val="30"/>
          <w:lang w:eastAsia="zh-CN"/>
          <w14:textFill>
            <w14:solidFill>
              <w14:schemeClr w14:val="tx1"/>
            </w14:solidFill>
          </w14:textFill>
        </w:rPr>
        <w:t>《</w:t>
      </w:r>
      <w:r>
        <w:rPr>
          <w:rFonts w:ascii="仿宋" w:hAnsi="仿宋" w:eastAsia="仿宋" w:cs="仿宋"/>
          <w:bCs/>
          <w:color w:val="000000" w:themeColor="text1"/>
          <w:sz w:val="30"/>
          <w:szCs w:val="30"/>
          <w14:textFill>
            <w14:solidFill>
              <w14:schemeClr w14:val="tx1"/>
            </w14:solidFill>
          </w14:textFill>
        </w:rPr>
        <w:t>投融资管理师</w:t>
      </w:r>
      <w:r>
        <w:rPr>
          <w:rFonts w:hint="eastAsia" w:ascii="仿宋" w:hAnsi="仿宋" w:eastAsia="仿宋" w:cs="仿宋"/>
          <w:bCs/>
          <w:color w:val="000000" w:themeColor="text1"/>
          <w:sz w:val="30"/>
          <w:szCs w:val="30"/>
          <w:lang w:eastAsia="zh-CN"/>
          <w14:textFill>
            <w14:solidFill>
              <w14:schemeClr w14:val="tx1"/>
            </w14:solidFill>
          </w14:textFill>
        </w:rPr>
        <w:t>》</w:t>
      </w:r>
      <w:r>
        <w:rPr>
          <w:rFonts w:ascii="仿宋" w:hAnsi="仿宋" w:eastAsia="仿宋" w:cs="仿宋"/>
          <w:bCs/>
          <w:color w:val="000000" w:themeColor="text1"/>
          <w:sz w:val="30"/>
          <w:szCs w:val="30"/>
          <w14:textFill>
            <w14:solidFill>
              <w14:schemeClr w14:val="tx1"/>
            </w14:solidFill>
          </w14:textFill>
        </w:rPr>
        <w:t>证书，需提供报名回执表、二寸白底免冠彩色照片（电子版）、身份证（复印件）、学历证书（复印件）各一份。证书可在“国培网人才数据库”查询。</w:t>
      </w:r>
    </w:p>
    <w:p>
      <w:pPr>
        <w:pStyle w:val="3"/>
        <w:keepNext w:val="0"/>
        <w:keepLines w:val="0"/>
        <w:pageBreakBefore w:val="0"/>
        <w:kinsoku/>
        <w:wordWrap/>
        <w:overflowPunct/>
        <w:topLinePunct w:val="0"/>
        <w:autoSpaceDE/>
        <w:autoSpaceDN/>
        <w:bidi w:val="0"/>
        <w:adjustRightInd/>
        <w:snapToGrid/>
        <w:spacing w:line="428" w:lineRule="exact"/>
        <w:ind w:left="0" w:firstLine="480" w:firstLineChars="150"/>
        <w:textAlignment w:val="auto"/>
        <w:rPr>
          <w:rFonts w:hint="default" w:ascii="楷体" w:hAnsi="楷体" w:eastAsia="楷体" w:cs="仿宋"/>
          <w:bCs/>
          <w:kern w:val="2"/>
        </w:rPr>
      </w:pPr>
      <w:r>
        <w:rPr>
          <w:rFonts w:ascii="楷体" w:hAnsi="楷体" w:eastAsia="楷体" w:cs="仿宋"/>
          <w:bCs/>
          <w:kern w:val="2"/>
        </w:rPr>
        <w:t>（二）联系方式</w:t>
      </w:r>
    </w:p>
    <w:p>
      <w:pPr>
        <w:keepNext w:val="0"/>
        <w:keepLines w:val="0"/>
        <w:pageBreakBefore w:val="0"/>
        <w:widowControl w:val="0"/>
        <w:kinsoku/>
        <w:wordWrap/>
        <w:overflowPunct/>
        <w:topLinePunct w:val="0"/>
        <w:bidi w:val="0"/>
        <w:snapToGrid/>
        <w:spacing w:line="428" w:lineRule="exact"/>
        <w:ind w:firstLine="600" w:firstLineChars="200"/>
        <w:textAlignment w:val="auto"/>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报名负责人：聂红军 主任18211071700（微信）   </w:t>
      </w:r>
    </w:p>
    <w:p>
      <w:pPr>
        <w:keepNext w:val="0"/>
        <w:keepLines w:val="0"/>
        <w:pageBreakBefore w:val="0"/>
        <w:widowControl w:val="0"/>
        <w:kinsoku/>
        <w:wordWrap/>
        <w:overflowPunct/>
        <w:topLinePunct w:val="0"/>
        <w:bidi w:val="0"/>
        <w:snapToGrid/>
        <w:spacing w:line="428" w:lineRule="exact"/>
        <w:ind w:firstLine="600" w:firstLineChars="200"/>
        <w:textAlignment w:val="auto"/>
        <w:rPr>
          <w:rFonts w:hint="eastAsia" w:ascii="仿宋" w:hAnsi="仿宋" w:eastAsia="仿宋" w:cs="仿宋"/>
          <w:bCs/>
          <w:color w:val="000000"/>
          <w:kern w:val="2"/>
          <w:sz w:val="30"/>
          <w:szCs w:val="30"/>
          <w:lang w:val="en-US" w:eastAsia="zh-CN" w:bidi="ar-SA"/>
        </w:rPr>
      </w:pPr>
      <w:r>
        <w:rPr>
          <w:rFonts w:hint="eastAsia" w:ascii="仿宋" w:hAnsi="仿宋" w:eastAsia="仿宋" w:cs="仿宋"/>
          <w:bCs/>
          <w:color w:val="000000"/>
          <w:kern w:val="2"/>
          <w:sz w:val="30"/>
          <w:szCs w:val="30"/>
          <w:lang w:val="en-US" w:eastAsia="zh-CN" w:bidi="ar-SA"/>
        </w:rPr>
        <w:t xml:space="preserve">电  话：010-87697580     邮    箱：zqgphwz@126.com  </w:t>
      </w:r>
    </w:p>
    <w:p>
      <w:pPr>
        <w:keepNext w:val="0"/>
        <w:keepLines w:val="0"/>
        <w:pageBreakBefore w:val="0"/>
        <w:widowControl w:val="0"/>
        <w:kinsoku/>
        <w:wordWrap/>
        <w:overflowPunct/>
        <w:topLinePunct w:val="0"/>
        <w:bidi w:val="0"/>
        <w:snapToGrid/>
        <w:spacing w:line="428" w:lineRule="exact"/>
        <w:ind w:firstLine="600" w:firstLineChars="200"/>
        <w:textAlignment w:val="auto"/>
        <w:rPr>
          <w:rFonts w:hint="eastAsia" w:ascii="黑体" w:hAnsi="黑体" w:eastAsia="黑体" w:cs="黑体"/>
          <w:bCs/>
          <w:color w:val="000000"/>
          <w:kern w:val="2"/>
          <w:sz w:val="32"/>
          <w:szCs w:val="32"/>
        </w:rPr>
      </w:pPr>
      <w:r>
        <w:rPr>
          <w:rFonts w:hint="eastAsia" w:ascii="仿宋" w:hAnsi="仿宋" w:eastAsia="仿宋" w:cs="仿宋"/>
          <w:bCs/>
          <w:color w:val="000000"/>
          <w:kern w:val="2"/>
          <w:sz w:val="30"/>
          <w:szCs w:val="30"/>
          <w:lang w:val="en-US" w:eastAsia="zh-CN" w:bidi="ar-SA"/>
        </w:rPr>
        <w:t>qq咨询：3177524020 网址查询：http://www.zqgpchina.cn/</w:t>
      </w:r>
    </w:p>
    <w:p>
      <w:pPr>
        <w:keepNext w:val="0"/>
        <w:keepLines w:val="0"/>
        <w:pageBreakBefore w:val="0"/>
        <w:kinsoku/>
        <w:wordWrap/>
        <w:overflowPunct/>
        <w:topLinePunct w:val="0"/>
        <w:bidi w:val="0"/>
        <w:snapToGrid/>
        <w:spacing w:line="428" w:lineRule="exact"/>
        <w:ind w:firstLine="640" w:firstLineChars="200"/>
        <w:textAlignment w:val="auto"/>
        <w:rPr>
          <w:rFonts w:hint="eastAsia" w:ascii="黑体" w:hAnsi="黑体" w:eastAsia="黑体" w:cs="黑体"/>
          <w:bCs/>
          <w:color w:val="000000"/>
          <w:kern w:val="2"/>
          <w:sz w:val="32"/>
          <w:szCs w:val="32"/>
        </w:rPr>
      </w:pPr>
    </w:p>
    <w:p>
      <w:pPr>
        <w:keepNext w:val="0"/>
        <w:keepLines w:val="0"/>
        <w:pageBreakBefore w:val="0"/>
        <w:kinsoku/>
        <w:wordWrap/>
        <w:overflowPunct/>
        <w:topLinePunct w:val="0"/>
        <w:bidi w:val="0"/>
        <w:snapToGrid/>
        <w:spacing w:line="428" w:lineRule="exact"/>
        <w:ind w:firstLine="640" w:firstLineChars="200"/>
        <w:textAlignment w:val="auto"/>
        <w:rPr>
          <w:rFonts w:hint="eastAsia" w:ascii="仿宋" w:hAnsi="仿宋" w:eastAsia="仿宋" w:cs="仿宋"/>
          <w:bCs/>
          <w:color w:val="000000"/>
          <w:sz w:val="30"/>
          <w:szCs w:val="30"/>
          <w:lang w:eastAsia="zh-CN"/>
        </w:rPr>
      </w:pPr>
      <w:r>
        <w:rPr>
          <w:rFonts w:hint="eastAsia" w:ascii="黑体" w:hAnsi="黑体" w:eastAsia="黑体" w:cs="黑体"/>
          <w:bCs/>
          <w:color w:val="000000"/>
          <w:kern w:val="2"/>
          <w:sz w:val="32"/>
          <w:szCs w:val="32"/>
        </w:rPr>
        <w:t>附件：</w:t>
      </w:r>
      <w:r>
        <w:rPr>
          <w:rFonts w:hint="eastAsia" w:ascii="黑体" w:hAnsi="黑体" w:eastAsia="黑体" w:cs="黑体"/>
          <w:bCs/>
          <w:color w:val="000000"/>
          <w:kern w:val="2"/>
          <w:sz w:val="32"/>
          <w:szCs w:val="32"/>
          <w:lang w:val="en-US" w:eastAsia="zh-CN"/>
        </w:rPr>
        <w:t xml:space="preserve"> </w:t>
      </w:r>
      <w:r>
        <w:rPr>
          <w:rFonts w:hint="eastAsia" w:ascii="仿宋" w:hAnsi="仿宋" w:eastAsia="仿宋" w:cs="仿宋"/>
          <w:bCs/>
          <w:color w:val="000000"/>
          <w:sz w:val="30"/>
          <w:szCs w:val="30"/>
          <w:lang w:eastAsia="zh-CN"/>
        </w:rPr>
        <w:t>1.培训内容</w:t>
      </w:r>
    </w:p>
    <w:p>
      <w:pPr>
        <w:keepNext w:val="0"/>
        <w:keepLines w:val="0"/>
        <w:pageBreakBefore w:val="0"/>
        <w:kinsoku/>
        <w:wordWrap/>
        <w:overflowPunct/>
        <w:topLinePunct w:val="0"/>
        <w:bidi w:val="0"/>
        <w:snapToGrid/>
        <w:spacing w:line="428" w:lineRule="exact"/>
        <w:ind w:firstLine="1800" w:firstLineChars="600"/>
        <w:textAlignment w:val="auto"/>
        <w:rPr>
          <w:rFonts w:hint="eastAsia" w:ascii="仿宋" w:hAnsi="仿宋" w:eastAsia="仿宋" w:cs="仿宋"/>
          <w:bCs/>
          <w:color w:val="000000"/>
          <w:sz w:val="30"/>
          <w:szCs w:val="30"/>
          <w:lang w:val="en-US" w:eastAsia="zh-CN"/>
        </w:rPr>
      </w:pPr>
      <w:r>
        <w:rPr>
          <w:rFonts w:hint="eastAsia" w:ascii="仿宋" w:hAnsi="仿宋" w:eastAsia="仿宋" w:cs="仿宋"/>
          <w:bCs/>
          <w:color w:val="000000"/>
          <w:sz w:val="30"/>
          <w:szCs w:val="30"/>
          <w:lang w:eastAsia="zh-CN"/>
        </w:rPr>
        <w:t>2.报名回执表</w:t>
      </w:r>
    </w:p>
    <w:p>
      <w:pPr>
        <w:keepNext w:val="0"/>
        <w:keepLines w:val="0"/>
        <w:pageBreakBefore w:val="0"/>
        <w:kinsoku/>
        <w:wordWrap/>
        <w:overflowPunct/>
        <w:topLinePunct w:val="0"/>
        <w:bidi w:val="0"/>
        <w:snapToGrid/>
        <w:spacing w:line="428" w:lineRule="exact"/>
        <w:ind w:firstLine="600" w:firstLineChars="200"/>
        <w:textAlignment w:val="auto"/>
        <w:rPr>
          <w:rFonts w:hint="eastAsia" w:ascii="仿宋" w:hAnsi="仿宋" w:eastAsia="仿宋" w:cs="仿宋"/>
          <w:bCs/>
          <w:color w:val="000000"/>
          <w:sz w:val="30"/>
          <w:szCs w:val="30"/>
          <w:lang w:val="en-US" w:eastAsia="zh-CN"/>
        </w:rPr>
      </w:pPr>
      <w:r>
        <w:rPr>
          <w:rFonts w:hint="eastAsia" w:ascii="仿宋" w:hAnsi="仿宋" w:eastAsia="仿宋" w:cs="仿宋"/>
          <w:bCs/>
          <w:color w:val="000000"/>
          <w:sz w:val="30"/>
          <w:szCs w:val="30"/>
        </w:rPr>
        <w:drawing>
          <wp:anchor distT="0" distB="0" distL="114300" distR="114300" simplePos="0" relativeHeight="251659264" behindDoc="1" locked="0" layoutInCell="1" allowOverlap="1">
            <wp:simplePos x="0" y="0"/>
            <wp:positionH relativeFrom="column">
              <wp:posOffset>3303905</wp:posOffset>
            </wp:positionH>
            <wp:positionV relativeFrom="paragraph">
              <wp:posOffset>61595</wp:posOffset>
            </wp:positionV>
            <wp:extent cx="1628775" cy="1638300"/>
            <wp:effectExtent l="0" t="0" r="9525" b="0"/>
            <wp:wrapNone/>
            <wp:docPr id="3" name="图片 3" descr="ce9bef746f077d923ace16110f06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e9bef746f077d923ace16110f06adc"/>
                    <pic:cNvPicPr>
                      <a:picLocks noChangeAspect="1"/>
                    </pic:cNvPicPr>
                  </pic:nvPicPr>
                  <pic:blipFill>
                    <a:blip r:embed="rId5"/>
                    <a:stretch>
                      <a:fillRect/>
                    </a:stretch>
                  </pic:blipFill>
                  <pic:spPr>
                    <a:xfrm>
                      <a:off x="0" y="0"/>
                      <a:ext cx="1628775" cy="1638300"/>
                    </a:xfrm>
                    <a:prstGeom prst="rect">
                      <a:avLst/>
                    </a:prstGeom>
                  </pic:spPr>
                </pic:pic>
              </a:graphicData>
            </a:graphic>
          </wp:anchor>
        </w:drawing>
      </w:r>
    </w:p>
    <w:p>
      <w:pPr>
        <w:keepNext w:val="0"/>
        <w:keepLines w:val="0"/>
        <w:pageBreakBefore w:val="0"/>
        <w:kinsoku/>
        <w:wordWrap/>
        <w:overflowPunct/>
        <w:topLinePunct w:val="0"/>
        <w:bidi w:val="0"/>
        <w:snapToGrid/>
        <w:spacing w:line="428" w:lineRule="exact"/>
        <w:ind w:firstLine="600" w:firstLineChars="200"/>
        <w:textAlignment w:val="auto"/>
        <w:rPr>
          <w:rFonts w:hint="eastAsia" w:ascii="仿宋" w:hAnsi="仿宋" w:eastAsia="仿宋" w:cs="仿宋"/>
          <w:bCs/>
          <w:color w:val="000000"/>
          <w:sz w:val="30"/>
          <w:szCs w:val="30"/>
          <w:lang w:val="en-US" w:eastAsia="zh-CN"/>
        </w:rPr>
      </w:pPr>
    </w:p>
    <w:p>
      <w:pPr>
        <w:keepNext w:val="0"/>
        <w:keepLines w:val="0"/>
        <w:pageBreakBefore w:val="0"/>
        <w:kinsoku/>
        <w:wordWrap/>
        <w:overflowPunct/>
        <w:topLinePunct w:val="0"/>
        <w:bidi w:val="0"/>
        <w:snapToGrid/>
        <w:spacing w:line="428" w:lineRule="exact"/>
        <w:ind w:firstLine="600" w:firstLineChars="200"/>
        <w:textAlignment w:val="auto"/>
        <w:rPr>
          <w:rFonts w:hint="eastAsia" w:ascii="仿宋" w:hAnsi="仿宋" w:eastAsia="仿宋" w:cs="仿宋"/>
          <w:bCs/>
          <w:color w:val="000000"/>
          <w:sz w:val="30"/>
          <w:szCs w:val="30"/>
          <w:lang w:val="en-US" w:eastAsia="zh-CN"/>
        </w:rPr>
      </w:pPr>
    </w:p>
    <w:p>
      <w:pPr>
        <w:keepNext w:val="0"/>
        <w:keepLines w:val="0"/>
        <w:pageBreakBefore w:val="0"/>
        <w:kinsoku/>
        <w:wordWrap/>
        <w:overflowPunct/>
        <w:topLinePunct w:val="0"/>
        <w:bidi w:val="0"/>
        <w:snapToGrid/>
        <w:spacing w:line="428" w:lineRule="exact"/>
        <w:ind w:firstLine="600" w:firstLineChars="200"/>
        <w:jc w:val="righ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中国投资协会项目投融资专业委员会</w:t>
      </w:r>
    </w:p>
    <w:p>
      <w:pPr>
        <w:keepNext w:val="0"/>
        <w:keepLines w:val="0"/>
        <w:pageBreakBefore w:val="0"/>
        <w:kinsoku/>
        <w:wordWrap/>
        <w:overflowPunct/>
        <w:topLinePunct w:val="0"/>
        <w:bidi w:val="0"/>
        <w:snapToGrid/>
        <w:spacing w:line="428"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 xml:space="preserve">                          </w:t>
      </w:r>
      <w:r>
        <w:rPr>
          <w:rFonts w:hint="eastAsia" w:ascii="仿宋" w:hAnsi="仿宋" w:eastAsia="仿宋" w:cs="仿宋"/>
          <w:bCs/>
          <w:color w:val="000000"/>
          <w:sz w:val="30"/>
          <w:szCs w:val="30"/>
          <w:lang w:val="en-US" w:eastAsia="zh-CN"/>
        </w:rPr>
        <w:t xml:space="preserve">     </w:t>
      </w:r>
      <w:r>
        <w:rPr>
          <w:rFonts w:hint="eastAsia" w:ascii="仿宋" w:hAnsi="仿宋" w:eastAsia="仿宋" w:cs="仿宋"/>
          <w:bCs/>
          <w:color w:val="000000"/>
          <w:sz w:val="30"/>
          <w:szCs w:val="30"/>
        </w:rPr>
        <w:t xml:space="preserve">  2021年</w:t>
      </w:r>
      <w:r>
        <w:rPr>
          <w:rFonts w:hint="eastAsia" w:ascii="仿宋" w:hAnsi="仿宋" w:eastAsia="仿宋" w:cs="仿宋"/>
          <w:bCs/>
          <w:color w:val="000000"/>
          <w:sz w:val="30"/>
          <w:szCs w:val="30"/>
          <w:lang w:val="en-US" w:eastAsia="zh-CN"/>
        </w:rPr>
        <w:t>4</w:t>
      </w:r>
      <w:r>
        <w:rPr>
          <w:rFonts w:hint="eastAsia" w:ascii="仿宋" w:hAnsi="仿宋" w:eastAsia="仿宋" w:cs="仿宋"/>
          <w:bCs/>
          <w:color w:val="000000"/>
          <w:sz w:val="30"/>
          <w:szCs w:val="30"/>
        </w:rPr>
        <w:t>月2</w:t>
      </w:r>
      <w:r>
        <w:rPr>
          <w:rFonts w:hint="eastAsia" w:ascii="仿宋" w:hAnsi="仿宋" w:eastAsia="仿宋" w:cs="仿宋"/>
          <w:bCs/>
          <w:color w:val="000000"/>
          <w:sz w:val="30"/>
          <w:szCs w:val="30"/>
          <w:lang w:val="en-US" w:eastAsia="zh-CN"/>
        </w:rPr>
        <w:t>1</w:t>
      </w:r>
      <w:r>
        <w:rPr>
          <w:rFonts w:hint="eastAsia" w:ascii="仿宋" w:hAnsi="仿宋" w:eastAsia="仿宋" w:cs="仿宋"/>
          <w:bCs/>
          <w:color w:val="000000"/>
          <w:sz w:val="30"/>
          <w:szCs w:val="30"/>
        </w:rPr>
        <w:t>日</w:t>
      </w:r>
    </w:p>
    <w:p>
      <w:pPr>
        <w:keepNext w:val="0"/>
        <w:keepLines w:val="0"/>
        <w:pageBreakBefore w:val="0"/>
        <w:widowControl w:val="0"/>
        <w:kinsoku/>
        <w:wordWrap/>
        <w:overflowPunct/>
        <w:topLinePunct w:val="0"/>
        <w:autoSpaceDE/>
        <w:autoSpaceDN/>
        <w:bidi w:val="0"/>
        <w:adjustRightInd/>
        <w:snapToGrid/>
        <w:spacing w:line="428" w:lineRule="exact"/>
        <w:ind w:firstLine="640" w:firstLineChars="200"/>
        <w:jc w:val="both"/>
        <w:textAlignment w:val="auto"/>
        <w:rPr>
          <w:rFonts w:hint="eastAsia" w:ascii="仿宋" w:hAnsi="仿宋" w:eastAsia="仿宋" w:cs="仿宋"/>
          <w:bCs/>
          <w:kern w:val="2"/>
          <w:sz w:val="32"/>
          <w:szCs w:val="32"/>
        </w:rPr>
      </w:pPr>
    </w:p>
    <w:p>
      <w:pPr>
        <w:autoSpaceDE/>
        <w:autoSpaceDN/>
        <w:adjustRightInd/>
        <w:spacing w:line="420" w:lineRule="exact"/>
        <w:jc w:val="both"/>
        <w:rPr>
          <w:rFonts w:ascii="黑体" w:hAnsi="黑体" w:eastAsia="黑体" w:cs="黑体"/>
          <w:bCs/>
          <w:color w:val="000000" w:themeColor="text1"/>
          <w:kern w:val="2"/>
          <w:sz w:val="28"/>
          <w:szCs w:val="28"/>
          <w:lang w:bidi="zh-CN"/>
          <w14:textFill>
            <w14:solidFill>
              <w14:schemeClr w14:val="tx1"/>
            </w14:solidFill>
          </w14:textFill>
        </w:rPr>
      </w:pPr>
    </w:p>
    <w:p>
      <w:pPr>
        <w:autoSpaceDE/>
        <w:autoSpaceDN/>
        <w:adjustRightInd/>
        <w:spacing w:line="420" w:lineRule="exact"/>
        <w:jc w:val="both"/>
        <w:rPr>
          <w:rFonts w:ascii="黑体" w:hAnsi="黑体" w:eastAsia="黑体" w:cs="黑体"/>
          <w:bCs/>
          <w:color w:val="000000" w:themeColor="text1"/>
          <w:kern w:val="2"/>
          <w:sz w:val="28"/>
          <w:szCs w:val="28"/>
          <w:lang w:bidi="zh-CN"/>
          <w14:textFill>
            <w14:solidFill>
              <w14:schemeClr w14:val="tx1"/>
            </w14:solidFill>
          </w14:textFill>
        </w:rPr>
      </w:pPr>
    </w:p>
    <w:p>
      <w:pPr>
        <w:autoSpaceDE/>
        <w:autoSpaceDN/>
        <w:adjustRightInd/>
        <w:spacing w:line="420" w:lineRule="exact"/>
        <w:jc w:val="both"/>
        <w:rPr>
          <w:rFonts w:ascii="黑体" w:hAnsi="黑体" w:eastAsia="黑体" w:cs="黑体"/>
          <w:bCs/>
          <w:color w:val="000000" w:themeColor="text1"/>
          <w:kern w:val="2"/>
          <w:sz w:val="28"/>
          <w:szCs w:val="28"/>
          <w:lang w:bidi="zh-CN"/>
          <w14:textFill>
            <w14:solidFill>
              <w14:schemeClr w14:val="tx1"/>
            </w14:solidFill>
          </w14:textFill>
        </w:rPr>
      </w:pPr>
    </w:p>
    <w:p>
      <w:pPr>
        <w:autoSpaceDE/>
        <w:autoSpaceDN/>
        <w:adjustRightInd/>
        <w:spacing w:line="420" w:lineRule="exact"/>
        <w:jc w:val="both"/>
        <w:rPr>
          <w:rFonts w:hint="default" w:ascii="黑体" w:hAnsi="黑体" w:eastAsia="黑体" w:cs="黑体"/>
          <w:bCs/>
          <w:color w:val="000000" w:themeColor="text1"/>
          <w:kern w:val="2"/>
          <w:sz w:val="28"/>
          <w:szCs w:val="28"/>
          <w:lang w:bidi="zh-CN"/>
          <w14:textFill>
            <w14:solidFill>
              <w14:schemeClr w14:val="tx1"/>
            </w14:solidFill>
          </w14:textFill>
        </w:rPr>
      </w:pPr>
      <w:r>
        <w:rPr>
          <w:rFonts w:ascii="黑体" w:hAnsi="黑体" w:eastAsia="黑体" w:cs="黑体"/>
          <w:bCs/>
          <w:color w:val="000000" w:themeColor="text1"/>
          <w:kern w:val="2"/>
          <w:sz w:val="28"/>
          <w:szCs w:val="28"/>
          <w:lang w:bidi="zh-CN"/>
          <w14:textFill>
            <w14:solidFill>
              <w14:schemeClr w14:val="tx1"/>
            </w14:solidFill>
          </w14:textFill>
        </w:rPr>
        <w:t>附件</w:t>
      </w:r>
      <w:r>
        <w:rPr>
          <w:rFonts w:hint="eastAsia" w:ascii="黑体" w:hAnsi="黑体" w:eastAsia="黑体" w:cs="黑体"/>
          <w:bCs/>
          <w:color w:val="000000" w:themeColor="text1"/>
          <w:kern w:val="2"/>
          <w:sz w:val="28"/>
          <w:szCs w:val="28"/>
          <w:lang w:val="en-US" w:bidi="zh-CN"/>
          <w14:textFill>
            <w14:solidFill>
              <w14:schemeClr w14:val="tx1"/>
            </w14:solidFill>
          </w14:textFill>
        </w:rPr>
        <w:t>1</w:t>
      </w:r>
      <w:r>
        <w:rPr>
          <w:rFonts w:ascii="黑体" w:hAnsi="黑体" w:eastAsia="黑体" w:cs="黑体"/>
          <w:bCs/>
          <w:color w:val="000000" w:themeColor="text1"/>
          <w:kern w:val="2"/>
          <w:sz w:val="28"/>
          <w:szCs w:val="28"/>
          <w:lang w:bidi="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黑体" w:asciiTheme="majorEastAsia" w:hAnsiTheme="majorEastAsia" w:eastAsiaTheme="majorEastAsia"/>
          <w:b/>
          <w:color w:val="000000" w:themeColor="text1"/>
          <w:kern w:val="2"/>
          <w:sz w:val="32"/>
          <w:szCs w:val="32"/>
          <w:lang w:bidi="zh-CN"/>
          <w14:textFill>
            <w14:solidFill>
              <w14:schemeClr w14:val="tx1"/>
            </w14:solidFill>
          </w14:textFill>
        </w:rPr>
      </w:pPr>
      <w:r>
        <w:rPr>
          <w:rFonts w:cs="黑体" w:asciiTheme="majorEastAsia" w:hAnsiTheme="majorEastAsia" w:eastAsiaTheme="majorEastAsia"/>
          <w:b/>
          <w:bCs/>
          <w:color w:val="000000" w:themeColor="text1"/>
          <w:kern w:val="2"/>
          <w:sz w:val="32"/>
          <w:szCs w:val="32"/>
          <w:lang w:bidi="zh-CN"/>
          <w14:textFill>
            <w14:solidFill>
              <w14:schemeClr w14:val="tx1"/>
            </w14:solidFill>
          </w14:textFill>
        </w:rPr>
        <w:t>培 训 内 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686" w:firstLineChars="245"/>
        <w:textAlignment w:val="auto"/>
        <w:outlineLvl w:val="9"/>
        <w:rPr>
          <w:rFonts w:hint="eastAsia" w:ascii="黑体" w:hAnsi="黑体" w:eastAsia="黑体" w:cs="仿宋"/>
          <w:bCs/>
          <w:color w:val="auto"/>
          <w:sz w:val="28"/>
          <w:szCs w:val="28"/>
          <w:lang w:eastAsia="zh-CN"/>
        </w:rPr>
      </w:pPr>
      <w:r>
        <w:rPr>
          <w:rFonts w:ascii="黑体" w:hAnsi="黑体" w:eastAsia="黑体" w:cs="仿宋"/>
          <w:bCs/>
          <w:color w:val="auto"/>
          <w:sz w:val="28"/>
          <w:szCs w:val="28"/>
        </w:rPr>
        <w:t>“两新一重”</w:t>
      </w:r>
      <w:r>
        <w:rPr>
          <w:rFonts w:hint="eastAsia" w:ascii="黑体" w:hAnsi="黑体" w:eastAsia="黑体" w:cs="仿宋"/>
          <w:bCs/>
          <w:color w:val="auto"/>
          <w:sz w:val="28"/>
          <w:szCs w:val="28"/>
          <w:lang w:eastAsia="zh-CN"/>
        </w:rPr>
        <w:t>建设及</w:t>
      </w:r>
      <w:r>
        <w:rPr>
          <w:rFonts w:ascii="黑体" w:hAnsi="黑体" w:eastAsia="黑体" w:cs="仿宋"/>
          <w:bCs/>
          <w:color w:val="auto"/>
          <w:sz w:val="28"/>
          <w:szCs w:val="28"/>
        </w:rPr>
        <w:t>基础设施投融资政策</w:t>
      </w:r>
      <w:r>
        <w:rPr>
          <w:rFonts w:hint="eastAsia" w:ascii="黑体" w:hAnsi="黑体" w:eastAsia="黑体" w:cs="仿宋"/>
          <w:bCs/>
          <w:color w:val="auto"/>
          <w:sz w:val="28"/>
          <w:szCs w:val="28"/>
          <w:lang w:eastAsia="zh-CN"/>
        </w:rPr>
        <w:t>解读与实务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1.2021年《政府工作报告》投资新动向分析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2.《国务院关于进一步深化预算管理制度改革意见》（国发〔2021〕5号）解读与实操</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3.《政府投资条例》解读与案例分析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4.《城镇老旧小区改造可复制政策机制清单（第一批）》（建办城函〔2020〕649号）解读及案例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5.《2021年新型城镇化和城乡融合发展重点任务》（发改规划〔2021〕493号）内容解读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w:t>
      </w:r>
      <w:r>
        <w:rPr>
          <w:rFonts w:hint="default" w:ascii="仿宋" w:hAnsi="仿宋" w:eastAsia="仿宋" w:cs="仿宋"/>
          <w:bCs/>
          <w:color w:val="auto"/>
          <w:sz w:val="28"/>
          <w:szCs w:val="28"/>
          <w:lang w:val="en-US" w:eastAsia="zh-CN"/>
        </w:rPr>
        <w:t>“</w:t>
      </w:r>
      <w:r>
        <w:rPr>
          <w:rFonts w:hint="eastAsia" w:ascii="仿宋" w:hAnsi="仿宋" w:eastAsia="仿宋" w:cs="仿宋"/>
          <w:bCs/>
          <w:color w:val="auto"/>
          <w:sz w:val="28"/>
          <w:szCs w:val="28"/>
          <w:lang w:val="en-US" w:eastAsia="zh-CN"/>
        </w:rPr>
        <w:t>两新一重</w:t>
      </w:r>
      <w:r>
        <w:rPr>
          <w:rFonts w:hint="default" w:ascii="仿宋" w:hAnsi="仿宋" w:eastAsia="仿宋" w:cs="仿宋"/>
          <w:bCs/>
          <w:color w:val="auto"/>
          <w:sz w:val="28"/>
          <w:szCs w:val="28"/>
          <w:lang w:val="en-US" w:eastAsia="zh-CN"/>
        </w:rPr>
        <w:t>”</w:t>
      </w:r>
      <w:r>
        <w:rPr>
          <w:rFonts w:hint="eastAsia" w:ascii="仿宋" w:hAnsi="仿宋" w:eastAsia="仿宋" w:cs="仿宋"/>
          <w:bCs/>
          <w:color w:val="auto"/>
          <w:sz w:val="28"/>
          <w:szCs w:val="28"/>
          <w:lang w:val="en-US" w:eastAsia="zh-CN"/>
        </w:rPr>
        <w:t xml:space="preserve">建设相关政策解读与实务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686" w:firstLineChars="245"/>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“两新一重”建设内容解析与案例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1.为何要提出“两新一重”建设</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2.“两新一重”建设新在哪里、重在何处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3.为何“两新一重”是扩大有效投资的重要抓手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4.“两新一重”建设资金构成分析与社会资本投资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5.新基建项目风险性和回报率之股债融资关系及案例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6.“两新一重”项目融资主要模式及案例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eastAsia="zh-CN"/>
        </w:rPr>
        <w:t>三、“两新一重”建设合规投融资模式与案例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lang w:eastAsia="zh-CN"/>
        </w:rPr>
        <w:t>项目代建制应用及案例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2.项目代建制与授权开发区别分析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3.PPP模式及开发性PPP模式应用及案例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4.特许经营模式的应用及案例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5.特许经营与PPP模式差异点分析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6.政府购买服务的合理应用及案例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7.政府采购设备及工程的合规应用及案例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四、国发〔2021〕5号文后基建ABO模式的应用及限制</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1.PPP、特许经营、购买服务、代建制等投融资存在问题分析</w:t>
      </w:r>
    </w:p>
    <w:p>
      <w:pPr>
        <w:keepNext w:val="0"/>
        <w:keepLines w:val="0"/>
        <w:pageBreakBefore w:val="0"/>
        <w:widowControl w:val="0"/>
        <w:tabs>
          <w:tab w:val="left" w:pos="720"/>
        </w:tabs>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2.</w:t>
      </w:r>
      <w:r>
        <w:rPr>
          <w:rFonts w:hint="eastAsia" w:ascii="仿宋" w:hAnsi="仿宋" w:eastAsia="仿宋" w:cs="仿宋"/>
          <w:color w:val="auto"/>
          <w:sz w:val="28"/>
          <w:szCs w:val="28"/>
        </w:rPr>
        <w:t>ABO模式</w:t>
      </w:r>
      <w:r>
        <w:rPr>
          <w:rFonts w:hint="eastAsia" w:ascii="仿宋" w:hAnsi="仿宋" w:eastAsia="仿宋" w:cs="仿宋"/>
          <w:color w:val="auto"/>
          <w:sz w:val="28"/>
          <w:szCs w:val="28"/>
          <w:lang w:eastAsia="zh-CN"/>
        </w:rPr>
        <w:t>自身</w:t>
      </w:r>
      <w:r>
        <w:rPr>
          <w:rFonts w:hint="eastAsia" w:ascii="仿宋" w:hAnsi="仿宋" w:eastAsia="仿宋" w:cs="仿宋"/>
          <w:color w:val="auto"/>
          <w:sz w:val="28"/>
          <w:szCs w:val="28"/>
        </w:rPr>
        <w:t>存在的短板及合规性问题</w:t>
      </w:r>
    </w:p>
    <w:p>
      <w:pPr>
        <w:keepNext w:val="0"/>
        <w:keepLines w:val="0"/>
        <w:pageBreakBefore w:val="0"/>
        <w:widowControl w:val="0"/>
        <w:tabs>
          <w:tab w:val="left" w:pos="720"/>
        </w:tabs>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3.ABO模式与其他模式比较（与PPP、BT、委托代建）</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shd w:val="clear" w:color="auto" w:fill="FFFFFF"/>
        </w:rPr>
        <w:t>ABO模式通过缓释措施</w:t>
      </w:r>
      <w:r>
        <w:rPr>
          <w:rFonts w:hint="eastAsia" w:ascii="仿宋" w:hAnsi="仿宋" w:eastAsia="仿宋" w:cs="仿宋"/>
          <w:color w:val="auto"/>
          <w:sz w:val="28"/>
          <w:szCs w:val="28"/>
        </w:rPr>
        <w:t>可降低政府债务风险</w:t>
      </w:r>
      <w:r>
        <w:rPr>
          <w:rFonts w:hint="eastAsia" w:ascii="仿宋" w:hAnsi="仿宋" w:eastAsia="仿宋" w:cs="仿宋"/>
          <w:color w:val="auto"/>
          <w:sz w:val="28"/>
          <w:szCs w:val="28"/>
          <w:lang w:eastAsia="zh-CN"/>
        </w:rPr>
        <w:t>及案例</w:t>
      </w:r>
    </w:p>
    <w:p>
      <w:pPr>
        <w:keepNext w:val="0"/>
        <w:keepLines w:val="0"/>
        <w:pageBreakBefore w:val="0"/>
        <w:widowControl w:val="0"/>
        <w:tabs>
          <w:tab w:val="left" w:pos="720"/>
        </w:tabs>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Cs/>
          <w:color w:val="auto"/>
          <w:sz w:val="28"/>
          <w:szCs w:val="28"/>
        </w:rPr>
        <w:t>ABO模式</w:t>
      </w:r>
      <w:r>
        <w:rPr>
          <w:rFonts w:hint="eastAsia" w:ascii="仿宋" w:hAnsi="仿宋" w:eastAsia="仿宋" w:cs="仿宋"/>
          <w:bCs/>
          <w:color w:val="auto"/>
          <w:sz w:val="28"/>
          <w:szCs w:val="28"/>
          <w:lang w:eastAsia="zh-CN"/>
        </w:rPr>
        <w:t>不</w:t>
      </w:r>
      <w:r>
        <w:rPr>
          <w:rFonts w:hint="eastAsia" w:ascii="仿宋" w:hAnsi="仿宋" w:eastAsia="仿宋" w:cs="仿宋"/>
          <w:color w:val="auto"/>
          <w:sz w:val="28"/>
          <w:szCs w:val="28"/>
          <w:lang w:eastAsia="zh-CN"/>
        </w:rPr>
        <w:t>能扩大使用范围（在交通、文体会展、养老、健康、医疗、水电气热应用及案例）</w:t>
      </w:r>
    </w:p>
    <w:p>
      <w:pPr>
        <w:keepNext w:val="0"/>
        <w:keepLines w:val="0"/>
        <w:pageBreakBefore w:val="0"/>
        <w:widowControl w:val="0"/>
        <w:tabs>
          <w:tab w:val="left" w:pos="720"/>
        </w:tabs>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6.国</w:t>
      </w:r>
      <w:r>
        <w:rPr>
          <w:rFonts w:hint="eastAsia" w:ascii="仿宋" w:hAnsi="仿宋" w:eastAsia="仿宋" w:cs="仿宋"/>
          <w:bCs/>
          <w:color w:val="auto"/>
          <w:sz w:val="28"/>
          <w:szCs w:val="28"/>
          <w:lang w:val="en-US" w:eastAsia="zh-CN"/>
        </w:rPr>
        <w:t>发〔2021〕5号文后，ABO</w:t>
      </w:r>
      <w:r>
        <w:rPr>
          <w:rFonts w:hint="eastAsia" w:ascii="仿宋" w:hAnsi="仿宋" w:eastAsia="仿宋" w:cs="仿宋"/>
          <w:color w:val="auto"/>
          <w:sz w:val="28"/>
          <w:szCs w:val="28"/>
          <w:lang w:val="en-US" w:eastAsia="zh-CN"/>
        </w:rPr>
        <w:t>模式会被取消吗</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五、“两新一重”建设与政府债务防范及案例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1.</w:t>
      </w:r>
      <w:r>
        <w:rPr>
          <w:rFonts w:hint="eastAsia" w:ascii="仿宋" w:hAnsi="仿宋" w:eastAsia="仿宋" w:cs="仿宋"/>
          <w:color w:val="auto"/>
          <w:sz w:val="28"/>
          <w:szCs w:val="28"/>
        </w:rPr>
        <w:t>促进地方政府投融资模式重构及案例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优化财政资金的投资方向及案例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处理好“两新一重”建设</w:t>
      </w:r>
      <w:r>
        <w:rPr>
          <w:rFonts w:hint="eastAsia" w:ascii="仿宋" w:hAnsi="仿宋" w:eastAsia="仿宋" w:cs="仿宋"/>
          <w:b w:val="0"/>
          <w:bCs w:val="0"/>
          <w:color w:val="auto"/>
          <w:sz w:val="28"/>
          <w:szCs w:val="28"/>
        </w:rPr>
        <w:t>政府</w:t>
      </w:r>
      <w:r>
        <w:rPr>
          <w:rFonts w:hint="eastAsia" w:ascii="仿宋" w:hAnsi="仿宋" w:eastAsia="仿宋" w:cs="仿宋"/>
          <w:b w:val="0"/>
          <w:bCs w:val="0"/>
          <w:color w:val="auto"/>
          <w:sz w:val="28"/>
          <w:szCs w:val="28"/>
          <w:lang w:eastAsia="zh-CN"/>
        </w:rPr>
        <w:t>投资与企业</w:t>
      </w:r>
      <w:r>
        <w:rPr>
          <w:rFonts w:hint="eastAsia" w:ascii="仿宋" w:hAnsi="仿宋" w:eastAsia="仿宋" w:cs="仿宋"/>
          <w:b w:val="0"/>
          <w:bCs w:val="0"/>
          <w:color w:val="auto"/>
          <w:sz w:val="28"/>
          <w:szCs w:val="28"/>
        </w:rPr>
        <w:t>运作模式及案例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lang w:eastAsia="zh-CN"/>
        </w:rPr>
        <w:t>积极社会资本尤其民营</w:t>
      </w:r>
      <w:r>
        <w:rPr>
          <w:rFonts w:hint="eastAsia" w:ascii="仿宋" w:hAnsi="仿宋" w:eastAsia="仿宋" w:cs="仿宋"/>
          <w:b w:val="0"/>
          <w:bCs w:val="0"/>
          <w:color w:val="auto"/>
          <w:sz w:val="28"/>
          <w:szCs w:val="28"/>
        </w:rPr>
        <w:t>资本参与“两新一重”</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lang w:eastAsia="zh-CN"/>
        </w:rPr>
        <w:t>发挥政府专项债券对项目支持作用及案例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6.财政预算与绩效考核建立及案例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b w:val="0"/>
          <w:bCs w:val="0"/>
          <w:color w:val="auto"/>
          <w:sz w:val="28"/>
          <w:szCs w:val="28"/>
          <w:lang w:val="en-US" w:eastAsia="zh-CN"/>
        </w:rPr>
        <w:t>7.</w:t>
      </w:r>
      <w:r>
        <w:rPr>
          <w:rFonts w:hint="eastAsia" w:ascii="仿宋" w:hAnsi="仿宋" w:eastAsia="仿宋" w:cs="仿宋"/>
          <w:color w:val="auto"/>
          <w:sz w:val="28"/>
          <w:szCs w:val="28"/>
        </w:rPr>
        <w:t>建立多层次担保体系</w:t>
      </w:r>
      <w:r>
        <w:rPr>
          <w:rFonts w:hint="eastAsia" w:ascii="仿宋" w:hAnsi="仿宋" w:eastAsia="仿宋" w:cs="仿宋"/>
          <w:color w:val="auto"/>
          <w:sz w:val="28"/>
          <w:szCs w:val="28"/>
          <w:lang w:eastAsia="zh-CN"/>
        </w:rPr>
        <w:t>助力企业参与“两新一重”建设及案例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优化营商环境支持</w:t>
      </w:r>
      <w:r>
        <w:rPr>
          <w:rFonts w:hint="eastAsia" w:ascii="仿宋" w:hAnsi="仿宋" w:eastAsia="仿宋" w:cs="仿宋"/>
          <w:color w:val="auto"/>
          <w:sz w:val="28"/>
          <w:szCs w:val="28"/>
          <w:lang w:eastAsia="zh-CN"/>
        </w:rPr>
        <w:t>社会</w:t>
      </w:r>
      <w:r>
        <w:rPr>
          <w:rFonts w:hint="eastAsia" w:ascii="仿宋" w:hAnsi="仿宋" w:eastAsia="仿宋" w:cs="仿宋"/>
          <w:color w:val="auto"/>
          <w:sz w:val="28"/>
          <w:szCs w:val="28"/>
        </w:rPr>
        <w:t>资本投资</w:t>
      </w:r>
      <w:r>
        <w:rPr>
          <w:rFonts w:hint="eastAsia" w:ascii="仿宋" w:hAnsi="仿宋" w:eastAsia="仿宋" w:cs="仿宋"/>
          <w:color w:val="auto"/>
          <w:sz w:val="28"/>
          <w:szCs w:val="28"/>
          <w:lang w:eastAsia="zh-CN"/>
        </w:rPr>
        <w:t>“两新一重”建设</w:t>
      </w:r>
      <w:r>
        <w:rPr>
          <w:rFonts w:hint="eastAsia" w:ascii="仿宋" w:hAnsi="仿宋" w:eastAsia="仿宋" w:cs="仿宋"/>
          <w:color w:val="auto"/>
          <w:sz w:val="28"/>
          <w:szCs w:val="28"/>
        </w:rPr>
        <w:t>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六、“两新一重”建设</w:t>
      </w:r>
      <w:r>
        <w:rPr>
          <w:rFonts w:hint="eastAsia" w:ascii="黑体" w:hAnsi="黑体" w:eastAsia="黑体" w:cs="黑体"/>
          <w:color w:val="auto"/>
          <w:sz w:val="28"/>
          <w:szCs w:val="28"/>
        </w:rPr>
        <w:t>谋划储备</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项目包装</w:t>
      </w:r>
      <w:r>
        <w:rPr>
          <w:rFonts w:hint="eastAsia" w:ascii="黑体" w:hAnsi="黑体" w:eastAsia="黑体" w:cs="黑体"/>
          <w:color w:val="auto"/>
          <w:sz w:val="28"/>
          <w:szCs w:val="28"/>
          <w:lang w:eastAsia="zh-CN"/>
        </w:rPr>
        <w:t>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ascii="仿宋" w:hAnsi="仿宋" w:eastAsia="仿宋" w:cs="仿宋"/>
          <w:color w:val="auto"/>
          <w:sz w:val="28"/>
          <w:szCs w:val="28"/>
        </w:rPr>
        <w:t>“两新一重”</w:t>
      </w:r>
      <w:r>
        <w:rPr>
          <w:rFonts w:hint="eastAsia" w:ascii="仿宋" w:hAnsi="仿宋" w:eastAsia="仿宋" w:cs="仿宋"/>
          <w:color w:val="auto"/>
          <w:sz w:val="28"/>
          <w:szCs w:val="28"/>
          <w:lang w:eastAsia="zh-CN"/>
        </w:rPr>
        <w:t>建设</w:t>
      </w:r>
      <w:r>
        <w:rPr>
          <w:rFonts w:ascii="仿宋" w:hAnsi="仿宋" w:eastAsia="仿宋" w:cs="仿宋"/>
          <w:color w:val="auto"/>
          <w:sz w:val="28"/>
          <w:szCs w:val="28"/>
        </w:rPr>
        <w:t>前期谋划</w:t>
      </w:r>
      <w:r>
        <w:rPr>
          <w:rFonts w:hint="eastAsia" w:ascii="仿宋" w:hAnsi="仿宋" w:eastAsia="仿宋" w:cs="仿宋"/>
          <w:color w:val="auto"/>
          <w:sz w:val="28"/>
          <w:szCs w:val="28"/>
          <w:lang w:eastAsia="zh-CN"/>
        </w:rPr>
        <w:t>所考虑因素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“两新一重”建设采用的投融资模式及可行性</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3.政府立项与城投公司立项项目优势分析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4.土地资源利用及资金筹集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5.政府投资与企业投资项目及案例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6.项目立项程序及政府采购程序解析及案例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7.政府怎样发挥好投资补贴和贷款贴息及案例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8.</w:t>
      </w:r>
      <w:r>
        <w:rPr>
          <w:rFonts w:hint="eastAsia" w:ascii="仿宋" w:hAnsi="仿宋" w:eastAsia="仿宋" w:cs="仿宋"/>
          <w:bCs/>
          <w:color w:val="auto"/>
          <w:sz w:val="28"/>
          <w:szCs w:val="28"/>
          <w:lang w:eastAsia="zh-CN"/>
        </w:rPr>
        <w:t>项目建设中</w:t>
      </w:r>
      <w:r>
        <w:rPr>
          <w:rFonts w:ascii="仿宋" w:hAnsi="仿宋" w:eastAsia="仿宋" w:cs="仿宋"/>
          <w:bCs/>
          <w:color w:val="auto"/>
          <w:sz w:val="28"/>
          <w:szCs w:val="28"/>
        </w:rPr>
        <w:t>政府隐性债务的规避</w:t>
      </w:r>
      <w:r>
        <w:rPr>
          <w:rFonts w:hint="eastAsia" w:ascii="仿宋" w:hAnsi="仿宋" w:eastAsia="仿宋" w:cs="仿宋"/>
          <w:bCs/>
          <w:color w:val="auto"/>
          <w:sz w:val="28"/>
          <w:szCs w:val="28"/>
          <w:lang w:eastAsia="zh-CN"/>
        </w:rPr>
        <w:t>措施</w:t>
      </w:r>
    </w:p>
    <w:p>
      <w:pPr>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eastAsia" w:ascii="黑体" w:hAnsi="黑体" w:eastAsia="黑体" w:cs="黑体"/>
          <w:bCs/>
          <w:color w:val="auto"/>
          <w:sz w:val="28"/>
          <w:szCs w:val="28"/>
        </w:rPr>
      </w:pPr>
      <w:r>
        <w:rPr>
          <w:rFonts w:hint="eastAsia" w:ascii="黑体" w:hAnsi="黑体" w:eastAsia="黑体" w:cs="黑体"/>
          <w:color w:val="auto"/>
          <w:sz w:val="28"/>
          <w:szCs w:val="28"/>
          <w:lang w:eastAsia="zh-CN"/>
        </w:rPr>
        <w:t>七、</w:t>
      </w:r>
      <w:r>
        <w:rPr>
          <w:rFonts w:hint="eastAsia" w:ascii="黑体" w:hAnsi="黑体" w:eastAsia="黑体" w:cs="黑体"/>
          <w:bCs/>
          <w:color w:val="auto"/>
          <w:sz w:val="28"/>
          <w:szCs w:val="28"/>
        </w:rPr>
        <w:t>园区、片区开发相关政策要点解读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1.</w:t>
      </w:r>
      <w:r>
        <w:rPr>
          <w:rFonts w:ascii="仿宋" w:hAnsi="仿宋" w:eastAsia="仿宋" w:cs="仿宋"/>
          <w:bCs/>
          <w:color w:val="auto"/>
          <w:sz w:val="28"/>
          <w:szCs w:val="28"/>
        </w:rPr>
        <w:t>《国务院办公厅关于促进开发区改革和创新发展的若干意见》(国办发〔2017〕7号)要点解读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ascii="仿宋" w:hAnsi="仿宋" w:eastAsia="仿宋" w:cs="仿宋"/>
          <w:bCs/>
          <w:color w:val="auto"/>
          <w:sz w:val="28"/>
          <w:szCs w:val="28"/>
        </w:rPr>
        <w:t>《国务院关于推进国家级经济技术开发区创新提升打造改革开放新高地的意见》（国发〔2019〕11号）要点解读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ascii="仿宋" w:hAnsi="仿宋" w:eastAsia="仿宋" w:cs="仿宋"/>
          <w:bCs/>
          <w:color w:val="auto"/>
          <w:sz w:val="28"/>
          <w:szCs w:val="28"/>
        </w:rPr>
        <w:t>《关于促进具备条件的开发区向城市综合功能区转型的指导意见》《关于深入推进新型工业化产业示范基地建设的指导意见》等相关政要点解读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4.</w:t>
      </w:r>
      <w:r>
        <w:rPr>
          <w:rFonts w:ascii="仿宋" w:hAnsi="仿宋" w:eastAsia="仿宋" w:cs="仿宋"/>
          <w:bCs/>
          <w:color w:val="auto"/>
          <w:sz w:val="28"/>
          <w:szCs w:val="28"/>
        </w:rPr>
        <w:t>《土地征收成片开发标准（试行）》的通知（自然资规〔2020〕5号）解读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lang w:eastAsia="zh-CN"/>
        </w:rPr>
        <w:t>土地储备</w:t>
      </w:r>
      <w:r>
        <w:rPr>
          <w:rFonts w:ascii="仿宋" w:hAnsi="仿宋" w:eastAsia="仿宋" w:cs="仿宋"/>
          <w:bCs/>
          <w:color w:val="auto"/>
          <w:sz w:val="28"/>
          <w:szCs w:val="28"/>
        </w:rPr>
        <w:t>新政解读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eastAsia="zh-CN"/>
        </w:rPr>
        <w:t>八、片区综合开发中土地储备与交易及案例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lang w:eastAsia="zh-CN"/>
        </w:rPr>
        <w:t>土地储备（一级开发）主要环节解析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2.土地储备中两类主体分析及案例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3.土地储备中一二级开发联动探讨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4.土地储备中购买服务和采购工程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5.土地储备中的不合规模式及案例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6.片区土地拆迁安置及前期开发资金解决方式探讨及案例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eastAsia="zh-CN"/>
        </w:rPr>
        <w:t>九</w:t>
      </w:r>
      <w:r>
        <w:rPr>
          <w:rFonts w:hint="eastAsia" w:ascii="黑体" w:hAnsi="黑体" w:eastAsia="黑体" w:cs="黑体"/>
          <w:bCs/>
          <w:color w:val="auto"/>
          <w:sz w:val="28"/>
          <w:szCs w:val="28"/>
          <w:lang w:val="en-US" w:eastAsia="zh-CN"/>
        </w:rPr>
        <w:t>、城投公司如何参与</w:t>
      </w:r>
      <w:r>
        <w:rPr>
          <w:rFonts w:hint="eastAsia" w:ascii="黑体" w:hAnsi="黑体" w:eastAsia="黑体" w:cs="黑体"/>
          <w:bCs/>
          <w:color w:val="auto"/>
          <w:sz w:val="28"/>
          <w:szCs w:val="28"/>
        </w:rPr>
        <w:t>片区开发</w:t>
      </w:r>
      <w:r>
        <w:rPr>
          <w:rFonts w:hint="eastAsia" w:ascii="黑体" w:hAnsi="黑体" w:eastAsia="黑体" w:cs="黑体"/>
          <w:bCs/>
          <w:color w:val="auto"/>
          <w:sz w:val="28"/>
          <w:szCs w:val="28"/>
          <w:lang w:eastAsia="zh-CN"/>
        </w:rPr>
        <w:t>及作用</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仿宋" w:hAnsi="仿宋" w:eastAsia="仿宋" w:cs="仿宋"/>
          <w:color w:val="auto"/>
          <w:sz w:val="28"/>
          <w:szCs w:val="28"/>
          <w:lang w:val="en-US" w:eastAsia="zh-CN"/>
        </w:rPr>
      </w:pPr>
      <w:r>
        <w:rPr>
          <w:rFonts w:hint="eastAsia" w:ascii="楷体" w:hAnsi="楷体" w:eastAsia="楷体" w:cs="仿宋"/>
          <w:color w:val="auto"/>
          <w:sz w:val="28"/>
          <w:szCs w:val="28"/>
          <w:lang w:val="en-US" w:eastAsia="zh-CN"/>
        </w:rPr>
        <w:t xml:space="preserve"> </w:t>
      </w:r>
      <w:r>
        <w:rPr>
          <w:rFonts w:hint="eastAsia" w:ascii="仿宋" w:hAnsi="仿宋" w:eastAsia="仿宋" w:cs="仿宋"/>
          <w:color w:val="auto"/>
          <w:sz w:val="28"/>
          <w:szCs w:val="28"/>
          <w:lang w:val="en-US" w:eastAsia="zh-CN"/>
        </w:rPr>
        <w:t>1.城投公司能通过政府授权获得项目业主或实施主体吗</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2.城投公司怎样参与前期土地拆迁、收储及注意的问题</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3.城投公司怎样选择投资人，公开招标关键环节及注意问题</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4.城投公司的项目立项，资产所属及项目公司设立</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5.前期拆迁款、安置费、补偿款解决的几种方式</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6.城投公司转型后方可参与片区开发项目</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楷体" w:hAnsi="楷体" w:eastAsia="楷体" w:cs="仿宋"/>
          <w:color w:val="auto"/>
          <w:sz w:val="28"/>
          <w:szCs w:val="28"/>
          <w:lang w:val="en-US" w:eastAsia="zh-CN"/>
        </w:rPr>
      </w:pPr>
      <w:r>
        <w:rPr>
          <w:rFonts w:hint="eastAsia" w:ascii="仿宋" w:hAnsi="仿宋" w:eastAsia="仿宋" w:cs="仿宋"/>
          <w:color w:val="auto"/>
          <w:sz w:val="28"/>
          <w:szCs w:val="28"/>
          <w:lang w:val="en-US" w:eastAsia="zh-CN"/>
        </w:rPr>
        <w:t xml:space="preserve"> 7.片区开发中资产归属及资产转移问题探讨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lang w:eastAsia="zh-CN"/>
        </w:rPr>
        <w:t>十、</w:t>
      </w:r>
      <w:r>
        <w:rPr>
          <w:rFonts w:hint="eastAsia" w:ascii="黑体" w:hAnsi="黑体" w:eastAsia="黑体" w:cs="黑体"/>
          <w:color w:val="auto"/>
          <w:sz w:val="28"/>
          <w:szCs w:val="28"/>
        </w:rPr>
        <w:t>片区综合开发</w:t>
      </w:r>
      <w:r>
        <w:rPr>
          <w:rFonts w:hint="eastAsia" w:ascii="黑体" w:hAnsi="黑体" w:eastAsia="黑体" w:cs="黑体"/>
          <w:color w:val="auto"/>
          <w:sz w:val="28"/>
          <w:szCs w:val="28"/>
          <w:lang w:eastAsia="zh-CN"/>
        </w:rPr>
        <w:t>几种</w:t>
      </w:r>
      <w:r>
        <w:rPr>
          <w:rFonts w:hint="eastAsia" w:ascii="黑体" w:hAnsi="黑体" w:eastAsia="黑体" w:cs="黑体"/>
          <w:color w:val="auto"/>
          <w:sz w:val="28"/>
          <w:szCs w:val="28"/>
        </w:rPr>
        <w:t>模式分析及案例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传统的片区开发几种模式存在弊端及案例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ascii="仿宋" w:hAnsi="仿宋" w:eastAsia="仿宋" w:cs="仿宋"/>
          <w:bCs/>
          <w:color w:val="auto"/>
          <w:sz w:val="28"/>
          <w:szCs w:val="28"/>
        </w:rPr>
        <w:t>PPP模式在片区开发</w:t>
      </w:r>
      <w:r>
        <w:rPr>
          <w:rFonts w:hint="eastAsia" w:ascii="仿宋" w:hAnsi="仿宋" w:eastAsia="仿宋" w:cs="仿宋"/>
          <w:bCs/>
          <w:color w:val="auto"/>
          <w:sz w:val="28"/>
          <w:szCs w:val="28"/>
          <w:lang w:eastAsia="zh-CN"/>
        </w:rPr>
        <w:t>中</w:t>
      </w:r>
      <w:r>
        <w:rPr>
          <w:rFonts w:ascii="仿宋" w:hAnsi="仿宋" w:eastAsia="仿宋" w:cs="仿宋"/>
          <w:bCs/>
          <w:color w:val="auto"/>
          <w:sz w:val="28"/>
          <w:szCs w:val="28"/>
        </w:rPr>
        <w:t>存在问题及案例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ascii="仿宋" w:hAnsi="仿宋" w:eastAsia="仿宋" w:cs="仿宋"/>
          <w:bCs/>
          <w:color w:val="auto"/>
          <w:sz w:val="28"/>
          <w:szCs w:val="28"/>
        </w:rPr>
        <w:t>特许经营+ABO模式合规性设计及案例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ascii="仿宋" w:hAnsi="仿宋" w:eastAsia="仿宋" w:cs="仿宋"/>
          <w:bCs/>
          <w:color w:val="auto"/>
          <w:sz w:val="28"/>
          <w:szCs w:val="28"/>
        </w:rPr>
      </w:pPr>
      <w:r>
        <w:rPr>
          <w:rFonts w:hint="eastAsia" w:ascii="仿宋" w:hAnsi="仿宋" w:eastAsia="仿宋" w:cs="仿宋"/>
          <w:bCs/>
          <w:color w:val="auto"/>
          <w:sz w:val="28"/>
          <w:szCs w:val="28"/>
          <w:lang w:val="en-US" w:eastAsia="zh-CN"/>
        </w:rPr>
        <w:t>4.</w:t>
      </w:r>
      <w:r>
        <w:rPr>
          <w:rFonts w:ascii="仿宋" w:hAnsi="仿宋" w:eastAsia="仿宋" w:cs="仿宋"/>
          <w:bCs/>
          <w:color w:val="auto"/>
          <w:sz w:val="28"/>
          <w:szCs w:val="28"/>
        </w:rPr>
        <w:t>投资者+EPC模式的应用与注意问题及案例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5.以国企为主导片区开发合规性和风险性分析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6.片区开发土地补贴和运营收益的融资性分析及案例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7.政府专项债券可否支持企业立项片区开发，如何支持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十一、商业银行等金融机构参与片区综合开发</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1.金融支持实体经济发展相关政策解读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2.商业银行参与社会资本主导的市场化片区建设合规分析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3.片区综合开发收益性与贷款可行性</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4.片区中公益性项目与土地出让金平衡方式风险点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5.投资人+EPC模式后期融资及政府贷款贴息</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6.商业银行能否为购买服务和采购工程项目融资贷款</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十二、央企、国企参与片区综合开发模式探讨及案例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开发型PPP模式</w:t>
      </w:r>
      <w:r>
        <w:rPr>
          <w:rFonts w:hint="eastAsia" w:ascii="仿宋" w:hAnsi="仿宋" w:eastAsia="仿宋" w:cs="仿宋"/>
          <w:bCs/>
          <w:color w:val="auto"/>
          <w:sz w:val="28"/>
          <w:szCs w:val="28"/>
          <w:lang w:eastAsia="zh-CN"/>
        </w:rPr>
        <w:t>在片区综合开发</w:t>
      </w:r>
      <w:r>
        <w:rPr>
          <w:rFonts w:hint="eastAsia" w:ascii="仿宋" w:hAnsi="仿宋" w:eastAsia="仿宋" w:cs="仿宋"/>
          <w:bCs/>
          <w:color w:val="auto"/>
          <w:sz w:val="28"/>
          <w:szCs w:val="28"/>
        </w:rPr>
        <w:t>应用与案例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2.企业主导片区综合开发模式分析及案例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3.如何寻求政府财政合规的支持、支持途径及案例</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4.庞大项目资本金的筹集渠道及合规性问题</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5.政府对片区项目补贴方式、补贴类型及范围</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6.如何争取地方政府专项债券对项目支持及案例</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7.央企、国企与城投公司合作片区开发注意的问题</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8.近期央企、国企投资开工片区开发案例分析</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9.片区综合开发中政府债务防范措施</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10.片区综合开发中投资风险防范及可融资性分析</w:t>
      </w:r>
    </w:p>
    <w:p>
      <w:pPr>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十三、</w:t>
      </w:r>
      <w:r>
        <w:rPr>
          <w:rFonts w:hint="eastAsia" w:ascii="黑体" w:hAnsi="黑体" w:eastAsia="黑体" w:cs="黑体"/>
          <w:bCs/>
          <w:color w:val="auto"/>
          <w:sz w:val="28"/>
          <w:szCs w:val="28"/>
        </w:rPr>
        <w:t>“管委会+平台”模式实施片区开发项目的应用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1.</w:t>
      </w:r>
      <w:r>
        <w:rPr>
          <w:rFonts w:ascii="仿宋" w:hAnsi="仿宋" w:eastAsia="仿宋" w:cs="仿宋"/>
          <w:bCs/>
          <w:color w:val="auto"/>
          <w:sz w:val="28"/>
          <w:szCs w:val="28"/>
        </w:rPr>
        <w:t>“管委会+平台”操作模式简述</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ascii="仿宋" w:hAnsi="仿宋" w:eastAsia="仿宋" w:cs="仿宋"/>
          <w:bCs/>
          <w:color w:val="auto"/>
          <w:sz w:val="28"/>
          <w:szCs w:val="28"/>
        </w:rPr>
        <w:t>“管委会+平台”模式中管委会与平台公司的核心权责界定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lang w:eastAsia="zh-CN"/>
        </w:rPr>
        <w:t>园区</w:t>
      </w:r>
      <w:r>
        <w:rPr>
          <w:rFonts w:ascii="仿宋" w:hAnsi="仿宋" w:eastAsia="仿宋" w:cs="仿宋"/>
          <w:bCs/>
          <w:color w:val="auto"/>
          <w:sz w:val="28"/>
          <w:szCs w:val="28"/>
        </w:rPr>
        <w:t>平台公司的转型与重组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4.</w:t>
      </w:r>
      <w:r>
        <w:rPr>
          <w:rFonts w:ascii="仿宋" w:hAnsi="仿宋" w:eastAsia="仿宋" w:cs="仿宋"/>
          <w:bCs/>
          <w:color w:val="auto"/>
          <w:sz w:val="28"/>
          <w:szCs w:val="28"/>
        </w:rPr>
        <w:t>平台公司如何介入园区一二级开发从而实现上市的目标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lang w:eastAsia="zh-CN"/>
        </w:rPr>
        <w:t>园区升级开发</w:t>
      </w:r>
      <w:r>
        <w:rPr>
          <w:rFonts w:ascii="仿宋" w:hAnsi="仿宋" w:eastAsia="仿宋" w:cs="仿宋"/>
          <w:bCs/>
          <w:color w:val="auto"/>
          <w:sz w:val="28"/>
          <w:szCs w:val="28"/>
        </w:rPr>
        <w:t>相关案例</w:t>
      </w:r>
    </w:p>
    <w:p>
      <w:pPr>
        <w:spacing w:line="440" w:lineRule="exact"/>
        <w:jc w:val="both"/>
        <w:rPr>
          <w:rStyle w:val="13"/>
          <w:rFonts w:ascii="黑体" w:hAnsi="黑体" w:eastAsia="黑体" w:cs="黑体"/>
          <w:b w:val="0"/>
          <w:color w:val="000000"/>
          <w:sz w:val="28"/>
          <w:szCs w:val="28"/>
        </w:rPr>
      </w:pPr>
    </w:p>
    <w:p>
      <w:pPr>
        <w:spacing w:line="440" w:lineRule="exact"/>
        <w:jc w:val="both"/>
        <w:rPr>
          <w:rStyle w:val="13"/>
          <w:rFonts w:hint="eastAsia" w:ascii="黑体" w:hAnsi="黑体" w:eastAsia="黑体" w:cs="黑体"/>
          <w:b w:val="0"/>
          <w:color w:val="000000"/>
          <w:sz w:val="28"/>
          <w:szCs w:val="28"/>
          <w:lang w:val="en-US" w:eastAsia="zh-CN"/>
        </w:rPr>
      </w:pPr>
      <w:r>
        <w:rPr>
          <w:rStyle w:val="13"/>
          <w:rFonts w:ascii="黑体" w:hAnsi="黑体" w:eastAsia="黑体" w:cs="黑体"/>
          <w:b w:val="0"/>
          <w:color w:val="000000"/>
          <w:sz w:val="28"/>
          <w:szCs w:val="28"/>
        </w:rPr>
        <w:t>附件：</w:t>
      </w:r>
      <w:r>
        <w:rPr>
          <w:rStyle w:val="13"/>
          <w:rFonts w:hint="eastAsia" w:ascii="黑体" w:hAnsi="黑体" w:eastAsia="黑体" w:cs="黑体"/>
          <w:b w:val="0"/>
          <w:color w:val="000000"/>
          <w:sz w:val="28"/>
          <w:szCs w:val="28"/>
          <w:lang w:val="en-US" w:eastAsia="zh-CN"/>
        </w:rPr>
        <w:t>2</w:t>
      </w:r>
    </w:p>
    <w:p>
      <w:pPr>
        <w:pStyle w:val="9"/>
        <w:spacing w:before="0" w:after="0" w:line="440" w:lineRule="exact"/>
        <w:outlineLvl w:val="9"/>
        <w:rPr>
          <w:rStyle w:val="13"/>
          <w:rFonts w:hint="default" w:cs="黑体" w:asciiTheme="minorEastAsia" w:hAnsiTheme="minorEastAsia" w:eastAsiaTheme="minorEastAsia"/>
          <w:b/>
          <w:bCs/>
          <w:color w:val="000000"/>
          <w:sz w:val="30"/>
          <w:szCs w:val="30"/>
          <w:lang w:val="en-US" w:eastAsia="zh-CN" w:bidi="ar-SA"/>
        </w:rPr>
      </w:pPr>
      <w:r>
        <w:rPr>
          <w:rStyle w:val="13"/>
          <w:rFonts w:hint="eastAsia" w:cs="黑体" w:asciiTheme="minorEastAsia" w:hAnsiTheme="minorEastAsia" w:eastAsiaTheme="minorEastAsia"/>
          <w:b/>
          <w:bCs/>
          <w:color w:val="000000"/>
          <w:sz w:val="30"/>
          <w:szCs w:val="30"/>
          <w:lang w:val="en-US" w:eastAsia="zh-CN" w:bidi="ar-SA"/>
        </w:rPr>
        <w:t>地方政府“两新一重”项目谋划及</w:t>
      </w:r>
    </w:p>
    <w:p>
      <w:pPr>
        <w:spacing w:line="440" w:lineRule="exact"/>
        <w:jc w:val="center"/>
        <w:rPr>
          <w:rFonts w:hint="default" w:cs="黑体" w:asciiTheme="minorEastAsia" w:hAnsiTheme="minorEastAsia" w:eastAsiaTheme="minorEastAsia"/>
          <w:bCs/>
          <w:sz w:val="30"/>
          <w:szCs w:val="30"/>
        </w:rPr>
      </w:pPr>
      <w:r>
        <w:rPr>
          <w:rStyle w:val="13"/>
          <w:rFonts w:hint="eastAsia" w:cs="黑体" w:asciiTheme="minorEastAsia" w:hAnsiTheme="minorEastAsia" w:eastAsiaTheme="minorEastAsia"/>
          <w:color w:val="000000"/>
          <w:sz w:val="30"/>
          <w:szCs w:val="30"/>
          <w:lang w:val="en-US" w:eastAsia="zh-CN" w:bidi="ar-SA"/>
        </w:rPr>
        <w:t>片区综合开发投融资实务培训班报名回执表</w:t>
      </w:r>
    </w:p>
    <w:tbl>
      <w:tblPr>
        <w:tblStyle w:val="11"/>
        <w:tblpPr w:leftFromText="180" w:rightFromText="180" w:vertAnchor="text" w:horzAnchor="page" w:tblpX="1117" w:tblpY="191"/>
        <w:tblOverlap w:val="never"/>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50"/>
        <w:gridCol w:w="1283"/>
        <w:gridCol w:w="1986"/>
        <w:gridCol w:w="158"/>
        <w:gridCol w:w="997"/>
        <w:gridCol w:w="125"/>
        <w:gridCol w:w="707"/>
        <w:gridCol w:w="13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65" w:type="dxa"/>
            <w:vAlign w:val="center"/>
          </w:tcPr>
          <w:p>
            <w:pPr>
              <w:spacing w:line="440" w:lineRule="exact"/>
              <w:ind w:right="-168" w:rightChars="-70"/>
              <w:jc w:val="center"/>
              <w:rPr>
                <w:rFonts w:hint="default" w:ascii="仿宋" w:hAnsi="仿宋" w:eastAsia="仿宋" w:cstheme="minorEastAsia"/>
              </w:rPr>
            </w:pPr>
            <w:bookmarkStart w:id="0" w:name="_GoBack"/>
            <w:bookmarkEnd w:id="0"/>
            <w:r>
              <w:rPr>
                <w:rFonts w:ascii="仿宋" w:hAnsi="仿宋" w:eastAsia="仿宋" w:cstheme="minorEastAsia"/>
              </w:rPr>
              <w:t>单位名称</w:t>
            </w:r>
          </w:p>
        </w:tc>
        <w:tc>
          <w:tcPr>
            <w:tcW w:w="5399" w:type="dxa"/>
            <w:gridSpan w:val="6"/>
            <w:vAlign w:val="center"/>
          </w:tcPr>
          <w:p>
            <w:pPr>
              <w:spacing w:line="440" w:lineRule="exact"/>
              <w:ind w:right="-168" w:rightChars="-70"/>
              <w:jc w:val="center"/>
              <w:rPr>
                <w:rFonts w:hint="default" w:ascii="仿宋" w:hAnsi="仿宋" w:eastAsia="仿宋" w:cstheme="minorEastAsia"/>
              </w:rPr>
            </w:pPr>
          </w:p>
        </w:tc>
        <w:tc>
          <w:tcPr>
            <w:tcW w:w="841" w:type="dxa"/>
            <w:gridSpan w:val="2"/>
            <w:vAlign w:val="center"/>
          </w:tcPr>
          <w:p>
            <w:pPr>
              <w:spacing w:line="440" w:lineRule="exact"/>
              <w:ind w:right="-168" w:rightChars="-70"/>
              <w:rPr>
                <w:rFonts w:hint="default" w:ascii="仿宋" w:hAnsi="仿宋" w:eastAsia="仿宋" w:cstheme="minorEastAsia"/>
              </w:rPr>
            </w:pPr>
            <w:r>
              <w:rPr>
                <w:rFonts w:ascii="仿宋" w:hAnsi="仿宋" w:eastAsia="仿宋" w:cstheme="minorEastAsia"/>
              </w:rPr>
              <w:t>邮编</w:t>
            </w:r>
          </w:p>
        </w:tc>
        <w:tc>
          <w:tcPr>
            <w:tcW w:w="1854" w:type="dxa"/>
            <w:vAlign w:val="center"/>
          </w:tcPr>
          <w:p>
            <w:pPr>
              <w:spacing w:line="44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单位地址</w:t>
            </w:r>
          </w:p>
        </w:tc>
        <w:tc>
          <w:tcPr>
            <w:tcW w:w="8094" w:type="dxa"/>
            <w:gridSpan w:val="9"/>
            <w:vAlign w:val="center"/>
          </w:tcPr>
          <w:p>
            <w:pPr>
              <w:spacing w:line="44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联系人</w:t>
            </w:r>
          </w:p>
        </w:tc>
        <w:tc>
          <w:tcPr>
            <w:tcW w:w="2133" w:type="dxa"/>
            <w:gridSpan w:val="2"/>
            <w:vAlign w:val="center"/>
          </w:tcPr>
          <w:p>
            <w:pPr>
              <w:spacing w:line="440" w:lineRule="exact"/>
              <w:ind w:right="-168" w:rightChars="-70" w:firstLine="960"/>
              <w:rPr>
                <w:rFonts w:hint="default" w:ascii="仿宋" w:hAnsi="仿宋" w:eastAsia="仿宋" w:cstheme="minorEastAsia"/>
              </w:rPr>
            </w:pPr>
          </w:p>
        </w:tc>
        <w:tc>
          <w:tcPr>
            <w:tcW w:w="3266" w:type="dxa"/>
            <w:gridSpan w:val="4"/>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部门职务</w:t>
            </w:r>
          </w:p>
        </w:tc>
        <w:tc>
          <w:tcPr>
            <w:tcW w:w="2695" w:type="dxa"/>
            <w:gridSpan w:val="3"/>
            <w:vAlign w:val="center"/>
          </w:tcPr>
          <w:p>
            <w:pPr>
              <w:spacing w:line="44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办公电话</w:t>
            </w:r>
          </w:p>
        </w:tc>
        <w:tc>
          <w:tcPr>
            <w:tcW w:w="2133" w:type="dxa"/>
            <w:gridSpan w:val="2"/>
            <w:vAlign w:val="center"/>
          </w:tcPr>
          <w:p>
            <w:pPr>
              <w:spacing w:line="440" w:lineRule="exact"/>
              <w:ind w:right="-168" w:rightChars="-70"/>
              <w:rPr>
                <w:rFonts w:hint="default" w:ascii="仿宋" w:hAnsi="仿宋" w:eastAsia="仿宋" w:cstheme="minorEastAsia"/>
              </w:rPr>
            </w:pPr>
          </w:p>
        </w:tc>
        <w:tc>
          <w:tcPr>
            <w:tcW w:w="3266" w:type="dxa"/>
            <w:gridSpan w:val="4"/>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手    机</w:t>
            </w:r>
          </w:p>
        </w:tc>
        <w:tc>
          <w:tcPr>
            <w:tcW w:w="2695" w:type="dxa"/>
            <w:gridSpan w:val="3"/>
            <w:vAlign w:val="center"/>
          </w:tcPr>
          <w:p>
            <w:pPr>
              <w:spacing w:line="44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传   真</w:t>
            </w:r>
          </w:p>
        </w:tc>
        <w:tc>
          <w:tcPr>
            <w:tcW w:w="2133" w:type="dxa"/>
            <w:gridSpan w:val="2"/>
            <w:vAlign w:val="center"/>
          </w:tcPr>
          <w:p>
            <w:pPr>
              <w:spacing w:line="440" w:lineRule="exact"/>
              <w:ind w:right="-168" w:rightChars="-70"/>
              <w:rPr>
                <w:rFonts w:hint="default" w:ascii="仿宋" w:hAnsi="仿宋" w:eastAsia="仿宋" w:cstheme="minorEastAsia"/>
              </w:rPr>
            </w:pPr>
          </w:p>
        </w:tc>
        <w:tc>
          <w:tcPr>
            <w:tcW w:w="3266" w:type="dxa"/>
            <w:gridSpan w:val="4"/>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电子信箱</w:t>
            </w:r>
          </w:p>
        </w:tc>
        <w:tc>
          <w:tcPr>
            <w:tcW w:w="2695" w:type="dxa"/>
            <w:gridSpan w:val="3"/>
            <w:vAlign w:val="center"/>
          </w:tcPr>
          <w:p>
            <w:pPr>
              <w:spacing w:line="44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4"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参加培训人员</w:t>
            </w:r>
          </w:p>
        </w:tc>
        <w:tc>
          <w:tcPr>
            <w:tcW w:w="850"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性别</w:t>
            </w:r>
          </w:p>
        </w:tc>
        <w:tc>
          <w:tcPr>
            <w:tcW w:w="1283"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职务</w:t>
            </w:r>
          </w:p>
        </w:tc>
        <w:tc>
          <w:tcPr>
            <w:tcW w:w="1986"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电话</w:t>
            </w:r>
          </w:p>
        </w:tc>
        <w:tc>
          <w:tcPr>
            <w:tcW w:w="1987" w:type="dxa"/>
            <w:gridSpan w:val="4"/>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手机</w:t>
            </w:r>
          </w:p>
        </w:tc>
        <w:tc>
          <w:tcPr>
            <w:tcW w:w="1988" w:type="dxa"/>
            <w:gridSpan w:val="2"/>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665" w:type="dxa"/>
            <w:vAlign w:val="center"/>
          </w:tcPr>
          <w:p>
            <w:pPr>
              <w:spacing w:line="440" w:lineRule="exact"/>
              <w:ind w:right="-168" w:rightChars="-70"/>
              <w:rPr>
                <w:rFonts w:hint="default" w:ascii="仿宋" w:hAnsi="仿宋" w:eastAsia="仿宋" w:cstheme="minorEastAsia"/>
              </w:rPr>
            </w:pPr>
          </w:p>
        </w:tc>
        <w:tc>
          <w:tcPr>
            <w:tcW w:w="850" w:type="dxa"/>
            <w:vAlign w:val="center"/>
          </w:tcPr>
          <w:p>
            <w:pPr>
              <w:spacing w:line="440" w:lineRule="exact"/>
              <w:ind w:right="-168" w:rightChars="-70"/>
              <w:rPr>
                <w:rFonts w:hint="default" w:ascii="仿宋" w:hAnsi="仿宋" w:eastAsia="仿宋" w:cstheme="minorEastAsia"/>
              </w:rPr>
            </w:pPr>
          </w:p>
        </w:tc>
        <w:tc>
          <w:tcPr>
            <w:tcW w:w="1283" w:type="dxa"/>
            <w:vAlign w:val="center"/>
          </w:tcPr>
          <w:p>
            <w:pPr>
              <w:spacing w:line="440" w:lineRule="exact"/>
              <w:ind w:right="-168" w:rightChars="-70"/>
              <w:rPr>
                <w:rFonts w:hint="default" w:ascii="仿宋" w:hAnsi="仿宋" w:eastAsia="仿宋" w:cstheme="minorEastAsia"/>
              </w:rPr>
            </w:pPr>
          </w:p>
        </w:tc>
        <w:tc>
          <w:tcPr>
            <w:tcW w:w="1986" w:type="dxa"/>
            <w:vAlign w:val="center"/>
          </w:tcPr>
          <w:p>
            <w:pPr>
              <w:spacing w:line="440" w:lineRule="exact"/>
              <w:ind w:right="-168" w:rightChars="-70"/>
              <w:rPr>
                <w:rFonts w:hint="default" w:ascii="仿宋" w:hAnsi="仿宋" w:eastAsia="仿宋" w:cstheme="minorEastAsia"/>
              </w:rPr>
            </w:pPr>
          </w:p>
        </w:tc>
        <w:tc>
          <w:tcPr>
            <w:tcW w:w="1987" w:type="dxa"/>
            <w:gridSpan w:val="4"/>
            <w:vAlign w:val="center"/>
          </w:tcPr>
          <w:p>
            <w:pPr>
              <w:spacing w:line="440" w:lineRule="exact"/>
              <w:ind w:right="-168" w:rightChars="-70"/>
              <w:rPr>
                <w:rFonts w:hint="default" w:ascii="仿宋" w:hAnsi="仿宋" w:eastAsia="仿宋" w:cstheme="minorEastAsia"/>
              </w:rPr>
            </w:pPr>
          </w:p>
        </w:tc>
        <w:tc>
          <w:tcPr>
            <w:tcW w:w="1988" w:type="dxa"/>
            <w:gridSpan w:val="2"/>
            <w:vAlign w:val="center"/>
          </w:tcPr>
          <w:p>
            <w:pPr>
              <w:spacing w:line="440" w:lineRule="exact"/>
              <w:ind w:right="-168" w:rightChars="-70"/>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665" w:type="dxa"/>
            <w:vAlign w:val="center"/>
          </w:tcPr>
          <w:p>
            <w:pPr>
              <w:spacing w:line="440" w:lineRule="exact"/>
              <w:ind w:right="-168" w:rightChars="-70"/>
              <w:rPr>
                <w:rFonts w:hint="default" w:ascii="仿宋" w:hAnsi="仿宋" w:eastAsia="仿宋" w:cstheme="minorEastAsia"/>
              </w:rPr>
            </w:pPr>
          </w:p>
        </w:tc>
        <w:tc>
          <w:tcPr>
            <w:tcW w:w="850" w:type="dxa"/>
            <w:vAlign w:val="center"/>
          </w:tcPr>
          <w:p>
            <w:pPr>
              <w:spacing w:line="440" w:lineRule="exact"/>
              <w:ind w:right="-168" w:rightChars="-70"/>
              <w:rPr>
                <w:rFonts w:hint="default" w:ascii="仿宋" w:hAnsi="仿宋" w:eastAsia="仿宋" w:cstheme="minorEastAsia"/>
              </w:rPr>
            </w:pPr>
          </w:p>
        </w:tc>
        <w:tc>
          <w:tcPr>
            <w:tcW w:w="1283" w:type="dxa"/>
            <w:vAlign w:val="center"/>
          </w:tcPr>
          <w:p>
            <w:pPr>
              <w:spacing w:line="440" w:lineRule="exact"/>
              <w:ind w:right="-168" w:rightChars="-70"/>
              <w:rPr>
                <w:rFonts w:hint="default" w:ascii="仿宋" w:hAnsi="仿宋" w:eastAsia="仿宋" w:cstheme="minorEastAsia"/>
              </w:rPr>
            </w:pPr>
          </w:p>
        </w:tc>
        <w:tc>
          <w:tcPr>
            <w:tcW w:w="1986" w:type="dxa"/>
            <w:vAlign w:val="center"/>
          </w:tcPr>
          <w:p>
            <w:pPr>
              <w:spacing w:line="440" w:lineRule="exact"/>
              <w:ind w:right="-168" w:rightChars="-70"/>
              <w:rPr>
                <w:rFonts w:hint="default" w:ascii="仿宋" w:hAnsi="仿宋" w:eastAsia="仿宋" w:cstheme="minorEastAsia"/>
              </w:rPr>
            </w:pPr>
          </w:p>
        </w:tc>
        <w:tc>
          <w:tcPr>
            <w:tcW w:w="1987" w:type="dxa"/>
            <w:gridSpan w:val="4"/>
            <w:vAlign w:val="center"/>
          </w:tcPr>
          <w:p>
            <w:pPr>
              <w:spacing w:line="440" w:lineRule="exact"/>
              <w:ind w:right="-168" w:rightChars="-70"/>
              <w:rPr>
                <w:rFonts w:hint="default" w:ascii="仿宋" w:hAnsi="仿宋" w:eastAsia="仿宋" w:cstheme="minorEastAsia"/>
              </w:rPr>
            </w:pPr>
          </w:p>
        </w:tc>
        <w:tc>
          <w:tcPr>
            <w:tcW w:w="1988" w:type="dxa"/>
            <w:gridSpan w:val="2"/>
            <w:vAlign w:val="center"/>
          </w:tcPr>
          <w:p>
            <w:pPr>
              <w:spacing w:line="440" w:lineRule="exact"/>
              <w:ind w:right="-168" w:rightChars="-70"/>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665" w:type="dxa"/>
            <w:vAlign w:val="center"/>
          </w:tcPr>
          <w:p>
            <w:pPr>
              <w:spacing w:line="440" w:lineRule="exact"/>
              <w:ind w:right="-168" w:rightChars="-70"/>
              <w:rPr>
                <w:rFonts w:hint="default" w:ascii="仿宋" w:hAnsi="仿宋" w:eastAsia="仿宋" w:cstheme="minorEastAsia"/>
              </w:rPr>
            </w:pPr>
          </w:p>
        </w:tc>
        <w:tc>
          <w:tcPr>
            <w:tcW w:w="850" w:type="dxa"/>
            <w:vAlign w:val="center"/>
          </w:tcPr>
          <w:p>
            <w:pPr>
              <w:spacing w:line="440" w:lineRule="exact"/>
              <w:ind w:right="-168" w:rightChars="-70"/>
              <w:rPr>
                <w:rFonts w:hint="default" w:ascii="仿宋" w:hAnsi="仿宋" w:eastAsia="仿宋" w:cstheme="minorEastAsia"/>
              </w:rPr>
            </w:pPr>
          </w:p>
        </w:tc>
        <w:tc>
          <w:tcPr>
            <w:tcW w:w="1283" w:type="dxa"/>
            <w:vAlign w:val="center"/>
          </w:tcPr>
          <w:p>
            <w:pPr>
              <w:spacing w:line="440" w:lineRule="exact"/>
              <w:ind w:right="-168" w:rightChars="-70"/>
              <w:rPr>
                <w:rFonts w:hint="default" w:ascii="仿宋" w:hAnsi="仿宋" w:eastAsia="仿宋" w:cstheme="minorEastAsia"/>
              </w:rPr>
            </w:pPr>
          </w:p>
        </w:tc>
        <w:tc>
          <w:tcPr>
            <w:tcW w:w="1986" w:type="dxa"/>
            <w:vAlign w:val="center"/>
          </w:tcPr>
          <w:p>
            <w:pPr>
              <w:spacing w:line="440" w:lineRule="exact"/>
              <w:ind w:right="-168" w:rightChars="-70"/>
              <w:rPr>
                <w:rFonts w:hint="default" w:ascii="仿宋" w:hAnsi="仿宋" w:eastAsia="仿宋" w:cstheme="minorEastAsia"/>
              </w:rPr>
            </w:pPr>
          </w:p>
        </w:tc>
        <w:tc>
          <w:tcPr>
            <w:tcW w:w="1987" w:type="dxa"/>
            <w:gridSpan w:val="4"/>
            <w:vAlign w:val="center"/>
          </w:tcPr>
          <w:p>
            <w:pPr>
              <w:spacing w:line="440" w:lineRule="exact"/>
              <w:ind w:right="-168" w:rightChars="-70"/>
              <w:rPr>
                <w:rFonts w:hint="default" w:ascii="仿宋" w:hAnsi="仿宋" w:eastAsia="仿宋" w:cstheme="minorEastAsia"/>
              </w:rPr>
            </w:pPr>
          </w:p>
        </w:tc>
        <w:tc>
          <w:tcPr>
            <w:tcW w:w="1988" w:type="dxa"/>
            <w:gridSpan w:val="2"/>
            <w:vAlign w:val="center"/>
          </w:tcPr>
          <w:p>
            <w:pPr>
              <w:spacing w:line="440" w:lineRule="exact"/>
              <w:ind w:right="-168" w:rightChars="-70"/>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665" w:type="dxa"/>
            <w:vAlign w:val="center"/>
          </w:tcPr>
          <w:p>
            <w:pPr>
              <w:spacing w:line="440" w:lineRule="exact"/>
              <w:ind w:right="-168" w:rightChars="-70" w:firstLine="240" w:firstLineChars="100"/>
              <w:rPr>
                <w:rFonts w:hint="default" w:ascii="仿宋" w:hAnsi="仿宋" w:eastAsia="仿宋" w:cstheme="minorEastAsia"/>
                <w:color w:val="FF0000"/>
              </w:rPr>
            </w:pPr>
            <w:r>
              <w:rPr>
                <w:rFonts w:ascii="仿宋" w:hAnsi="仿宋" w:eastAsia="仿宋" w:cstheme="minorEastAsia"/>
                <w:color w:val="000000"/>
              </w:rPr>
              <w:t>参会地点</w:t>
            </w:r>
          </w:p>
        </w:tc>
        <w:tc>
          <w:tcPr>
            <w:tcW w:w="2133" w:type="dxa"/>
            <w:gridSpan w:val="2"/>
            <w:vAlign w:val="center"/>
          </w:tcPr>
          <w:p>
            <w:pPr>
              <w:spacing w:line="440" w:lineRule="exact"/>
              <w:ind w:right="-168" w:rightChars="-70" w:firstLine="960" w:firstLineChars="400"/>
              <w:rPr>
                <w:rFonts w:hint="default" w:ascii="仿宋" w:hAnsi="仿宋" w:eastAsia="仿宋" w:cstheme="minorEastAsia"/>
                <w:color w:val="FF0000"/>
              </w:rPr>
            </w:pPr>
          </w:p>
        </w:tc>
        <w:tc>
          <w:tcPr>
            <w:tcW w:w="1986" w:type="dxa"/>
            <w:vAlign w:val="center"/>
          </w:tcPr>
          <w:p>
            <w:pPr>
              <w:spacing w:line="440" w:lineRule="exact"/>
              <w:ind w:right="-168" w:rightChars="-70" w:firstLine="360" w:firstLineChars="150"/>
              <w:rPr>
                <w:rFonts w:hint="default" w:ascii="仿宋" w:hAnsi="仿宋" w:eastAsia="仿宋" w:cstheme="minorEastAsia"/>
                <w:color w:val="000000"/>
              </w:rPr>
            </w:pPr>
            <w:r>
              <w:rPr>
                <w:rFonts w:ascii="仿宋" w:hAnsi="仿宋" w:eastAsia="仿宋" w:cstheme="minorEastAsia"/>
                <w:color w:val="000000"/>
              </w:rPr>
              <w:t>证书申报</w:t>
            </w:r>
          </w:p>
        </w:tc>
        <w:tc>
          <w:tcPr>
            <w:tcW w:w="3975" w:type="dxa"/>
            <w:gridSpan w:val="6"/>
            <w:vAlign w:val="center"/>
          </w:tcPr>
          <w:p>
            <w:pPr>
              <w:spacing w:line="440" w:lineRule="exact"/>
              <w:ind w:right="-168" w:rightChars="-70"/>
              <w:rPr>
                <w:rFonts w:hint="default" w:ascii="仿宋" w:hAnsi="仿宋" w:eastAsia="仿宋" w:cstheme="minorEastAsia"/>
                <w:color w:val="000000"/>
              </w:rPr>
            </w:pPr>
            <w:r>
              <w:rPr>
                <w:rFonts w:ascii="仿宋" w:hAnsi="仿宋" w:eastAsia="仿宋" w:cstheme="minorEastAsia"/>
                <w:color w:val="000000"/>
              </w:rPr>
              <w:t xml:space="preserve">《投融资管理师》  </w:t>
            </w:r>
            <w:r>
              <w:rPr>
                <w:rFonts w:ascii="仿宋" w:hAnsi="仿宋" w:eastAsia="仿宋"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标准选项</w:t>
            </w:r>
          </w:p>
        </w:tc>
        <w:tc>
          <w:tcPr>
            <w:tcW w:w="8094" w:type="dxa"/>
            <w:gridSpan w:val="9"/>
            <w:vAlign w:val="center"/>
          </w:tcPr>
          <w:p>
            <w:pPr>
              <w:spacing w:line="440" w:lineRule="exact"/>
              <w:ind w:right="-168" w:rightChars="-70" w:firstLine="240" w:firstLineChars="100"/>
              <w:jc w:val="both"/>
              <w:rPr>
                <w:rFonts w:hint="default" w:ascii="仿宋" w:hAnsi="仿宋" w:eastAsia="仿宋" w:cstheme="minorEastAsia"/>
              </w:rPr>
            </w:pPr>
            <w:r>
              <w:rPr>
                <w:rFonts w:ascii="仿宋" w:hAnsi="仿宋" w:eastAsia="仿宋" w:cstheme="minorEastAsia"/>
              </w:rPr>
              <w:t xml:space="preserve">A：2980元□ </w:t>
            </w:r>
            <w:r>
              <w:rPr>
                <w:rFonts w:hint="eastAsia" w:ascii="仿宋" w:hAnsi="仿宋" w:eastAsia="仿宋" w:cstheme="minorEastAsia"/>
                <w:lang w:val="en-US" w:eastAsia="zh-CN"/>
              </w:rPr>
              <w:t xml:space="preserve">   </w:t>
            </w:r>
            <w:r>
              <w:rPr>
                <w:rFonts w:ascii="仿宋" w:hAnsi="仿宋" w:eastAsia="仿宋" w:cstheme="minorEastAsia"/>
              </w:rPr>
              <w:t xml:space="preserve">B：3980元□  </w:t>
            </w:r>
            <w:r>
              <w:rPr>
                <w:rFonts w:hint="eastAsia" w:ascii="仿宋" w:hAnsi="仿宋" w:eastAsia="仿宋" w:cstheme="minorEastAsia"/>
                <w:lang w:val="en-US" w:eastAsia="zh-CN"/>
              </w:rPr>
              <w:t xml:space="preserve">   </w:t>
            </w:r>
            <w:r>
              <w:rPr>
                <w:rFonts w:ascii="仿宋" w:hAnsi="仿宋" w:eastAsia="仿宋" w:cstheme="minorEastAsia"/>
              </w:rPr>
              <w:t xml:space="preserve"> C：5980元□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665" w:type="dxa"/>
            <w:vAlign w:val="center"/>
          </w:tcPr>
          <w:p>
            <w:pPr>
              <w:spacing w:line="440" w:lineRule="exact"/>
              <w:ind w:right="-168" w:rightChars="-70"/>
              <w:jc w:val="center"/>
              <w:rPr>
                <w:rFonts w:ascii="仿宋" w:hAnsi="仿宋" w:eastAsia="仿宋" w:cstheme="minorEastAsia"/>
              </w:rPr>
            </w:pPr>
            <w:r>
              <w:rPr>
                <w:rFonts w:hint="eastAsia" w:ascii="仿宋" w:hAnsi="仿宋" w:eastAsia="仿宋" w:cstheme="minorEastAsia"/>
                <w:lang w:eastAsia="zh-CN"/>
              </w:rPr>
              <w:t>住宿标准</w:t>
            </w:r>
          </w:p>
        </w:tc>
        <w:tc>
          <w:tcPr>
            <w:tcW w:w="8094" w:type="dxa"/>
            <w:gridSpan w:val="9"/>
            <w:vAlign w:val="center"/>
          </w:tcPr>
          <w:p>
            <w:pPr>
              <w:spacing w:line="440" w:lineRule="exact"/>
              <w:ind w:right="-168" w:rightChars="-70" w:firstLine="240" w:firstLineChars="100"/>
              <w:jc w:val="both"/>
              <w:rPr>
                <w:rFonts w:hint="default" w:ascii="仿宋" w:hAnsi="仿宋" w:eastAsia="仿宋" w:cstheme="minorEastAsia"/>
                <w:lang w:val="en-US" w:eastAsia="zh-CN"/>
              </w:rPr>
            </w:pPr>
            <w:r>
              <w:rPr>
                <w:rFonts w:hint="eastAsia" w:ascii="仿宋" w:hAnsi="仿宋" w:eastAsia="仿宋" w:cstheme="minorEastAsia"/>
                <w:lang w:eastAsia="zh-CN"/>
              </w:rPr>
              <w:t>单住</w:t>
            </w:r>
            <w:r>
              <w:rPr>
                <w:rFonts w:ascii="仿宋" w:hAnsi="仿宋" w:eastAsia="仿宋" w:cstheme="minorEastAsia"/>
              </w:rPr>
              <w:t>□</w:t>
            </w:r>
            <w:r>
              <w:rPr>
                <w:rFonts w:hint="eastAsia" w:ascii="仿宋" w:hAnsi="仿宋" w:eastAsia="仿宋" w:cstheme="minorEastAsia"/>
                <w:lang w:val="en-US" w:eastAsia="zh-CN"/>
              </w:rPr>
              <w:t xml:space="preserve">         合住</w:t>
            </w:r>
            <w:r>
              <w:rPr>
                <w:rFonts w:ascii="仿宋" w:hAnsi="仿宋" w:eastAsia="仿宋" w:cstheme="minorEastAsia"/>
              </w:rPr>
              <w:t>□</w:t>
            </w:r>
            <w:r>
              <w:rPr>
                <w:rFonts w:hint="eastAsia" w:ascii="仿宋" w:hAnsi="仿宋" w:eastAsia="仿宋" w:cstheme="minorEastAsia"/>
                <w:lang w:val="en-US" w:eastAsia="zh-CN"/>
              </w:rPr>
              <w:t xml:space="preserve">          自行安排</w:t>
            </w:r>
            <w:r>
              <w:rPr>
                <w:rFonts w:ascii="仿宋" w:hAnsi="仿宋" w:eastAsia="仿宋"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665" w:type="dxa"/>
          </w:tcPr>
          <w:p>
            <w:pPr>
              <w:spacing w:line="440" w:lineRule="exact"/>
              <w:ind w:right="-168" w:rightChars="-70"/>
              <w:jc w:val="center"/>
              <w:rPr>
                <w:rFonts w:hint="default" w:ascii="仿宋" w:hAnsi="仿宋" w:eastAsia="仿宋" w:cstheme="minorEastAsia"/>
              </w:rPr>
            </w:pPr>
            <w:r>
              <w:rPr>
                <w:rFonts w:ascii="仿宋" w:hAnsi="仿宋" w:eastAsia="仿宋" w:cstheme="minorEastAsia"/>
              </w:rPr>
              <w:t>付款方式</w:t>
            </w:r>
          </w:p>
        </w:tc>
        <w:tc>
          <w:tcPr>
            <w:tcW w:w="4277" w:type="dxa"/>
            <w:gridSpan w:val="4"/>
          </w:tcPr>
          <w:p>
            <w:pPr>
              <w:widowControl/>
              <w:spacing w:line="440" w:lineRule="exact"/>
              <w:ind w:right="-168" w:rightChars="-70"/>
              <w:jc w:val="center"/>
              <w:rPr>
                <w:rFonts w:hint="default" w:ascii="仿宋" w:hAnsi="仿宋" w:eastAsia="仿宋" w:cstheme="minorEastAsia"/>
              </w:rPr>
            </w:pPr>
            <w:r>
              <w:rPr>
                <w:rFonts w:ascii="仿宋" w:hAnsi="仿宋" w:eastAsia="仿宋" w:cstheme="minorEastAsia"/>
              </w:rPr>
              <w:t xml:space="preserve">□银行     □网银 </w:t>
            </w:r>
          </w:p>
        </w:tc>
        <w:tc>
          <w:tcPr>
            <w:tcW w:w="997" w:type="dxa"/>
          </w:tcPr>
          <w:p>
            <w:pPr>
              <w:widowControl/>
              <w:spacing w:line="440" w:lineRule="exact"/>
              <w:ind w:right="-168" w:rightChars="-70"/>
              <w:jc w:val="center"/>
              <w:rPr>
                <w:rFonts w:hint="default" w:ascii="仿宋" w:hAnsi="仿宋" w:eastAsia="仿宋" w:cstheme="minorEastAsia"/>
              </w:rPr>
            </w:pPr>
            <w:r>
              <w:rPr>
                <w:rFonts w:ascii="仿宋" w:hAnsi="仿宋" w:eastAsia="仿宋" w:cstheme="minorEastAsia"/>
              </w:rPr>
              <w:t>金额</w:t>
            </w:r>
          </w:p>
        </w:tc>
        <w:tc>
          <w:tcPr>
            <w:tcW w:w="2820" w:type="dxa"/>
            <w:gridSpan w:val="4"/>
          </w:tcPr>
          <w:p>
            <w:pPr>
              <w:widowControl/>
              <w:spacing w:line="440" w:lineRule="exact"/>
              <w:ind w:right="-168" w:rightChars="-7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需要与专家</w:t>
            </w:r>
          </w:p>
          <w:p>
            <w:pPr>
              <w:spacing w:line="440" w:lineRule="exact"/>
              <w:ind w:right="-168" w:rightChars="-70"/>
              <w:jc w:val="center"/>
              <w:rPr>
                <w:rFonts w:hint="default" w:ascii="仿宋" w:hAnsi="仿宋" w:eastAsia="仿宋" w:cstheme="minorEastAsia"/>
              </w:rPr>
            </w:pPr>
            <w:r>
              <w:rPr>
                <w:rFonts w:ascii="仿宋" w:hAnsi="仿宋" w:eastAsia="仿宋" w:cstheme="minorEastAsia"/>
              </w:rPr>
              <w:t>沟通的问题</w:t>
            </w:r>
          </w:p>
        </w:tc>
        <w:tc>
          <w:tcPr>
            <w:tcW w:w="8094" w:type="dxa"/>
            <w:gridSpan w:val="9"/>
          </w:tcPr>
          <w:p>
            <w:pPr>
              <w:widowControl/>
              <w:spacing w:line="440" w:lineRule="exact"/>
              <w:ind w:right="-168" w:rightChars="-7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665" w:type="dxa"/>
            <w:vAlign w:val="center"/>
          </w:tcPr>
          <w:p>
            <w:pPr>
              <w:spacing w:line="440" w:lineRule="exact"/>
              <w:ind w:right="-168" w:rightChars="-70"/>
              <w:jc w:val="center"/>
              <w:rPr>
                <w:rFonts w:hint="default" w:ascii="仿宋" w:hAnsi="仿宋" w:eastAsia="仿宋" w:cstheme="minorEastAsia"/>
                <w:highlight w:val="yellow"/>
              </w:rPr>
            </w:pPr>
            <w:r>
              <w:rPr>
                <w:rFonts w:ascii="仿宋" w:hAnsi="仿宋" w:eastAsia="仿宋" w:cstheme="minorEastAsia"/>
                <w:lang w:val="zh-CN"/>
              </w:rPr>
              <w:t>收款账户</w:t>
            </w:r>
          </w:p>
        </w:tc>
        <w:tc>
          <w:tcPr>
            <w:tcW w:w="8094" w:type="dxa"/>
            <w:gridSpan w:val="9"/>
            <w:vAlign w:val="center"/>
          </w:tcPr>
          <w:p>
            <w:pPr>
              <w:widowControl/>
              <w:spacing w:line="440" w:lineRule="exact"/>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单位名称：北京中科善若教育咨询有限公司</w:t>
            </w:r>
          </w:p>
          <w:p>
            <w:pPr>
              <w:widowControl/>
              <w:spacing w:line="440" w:lineRule="exact"/>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 xml:space="preserve">开 户 行：中国工商银行股份有限公司北京永定路支行 </w:t>
            </w:r>
          </w:p>
          <w:p>
            <w:pPr>
              <w:widowControl/>
              <w:spacing w:line="440" w:lineRule="exact"/>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账    号：0200247009200077514</w:t>
            </w:r>
          </w:p>
          <w:p>
            <w:pPr>
              <w:widowControl/>
              <w:spacing w:line="440" w:lineRule="exact"/>
              <w:rPr>
                <w:rFonts w:hint="default" w:ascii="仿宋" w:hAnsi="仿宋" w:eastAsia="仿宋" w:cstheme="minorEastAsia"/>
                <w:sz w:val="28"/>
                <w:szCs w:val="28"/>
                <w:highlight w:val="yellow"/>
              </w:rPr>
            </w:pPr>
            <w:r>
              <w:rPr>
                <w:rStyle w:val="13"/>
                <w:rFonts w:hint="eastAsia" w:ascii="仿宋" w:hAnsi="仿宋" w:eastAsia="仿宋" w:cs="仿宋"/>
                <w:b w:val="0"/>
                <w:bCs w:val="0"/>
                <w:color w:val="000000"/>
                <w:szCs w:val="24"/>
                <w:lang w:val="zh-CN"/>
              </w:rPr>
              <w:t>行    号：102100024703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1665" w:type="dxa"/>
            <w:vAlign w:val="center"/>
          </w:tcPr>
          <w:p>
            <w:pPr>
              <w:spacing w:line="440" w:lineRule="exact"/>
              <w:ind w:right="-168" w:rightChars="-70"/>
              <w:jc w:val="center"/>
              <w:rPr>
                <w:rFonts w:hint="default" w:ascii="仿宋" w:hAnsi="仿宋" w:eastAsia="仿宋" w:cstheme="minorEastAsia"/>
                <w:b/>
                <w:bCs/>
              </w:rPr>
            </w:pPr>
            <w:r>
              <w:rPr>
                <w:rFonts w:ascii="仿宋" w:hAnsi="仿宋" w:eastAsia="仿宋" w:cstheme="minorEastAsia"/>
              </w:rPr>
              <w:t>备注</w:t>
            </w:r>
          </w:p>
        </w:tc>
        <w:tc>
          <w:tcPr>
            <w:tcW w:w="5274" w:type="dxa"/>
            <w:gridSpan w:val="5"/>
            <w:vAlign w:val="center"/>
          </w:tcPr>
          <w:p>
            <w:pPr>
              <w:spacing w:line="440" w:lineRule="exact"/>
              <w:ind w:right="-168" w:rightChars="-70"/>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请将《报名回执表》发送至会务组，并于报名3</w:t>
            </w:r>
          </w:p>
          <w:p>
            <w:pPr>
              <w:spacing w:line="440" w:lineRule="exact"/>
              <w:ind w:right="-168" w:rightChars="-70"/>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日内将培训费汇至指定账户，会务组确认收到培</w:t>
            </w:r>
          </w:p>
          <w:p>
            <w:pPr>
              <w:spacing w:line="440" w:lineRule="exact"/>
              <w:ind w:right="-168" w:rightChars="-70"/>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训费后即发《参会凭证》，详细说明培训安排具</w:t>
            </w:r>
          </w:p>
          <w:p>
            <w:pPr>
              <w:spacing w:line="440" w:lineRule="exact"/>
              <w:ind w:right="-168" w:rightChars="-70"/>
              <w:rPr>
                <w:rFonts w:hint="default" w:ascii="仿宋" w:hAnsi="仿宋" w:eastAsia="仿宋" w:cstheme="minorEastAsia"/>
              </w:rPr>
            </w:pPr>
            <w:r>
              <w:rPr>
                <w:rStyle w:val="13"/>
                <w:rFonts w:hint="eastAsia" w:ascii="仿宋" w:hAnsi="仿宋" w:eastAsia="仿宋" w:cs="仿宋"/>
                <w:b w:val="0"/>
                <w:bCs w:val="0"/>
                <w:color w:val="000000"/>
                <w:szCs w:val="24"/>
                <w:lang w:val="zh-CN"/>
              </w:rPr>
              <w:t>体事项。</w:t>
            </w:r>
          </w:p>
        </w:tc>
        <w:tc>
          <w:tcPr>
            <w:tcW w:w="2820" w:type="dxa"/>
            <w:gridSpan w:val="4"/>
            <w:vAlign w:val="center"/>
          </w:tcPr>
          <w:p>
            <w:pPr>
              <w:spacing w:line="440" w:lineRule="exact"/>
              <w:ind w:right="-168" w:rightChars="-70" w:firstLine="720" w:firstLineChars="300"/>
              <w:rPr>
                <w:rFonts w:hint="default" w:ascii="仿宋" w:hAnsi="仿宋" w:eastAsia="仿宋" w:cstheme="minorEastAsia"/>
              </w:rPr>
            </w:pPr>
            <w:r>
              <w:rPr>
                <w:rFonts w:ascii="仿宋" w:hAnsi="仿宋" w:eastAsia="仿宋" w:cstheme="minorEastAsia"/>
              </w:rPr>
              <w:t>单位印章</w:t>
            </w:r>
          </w:p>
          <w:p>
            <w:pPr>
              <w:spacing w:line="440" w:lineRule="exact"/>
              <w:ind w:right="-168" w:rightChars="-70" w:firstLine="480" w:firstLineChars="200"/>
              <w:rPr>
                <w:rFonts w:hint="default" w:ascii="仿宋" w:hAnsi="仿宋" w:eastAsia="仿宋" w:cstheme="minorEastAsia"/>
              </w:rPr>
            </w:pPr>
            <w:r>
              <w:rPr>
                <w:rFonts w:ascii="仿宋" w:hAnsi="仿宋" w:eastAsia="仿宋" w:cstheme="minorEastAsia"/>
              </w:rPr>
              <w:t xml:space="preserve">2021年  月 </w:t>
            </w:r>
            <w:r>
              <w:rPr>
                <w:rFonts w:hint="eastAsia" w:ascii="仿宋" w:hAnsi="仿宋" w:eastAsia="仿宋" w:cstheme="minorEastAsia"/>
                <w:lang w:val="en-US" w:eastAsia="zh-CN"/>
              </w:rPr>
              <w:t xml:space="preserve"> </w:t>
            </w:r>
            <w:r>
              <w:rPr>
                <w:rFonts w:ascii="仿宋" w:hAnsi="仿宋" w:eastAsia="仿宋" w:cstheme="minorEastAsia"/>
              </w:rPr>
              <w:t>日</w:t>
            </w:r>
          </w:p>
        </w:tc>
      </w:tr>
    </w:tbl>
    <w:p>
      <w:pPr>
        <w:keepNext w:val="0"/>
        <w:keepLines w:val="0"/>
        <w:pageBreakBefore w:val="0"/>
        <w:widowControl w:val="0"/>
        <w:kinsoku/>
        <w:wordWrap/>
        <w:overflowPunct/>
        <w:topLinePunct w:val="0"/>
        <w:autoSpaceDE w:val="0"/>
        <w:autoSpaceDN w:val="0"/>
        <w:bidi w:val="0"/>
        <w:adjustRightInd w:val="0"/>
        <w:snapToGrid/>
        <w:spacing w:line="400" w:lineRule="exact"/>
        <w:ind w:right="-168" w:rightChars="-70"/>
        <w:textAlignment w:val="auto"/>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 xml:space="preserve">报名负责人：聂红军 主任18211071700（微信）   </w:t>
      </w:r>
    </w:p>
    <w:p>
      <w:pPr>
        <w:keepNext w:val="0"/>
        <w:keepLines w:val="0"/>
        <w:pageBreakBefore w:val="0"/>
        <w:widowControl w:val="0"/>
        <w:kinsoku/>
        <w:wordWrap/>
        <w:overflowPunct/>
        <w:topLinePunct w:val="0"/>
        <w:autoSpaceDE w:val="0"/>
        <w:autoSpaceDN w:val="0"/>
        <w:bidi w:val="0"/>
        <w:adjustRightInd w:val="0"/>
        <w:snapToGrid/>
        <w:spacing w:line="400" w:lineRule="exact"/>
        <w:ind w:right="-168" w:rightChars="-70"/>
        <w:textAlignment w:val="auto"/>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 xml:space="preserve">电  话：010-87697580      邮    箱：zqgphwz@126.com  </w:t>
      </w:r>
    </w:p>
    <w:p>
      <w:pPr>
        <w:keepNext w:val="0"/>
        <w:keepLines w:val="0"/>
        <w:pageBreakBefore w:val="0"/>
        <w:widowControl w:val="0"/>
        <w:kinsoku/>
        <w:wordWrap/>
        <w:overflowPunct/>
        <w:topLinePunct w:val="0"/>
        <w:autoSpaceDE w:val="0"/>
        <w:autoSpaceDN w:val="0"/>
        <w:bidi w:val="0"/>
        <w:adjustRightInd w:val="0"/>
        <w:snapToGrid/>
        <w:spacing w:line="400" w:lineRule="exact"/>
        <w:ind w:right="-168" w:rightChars="-70"/>
        <w:textAlignment w:val="auto"/>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qq咨询：3177524020        网址查询：http://www.zqgpchina.cn/</w:t>
      </w:r>
    </w:p>
    <w:sectPr>
      <w:footerReference r:id="rId3" w:type="default"/>
      <w:pgSz w:w="11906" w:h="16838"/>
      <w:pgMar w:top="1610" w:right="1474" w:bottom="1497" w:left="1644"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19F" w:csb1="00000000"/>
  </w:font>
  <w:font w:name="微软雅黑">
    <w:panose1 w:val="020B0503020204020204"/>
    <w:charset w:val="86"/>
    <w:family w:val="auto"/>
    <w:pitch w:val="default"/>
    <w:sig w:usb0="80000287" w:usb1="080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ptZc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y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4ptZc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483637"/>
    <w:multiLevelType w:val="singleLevel"/>
    <w:tmpl w:val="97483637"/>
    <w:lvl w:ilvl="0" w:tentative="0">
      <w:start w:val="1"/>
      <w:numFmt w:val="chineseCounting"/>
      <w:suff w:val="nothing"/>
      <w:lvlText w:val="%1、"/>
      <w:lvlJc w:val="left"/>
      <w:rPr>
        <w:rFonts w:hint="eastAsia"/>
      </w:rPr>
    </w:lvl>
  </w:abstractNum>
  <w:abstractNum w:abstractNumId="1">
    <w:nsid w:val="5C5DE2CD"/>
    <w:multiLevelType w:val="singleLevel"/>
    <w:tmpl w:val="5C5DE2C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8"/>
    <w:rsid w:val="000111BB"/>
    <w:rsid w:val="00023D51"/>
    <w:rsid w:val="00035C2D"/>
    <w:rsid w:val="00067BD4"/>
    <w:rsid w:val="00093904"/>
    <w:rsid w:val="0009632B"/>
    <w:rsid w:val="000A20EB"/>
    <w:rsid w:val="000A7220"/>
    <w:rsid w:val="000A7831"/>
    <w:rsid w:val="000B5CF0"/>
    <w:rsid w:val="000E468A"/>
    <w:rsid w:val="000F0735"/>
    <w:rsid w:val="001035D1"/>
    <w:rsid w:val="001320AD"/>
    <w:rsid w:val="0014146F"/>
    <w:rsid w:val="00156D13"/>
    <w:rsid w:val="00171C47"/>
    <w:rsid w:val="00172FAF"/>
    <w:rsid w:val="001A1960"/>
    <w:rsid w:val="001A20D8"/>
    <w:rsid w:val="001A4683"/>
    <w:rsid w:val="001B15FC"/>
    <w:rsid w:val="001C423C"/>
    <w:rsid w:val="001D03C8"/>
    <w:rsid w:val="001D5820"/>
    <w:rsid w:val="001E7CDF"/>
    <w:rsid w:val="001F1A19"/>
    <w:rsid w:val="001F266D"/>
    <w:rsid w:val="001F2CC6"/>
    <w:rsid w:val="001F5DBA"/>
    <w:rsid w:val="002016D4"/>
    <w:rsid w:val="00262218"/>
    <w:rsid w:val="002646BE"/>
    <w:rsid w:val="002733FA"/>
    <w:rsid w:val="002919D3"/>
    <w:rsid w:val="002A349F"/>
    <w:rsid w:val="002A5354"/>
    <w:rsid w:val="002B53F2"/>
    <w:rsid w:val="002D124A"/>
    <w:rsid w:val="002D7C2D"/>
    <w:rsid w:val="002E23AC"/>
    <w:rsid w:val="002E252B"/>
    <w:rsid w:val="002E68A3"/>
    <w:rsid w:val="003018BD"/>
    <w:rsid w:val="00301960"/>
    <w:rsid w:val="003025AF"/>
    <w:rsid w:val="00303B6C"/>
    <w:rsid w:val="00310991"/>
    <w:rsid w:val="00360AC6"/>
    <w:rsid w:val="00366D1D"/>
    <w:rsid w:val="003A143C"/>
    <w:rsid w:val="003B1F67"/>
    <w:rsid w:val="003B3EB7"/>
    <w:rsid w:val="003D3698"/>
    <w:rsid w:val="003E36E5"/>
    <w:rsid w:val="003F712A"/>
    <w:rsid w:val="0041034A"/>
    <w:rsid w:val="004127EC"/>
    <w:rsid w:val="0042016E"/>
    <w:rsid w:val="0042243A"/>
    <w:rsid w:val="00434663"/>
    <w:rsid w:val="00444929"/>
    <w:rsid w:val="00450BE4"/>
    <w:rsid w:val="004763CA"/>
    <w:rsid w:val="00490AAB"/>
    <w:rsid w:val="00495BA6"/>
    <w:rsid w:val="004A0262"/>
    <w:rsid w:val="004A6A62"/>
    <w:rsid w:val="004B699A"/>
    <w:rsid w:val="004C0FD2"/>
    <w:rsid w:val="004C2C6B"/>
    <w:rsid w:val="004E28AE"/>
    <w:rsid w:val="0050140A"/>
    <w:rsid w:val="00507BEB"/>
    <w:rsid w:val="00510FDD"/>
    <w:rsid w:val="0052322D"/>
    <w:rsid w:val="00525627"/>
    <w:rsid w:val="005258A8"/>
    <w:rsid w:val="005575C8"/>
    <w:rsid w:val="00564065"/>
    <w:rsid w:val="00581594"/>
    <w:rsid w:val="005A0E7F"/>
    <w:rsid w:val="005A7E85"/>
    <w:rsid w:val="005C63A3"/>
    <w:rsid w:val="005E5393"/>
    <w:rsid w:val="005F7916"/>
    <w:rsid w:val="006011E8"/>
    <w:rsid w:val="00601C30"/>
    <w:rsid w:val="00605B40"/>
    <w:rsid w:val="006068B5"/>
    <w:rsid w:val="00616606"/>
    <w:rsid w:val="00623CB5"/>
    <w:rsid w:val="00657822"/>
    <w:rsid w:val="00661261"/>
    <w:rsid w:val="00663868"/>
    <w:rsid w:val="00670351"/>
    <w:rsid w:val="00671816"/>
    <w:rsid w:val="00672D7A"/>
    <w:rsid w:val="00696DB7"/>
    <w:rsid w:val="006A355D"/>
    <w:rsid w:val="006D6D3A"/>
    <w:rsid w:val="006E23D4"/>
    <w:rsid w:val="006F10FB"/>
    <w:rsid w:val="006F117C"/>
    <w:rsid w:val="006F58F0"/>
    <w:rsid w:val="00706D80"/>
    <w:rsid w:val="00724E89"/>
    <w:rsid w:val="00725132"/>
    <w:rsid w:val="007326A8"/>
    <w:rsid w:val="00734A9F"/>
    <w:rsid w:val="00742394"/>
    <w:rsid w:val="00760628"/>
    <w:rsid w:val="0076246C"/>
    <w:rsid w:val="0078469F"/>
    <w:rsid w:val="00786320"/>
    <w:rsid w:val="00786656"/>
    <w:rsid w:val="0079109A"/>
    <w:rsid w:val="007A06B7"/>
    <w:rsid w:val="007B7767"/>
    <w:rsid w:val="007F29DF"/>
    <w:rsid w:val="007F5FC8"/>
    <w:rsid w:val="00806B9B"/>
    <w:rsid w:val="00832BCD"/>
    <w:rsid w:val="008334D8"/>
    <w:rsid w:val="00836D30"/>
    <w:rsid w:val="00842479"/>
    <w:rsid w:val="00843C21"/>
    <w:rsid w:val="0084500E"/>
    <w:rsid w:val="008517C1"/>
    <w:rsid w:val="0085248F"/>
    <w:rsid w:val="008560B9"/>
    <w:rsid w:val="00860964"/>
    <w:rsid w:val="00870AC6"/>
    <w:rsid w:val="00874B8D"/>
    <w:rsid w:val="00881445"/>
    <w:rsid w:val="00882120"/>
    <w:rsid w:val="008A39AB"/>
    <w:rsid w:val="008B199B"/>
    <w:rsid w:val="008B3631"/>
    <w:rsid w:val="008E378E"/>
    <w:rsid w:val="008E49F9"/>
    <w:rsid w:val="008E633F"/>
    <w:rsid w:val="008E79C6"/>
    <w:rsid w:val="00903625"/>
    <w:rsid w:val="009046C5"/>
    <w:rsid w:val="009176A2"/>
    <w:rsid w:val="00920D6E"/>
    <w:rsid w:val="00925ADE"/>
    <w:rsid w:val="009308F0"/>
    <w:rsid w:val="00930C9B"/>
    <w:rsid w:val="009472B7"/>
    <w:rsid w:val="009477CB"/>
    <w:rsid w:val="00956E6B"/>
    <w:rsid w:val="00957A5B"/>
    <w:rsid w:val="009601BE"/>
    <w:rsid w:val="00962D0E"/>
    <w:rsid w:val="00963D3B"/>
    <w:rsid w:val="00971829"/>
    <w:rsid w:val="00972342"/>
    <w:rsid w:val="00981D3A"/>
    <w:rsid w:val="009A4718"/>
    <w:rsid w:val="009A49E4"/>
    <w:rsid w:val="009A52D4"/>
    <w:rsid w:val="009C7651"/>
    <w:rsid w:val="009E25AE"/>
    <w:rsid w:val="009E5B39"/>
    <w:rsid w:val="009E6800"/>
    <w:rsid w:val="00A0339F"/>
    <w:rsid w:val="00A0763E"/>
    <w:rsid w:val="00A108B9"/>
    <w:rsid w:val="00A17C72"/>
    <w:rsid w:val="00A21947"/>
    <w:rsid w:val="00A274C6"/>
    <w:rsid w:val="00A3394E"/>
    <w:rsid w:val="00A3530F"/>
    <w:rsid w:val="00A35324"/>
    <w:rsid w:val="00A416DE"/>
    <w:rsid w:val="00A53C76"/>
    <w:rsid w:val="00A55121"/>
    <w:rsid w:val="00A6651E"/>
    <w:rsid w:val="00A76A48"/>
    <w:rsid w:val="00A826E7"/>
    <w:rsid w:val="00AB4C35"/>
    <w:rsid w:val="00AD0C45"/>
    <w:rsid w:val="00AD6D25"/>
    <w:rsid w:val="00AE1F3C"/>
    <w:rsid w:val="00AF6597"/>
    <w:rsid w:val="00B003D5"/>
    <w:rsid w:val="00B0351C"/>
    <w:rsid w:val="00B06D87"/>
    <w:rsid w:val="00B1108B"/>
    <w:rsid w:val="00B15D34"/>
    <w:rsid w:val="00B16691"/>
    <w:rsid w:val="00B71240"/>
    <w:rsid w:val="00B73582"/>
    <w:rsid w:val="00B769B0"/>
    <w:rsid w:val="00B8231B"/>
    <w:rsid w:val="00B865F7"/>
    <w:rsid w:val="00B87A6C"/>
    <w:rsid w:val="00B953A2"/>
    <w:rsid w:val="00BC37A5"/>
    <w:rsid w:val="00BD17BD"/>
    <w:rsid w:val="00BD2B45"/>
    <w:rsid w:val="00BD7EFC"/>
    <w:rsid w:val="00BE0FB0"/>
    <w:rsid w:val="00BE3CD3"/>
    <w:rsid w:val="00BE4526"/>
    <w:rsid w:val="00BF1D42"/>
    <w:rsid w:val="00C10B2E"/>
    <w:rsid w:val="00C123AB"/>
    <w:rsid w:val="00C234E4"/>
    <w:rsid w:val="00C35E81"/>
    <w:rsid w:val="00C44BC1"/>
    <w:rsid w:val="00C51B99"/>
    <w:rsid w:val="00C5747F"/>
    <w:rsid w:val="00C660E6"/>
    <w:rsid w:val="00C66D4B"/>
    <w:rsid w:val="00C71D50"/>
    <w:rsid w:val="00C73B37"/>
    <w:rsid w:val="00C7524A"/>
    <w:rsid w:val="00C812FB"/>
    <w:rsid w:val="00C81D09"/>
    <w:rsid w:val="00C83B57"/>
    <w:rsid w:val="00C96EFB"/>
    <w:rsid w:val="00CA1733"/>
    <w:rsid w:val="00CA7942"/>
    <w:rsid w:val="00CB06D7"/>
    <w:rsid w:val="00CB5C68"/>
    <w:rsid w:val="00CC7EFC"/>
    <w:rsid w:val="00CE67E2"/>
    <w:rsid w:val="00CF09F0"/>
    <w:rsid w:val="00CF1181"/>
    <w:rsid w:val="00CF790B"/>
    <w:rsid w:val="00CF7E18"/>
    <w:rsid w:val="00D220F3"/>
    <w:rsid w:val="00D30160"/>
    <w:rsid w:val="00D33D09"/>
    <w:rsid w:val="00D47982"/>
    <w:rsid w:val="00D55CD9"/>
    <w:rsid w:val="00D57003"/>
    <w:rsid w:val="00D74547"/>
    <w:rsid w:val="00D75F76"/>
    <w:rsid w:val="00D87B96"/>
    <w:rsid w:val="00D975AC"/>
    <w:rsid w:val="00DA154B"/>
    <w:rsid w:val="00DA5B51"/>
    <w:rsid w:val="00DB24B2"/>
    <w:rsid w:val="00DB3224"/>
    <w:rsid w:val="00DB62D4"/>
    <w:rsid w:val="00DC5B74"/>
    <w:rsid w:val="00DD09E7"/>
    <w:rsid w:val="00DE0A4B"/>
    <w:rsid w:val="00DE5E86"/>
    <w:rsid w:val="00DF2DC4"/>
    <w:rsid w:val="00DF3CB1"/>
    <w:rsid w:val="00E02F27"/>
    <w:rsid w:val="00E23AA1"/>
    <w:rsid w:val="00E24129"/>
    <w:rsid w:val="00E32D09"/>
    <w:rsid w:val="00E364AD"/>
    <w:rsid w:val="00E40FB3"/>
    <w:rsid w:val="00E44F60"/>
    <w:rsid w:val="00E51A5B"/>
    <w:rsid w:val="00E54A37"/>
    <w:rsid w:val="00E6619A"/>
    <w:rsid w:val="00E73D9A"/>
    <w:rsid w:val="00E76890"/>
    <w:rsid w:val="00E85091"/>
    <w:rsid w:val="00EB19BB"/>
    <w:rsid w:val="00EB3F9D"/>
    <w:rsid w:val="00EC2070"/>
    <w:rsid w:val="00EC3B78"/>
    <w:rsid w:val="00F2027E"/>
    <w:rsid w:val="00F27943"/>
    <w:rsid w:val="00F31608"/>
    <w:rsid w:val="00F5099A"/>
    <w:rsid w:val="00F52CD5"/>
    <w:rsid w:val="00F743F1"/>
    <w:rsid w:val="00F75886"/>
    <w:rsid w:val="00F847DA"/>
    <w:rsid w:val="00F973AD"/>
    <w:rsid w:val="00FA5D57"/>
    <w:rsid w:val="00FD3268"/>
    <w:rsid w:val="00FD7D45"/>
    <w:rsid w:val="0115065C"/>
    <w:rsid w:val="013F444F"/>
    <w:rsid w:val="0158325C"/>
    <w:rsid w:val="01704EA4"/>
    <w:rsid w:val="017F5B8D"/>
    <w:rsid w:val="017F6B8A"/>
    <w:rsid w:val="01873FBC"/>
    <w:rsid w:val="019079CE"/>
    <w:rsid w:val="01954628"/>
    <w:rsid w:val="01D03366"/>
    <w:rsid w:val="01DC1ACD"/>
    <w:rsid w:val="01E63811"/>
    <w:rsid w:val="021905B8"/>
    <w:rsid w:val="02204611"/>
    <w:rsid w:val="02283A7E"/>
    <w:rsid w:val="024758F8"/>
    <w:rsid w:val="025843E4"/>
    <w:rsid w:val="02726144"/>
    <w:rsid w:val="027A54A0"/>
    <w:rsid w:val="02B62D35"/>
    <w:rsid w:val="03645F13"/>
    <w:rsid w:val="036E71D8"/>
    <w:rsid w:val="037D0CDD"/>
    <w:rsid w:val="03976A09"/>
    <w:rsid w:val="03BD2A1A"/>
    <w:rsid w:val="03E71306"/>
    <w:rsid w:val="0408279F"/>
    <w:rsid w:val="04421273"/>
    <w:rsid w:val="049963B7"/>
    <w:rsid w:val="049D0A7F"/>
    <w:rsid w:val="04BD7FF9"/>
    <w:rsid w:val="04CB0BC2"/>
    <w:rsid w:val="04FA6554"/>
    <w:rsid w:val="04FC5935"/>
    <w:rsid w:val="050D659D"/>
    <w:rsid w:val="05264D9D"/>
    <w:rsid w:val="053551DE"/>
    <w:rsid w:val="055F0F75"/>
    <w:rsid w:val="056F0195"/>
    <w:rsid w:val="059A2F73"/>
    <w:rsid w:val="05A30BB7"/>
    <w:rsid w:val="05C860A5"/>
    <w:rsid w:val="05DB6A0D"/>
    <w:rsid w:val="05F05251"/>
    <w:rsid w:val="060C3FB8"/>
    <w:rsid w:val="064726F7"/>
    <w:rsid w:val="064A404E"/>
    <w:rsid w:val="064A736A"/>
    <w:rsid w:val="065334CC"/>
    <w:rsid w:val="06562BCE"/>
    <w:rsid w:val="065C0761"/>
    <w:rsid w:val="06611704"/>
    <w:rsid w:val="0661484A"/>
    <w:rsid w:val="06870AF9"/>
    <w:rsid w:val="06A76AC5"/>
    <w:rsid w:val="06AE0035"/>
    <w:rsid w:val="06C62FAD"/>
    <w:rsid w:val="06D55232"/>
    <w:rsid w:val="06D97940"/>
    <w:rsid w:val="06E623A0"/>
    <w:rsid w:val="06EE6794"/>
    <w:rsid w:val="06F073EB"/>
    <w:rsid w:val="06F660FF"/>
    <w:rsid w:val="070331FB"/>
    <w:rsid w:val="07033620"/>
    <w:rsid w:val="071711D2"/>
    <w:rsid w:val="07516EAB"/>
    <w:rsid w:val="07650B16"/>
    <w:rsid w:val="078E144A"/>
    <w:rsid w:val="079A4EA3"/>
    <w:rsid w:val="07C31032"/>
    <w:rsid w:val="07DD1D97"/>
    <w:rsid w:val="08032184"/>
    <w:rsid w:val="08063E80"/>
    <w:rsid w:val="082D71F9"/>
    <w:rsid w:val="08556F49"/>
    <w:rsid w:val="086E38B9"/>
    <w:rsid w:val="087F7DB7"/>
    <w:rsid w:val="08A3557B"/>
    <w:rsid w:val="08B23812"/>
    <w:rsid w:val="08F17796"/>
    <w:rsid w:val="09097B8C"/>
    <w:rsid w:val="09574C75"/>
    <w:rsid w:val="09667F89"/>
    <w:rsid w:val="097243CD"/>
    <w:rsid w:val="09841837"/>
    <w:rsid w:val="09BE70AD"/>
    <w:rsid w:val="09CC0B9F"/>
    <w:rsid w:val="0A1F1C61"/>
    <w:rsid w:val="0A402EF2"/>
    <w:rsid w:val="0A437748"/>
    <w:rsid w:val="0A8F2787"/>
    <w:rsid w:val="0A9D7A64"/>
    <w:rsid w:val="0AA365A9"/>
    <w:rsid w:val="0AE00BC8"/>
    <w:rsid w:val="0B110426"/>
    <w:rsid w:val="0B26670D"/>
    <w:rsid w:val="0B621690"/>
    <w:rsid w:val="0BA11E16"/>
    <w:rsid w:val="0BD31815"/>
    <w:rsid w:val="0BE47B25"/>
    <w:rsid w:val="0C3643A3"/>
    <w:rsid w:val="0C654FEF"/>
    <w:rsid w:val="0C757B9B"/>
    <w:rsid w:val="0C7B44D9"/>
    <w:rsid w:val="0CBC6D8F"/>
    <w:rsid w:val="0CD05ED2"/>
    <w:rsid w:val="0CF91BC5"/>
    <w:rsid w:val="0D284D99"/>
    <w:rsid w:val="0D2D56E8"/>
    <w:rsid w:val="0D3C387F"/>
    <w:rsid w:val="0D9065EF"/>
    <w:rsid w:val="0DA135C5"/>
    <w:rsid w:val="0DE9579D"/>
    <w:rsid w:val="0E2F1DA3"/>
    <w:rsid w:val="0E3054CE"/>
    <w:rsid w:val="0E3C1312"/>
    <w:rsid w:val="0E6A7443"/>
    <w:rsid w:val="0E7053E2"/>
    <w:rsid w:val="0E7C0051"/>
    <w:rsid w:val="0E7C60B5"/>
    <w:rsid w:val="0E82376F"/>
    <w:rsid w:val="0E8A50ED"/>
    <w:rsid w:val="0E8F0B36"/>
    <w:rsid w:val="0EA0023E"/>
    <w:rsid w:val="0EA05A8E"/>
    <w:rsid w:val="0ECE73F7"/>
    <w:rsid w:val="0ED45BB5"/>
    <w:rsid w:val="0EEA0B6C"/>
    <w:rsid w:val="0F2B2DB8"/>
    <w:rsid w:val="0F4E69B0"/>
    <w:rsid w:val="0F6230DC"/>
    <w:rsid w:val="0F643CD1"/>
    <w:rsid w:val="0F696B5C"/>
    <w:rsid w:val="0F7579AF"/>
    <w:rsid w:val="0F816F20"/>
    <w:rsid w:val="0FDF5E25"/>
    <w:rsid w:val="101E1A26"/>
    <w:rsid w:val="102F09AC"/>
    <w:rsid w:val="10334E11"/>
    <w:rsid w:val="108965B9"/>
    <w:rsid w:val="10DD4C96"/>
    <w:rsid w:val="10E60293"/>
    <w:rsid w:val="11031F80"/>
    <w:rsid w:val="115E0DC8"/>
    <w:rsid w:val="116800CB"/>
    <w:rsid w:val="1183512B"/>
    <w:rsid w:val="118A55C9"/>
    <w:rsid w:val="11AB1900"/>
    <w:rsid w:val="11AD417D"/>
    <w:rsid w:val="11D949A9"/>
    <w:rsid w:val="12496FAE"/>
    <w:rsid w:val="125B567F"/>
    <w:rsid w:val="12BB32D1"/>
    <w:rsid w:val="12F3676D"/>
    <w:rsid w:val="131D4D3C"/>
    <w:rsid w:val="13446785"/>
    <w:rsid w:val="136A49F7"/>
    <w:rsid w:val="13750983"/>
    <w:rsid w:val="137D3242"/>
    <w:rsid w:val="13976C2F"/>
    <w:rsid w:val="142000FF"/>
    <w:rsid w:val="14246519"/>
    <w:rsid w:val="142625C8"/>
    <w:rsid w:val="14813515"/>
    <w:rsid w:val="14B761FD"/>
    <w:rsid w:val="14C534EA"/>
    <w:rsid w:val="14FD7367"/>
    <w:rsid w:val="150B6648"/>
    <w:rsid w:val="153F74F5"/>
    <w:rsid w:val="15474651"/>
    <w:rsid w:val="15507BAF"/>
    <w:rsid w:val="155C0CB5"/>
    <w:rsid w:val="15682A1B"/>
    <w:rsid w:val="156C2A48"/>
    <w:rsid w:val="156E349F"/>
    <w:rsid w:val="15756525"/>
    <w:rsid w:val="157D4AC9"/>
    <w:rsid w:val="1590670E"/>
    <w:rsid w:val="15AB2D48"/>
    <w:rsid w:val="16117C11"/>
    <w:rsid w:val="161A77FA"/>
    <w:rsid w:val="16816EC6"/>
    <w:rsid w:val="168A4757"/>
    <w:rsid w:val="16A6634C"/>
    <w:rsid w:val="16BA02D8"/>
    <w:rsid w:val="16BC2603"/>
    <w:rsid w:val="16D40240"/>
    <w:rsid w:val="16D42978"/>
    <w:rsid w:val="170979CA"/>
    <w:rsid w:val="1714344D"/>
    <w:rsid w:val="178906B6"/>
    <w:rsid w:val="179D39AC"/>
    <w:rsid w:val="17D057E5"/>
    <w:rsid w:val="17DF0425"/>
    <w:rsid w:val="17E562F3"/>
    <w:rsid w:val="17E95B46"/>
    <w:rsid w:val="17EA1B6C"/>
    <w:rsid w:val="17FD52FB"/>
    <w:rsid w:val="18180676"/>
    <w:rsid w:val="184212F2"/>
    <w:rsid w:val="189509C3"/>
    <w:rsid w:val="18DE7CA9"/>
    <w:rsid w:val="18F54EAE"/>
    <w:rsid w:val="19262DA7"/>
    <w:rsid w:val="19445A0E"/>
    <w:rsid w:val="194F3645"/>
    <w:rsid w:val="19674B6F"/>
    <w:rsid w:val="19A44506"/>
    <w:rsid w:val="19C50D4A"/>
    <w:rsid w:val="19DB6AAB"/>
    <w:rsid w:val="19F00E49"/>
    <w:rsid w:val="19FA44B1"/>
    <w:rsid w:val="1A0B2771"/>
    <w:rsid w:val="1A154EBC"/>
    <w:rsid w:val="1A276114"/>
    <w:rsid w:val="1A391215"/>
    <w:rsid w:val="1A415FCB"/>
    <w:rsid w:val="1A696F87"/>
    <w:rsid w:val="1A8D572D"/>
    <w:rsid w:val="1AB62046"/>
    <w:rsid w:val="1AD11223"/>
    <w:rsid w:val="1AD338E8"/>
    <w:rsid w:val="1B371DC5"/>
    <w:rsid w:val="1B5348D7"/>
    <w:rsid w:val="1B607D53"/>
    <w:rsid w:val="1B860676"/>
    <w:rsid w:val="1B9A7A98"/>
    <w:rsid w:val="1BA15475"/>
    <w:rsid w:val="1BA4524D"/>
    <w:rsid w:val="1BA720ED"/>
    <w:rsid w:val="1BAA7496"/>
    <w:rsid w:val="1BBA38E7"/>
    <w:rsid w:val="1BEA1F70"/>
    <w:rsid w:val="1C291499"/>
    <w:rsid w:val="1C303806"/>
    <w:rsid w:val="1C4117B3"/>
    <w:rsid w:val="1C466D5D"/>
    <w:rsid w:val="1C7B76BC"/>
    <w:rsid w:val="1C7F0481"/>
    <w:rsid w:val="1C917028"/>
    <w:rsid w:val="1CA5205F"/>
    <w:rsid w:val="1CDF0AF5"/>
    <w:rsid w:val="1CEE5A15"/>
    <w:rsid w:val="1D090B49"/>
    <w:rsid w:val="1D284254"/>
    <w:rsid w:val="1D2E591C"/>
    <w:rsid w:val="1D4345DD"/>
    <w:rsid w:val="1D4870E5"/>
    <w:rsid w:val="1D501BC0"/>
    <w:rsid w:val="1DDC3D82"/>
    <w:rsid w:val="1DE83215"/>
    <w:rsid w:val="1E5E3F75"/>
    <w:rsid w:val="1E5E5A5C"/>
    <w:rsid w:val="1E6A7D40"/>
    <w:rsid w:val="1EC662CF"/>
    <w:rsid w:val="1F174376"/>
    <w:rsid w:val="1F396C99"/>
    <w:rsid w:val="1F5C6FFA"/>
    <w:rsid w:val="1F71124A"/>
    <w:rsid w:val="1F7D08FE"/>
    <w:rsid w:val="1FA44A7A"/>
    <w:rsid w:val="1FCB077F"/>
    <w:rsid w:val="1FF57D89"/>
    <w:rsid w:val="1FFB2594"/>
    <w:rsid w:val="20024974"/>
    <w:rsid w:val="204246F5"/>
    <w:rsid w:val="206B7AA5"/>
    <w:rsid w:val="207B3705"/>
    <w:rsid w:val="20AF13E1"/>
    <w:rsid w:val="20E53D47"/>
    <w:rsid w:val="20F60E55"/>
    <w:rsid w:val="211F397A"/>
    <w:rsid w:val="218375B3"/>
    <w:rsid w:val="21B167B4"/>
    <w:rsid w:val="21E97F2A"/>
    <w:rsid w:val="21F01EF9"/>
    <w:rsid w:val="22072402"/>
    <w:rsid w:val="22136B16"/>
    <w:rsid w:val="223D79B0"/>
    <w:rsid w:val="223F7707"/>
    <w:rsid w:val="226178F5"/>
    <w:rsid w:val="22856798"/>
    <w:rsid w:val="22BC1795"/>
    <w:rsid w:val="22C46D58"/>
    <w:rsid w:val="22CC23B9"/>
    <w:rsid w:val="22E7188C"/>
    <w:rsid w:val="230333FD"/>
    <w:rsid w:val="230B0B88"/>
    <w:rsid w:val="2323524B"/>
    <w:rsid w:val="23400310"/>
    <w:rsid w:val="234B49E2"/>
    <w:rsid w:val="237E71FA"/>
    <w:rsid w:val="238A0AEF"/>
    <w:rsid w:val="238D2DAD"/>
    <w:rsid w:val="23923C36"/>
    <w:rsid w:val="23D52974"/>
    <w:rsid w:val="23EE51C2"/>
    <w:rsid w:val="24094B00"/>
    <w:rsid w:val="241871DD"/>
    <w:rsid w:val="24324C08"/>
    <w:rsid w:val="24334BB9"/>
    <w:rsid w:val="243830EC"/>
    <w:rsid w:val="24463053"/>
    <w:rsid w:val="24807AD4"/>
    <w:rsid w:val="24837F31"/>
    <w:rsid w:val="24A672EF"/>
    <w:rsid w:val="24CB1DAA"/>
    <w:rsid w:val="24D549DD"/>
    <w:rsid w:val="24E24B21"/>
    <w:rsid w:val="24F61D9A"/>
    <w:rsid w:val="25123D82"/>
    <w:rsid w:val="253B238F"/>
    <w:rsid w:val="258D7B05"/>
    <w:rsid w:val="25A25ED6"/>
    <w:rsid w:val="25BB15A6"/>
    <w:rsid w:val="25C16AB4"/>
    <w:rsid w:val="25EA3A6E"/>
    <w:rsid w:val="25F92708"/>
    <w:rsid w:val="26167B2F"/>
    <w:rsid w:val="261B0689"/>
    <w:rsid w:val="262354A3"/>
    <w:rsid w:val="26342E4D"/>
    <w:rsid w:val="263C7386"/>
    <w:rsid w:val="26415290"/>
    <w:rsid w:val="26485805"/>
    <w:rsid w:val="267821A9"/>
    <w:rsid w:val="268317E5"/>
    <w:rsid w:val="268C0BA2"/>
    <w:rsid w:val="26FC2133"/>
    <w:rsid w:val="26FE5045"/>
    <w:rsid w:val="270F29FE"/>
    <w:rsid w:val="2721410C"/>
    <w:rsid w:val="274A4BB3"/>
    <w:rsid w:val="27561698"/>
    <w:rsid w:val="27641A88"/>
    <w:rsid w:val="27B454F7"/>
    <w:rsid w:val="27B713F3"/>
    <w:rsid w:val="27D61B22"/>
    <w:rsid w:val="27D74EA2"/>
    <w:rsid w:val="27E01333"/>
    <w:rsid w:val="27E90D02"/>
    <w:rsid w:val="27F45FB8"/>
    <w:rsid w:val="282718FC"/>
    <w:rsid w:val="28303476"/>
    <w:rsid w:val="28322C79"/>
    <w:rsid w:val="287A5E48"/>
    <w:rsid w:val="28CC20F5"/>
    <w:rsid w:val="290D7AB3"/>
    <w:rsid w:val="291C1986"/>
    <w:rsid w:val="2933786C"/>
    <w:rsid w:val="293452E9"/>
    <w:rsid w:val="29345979"/>
    <w:rsid w:val="294B7E10"/>
    <w:rsid w:val="2953412D"/>
    <w:rsid w:val="295F5150"/>
    <w:rsid w:val="296555B7"/>
    <w:rsid w:val="29765048"/>
    <w:rsid w:val="29AB4D23"/>
    <w:rsid w:val="29B07494"/>
    <w:rsid w:val="29F82FA7"/>
    <w:rsid w:val="2A185116"/>
    <w:rsid w:val="2A365C57"/>
    <w:rsid w:val="2A424B52"/>
    <w:rsid w:val="2A495970"/>
    <w:rsid w:val="2A60683B"/>
    <w:rsid w:val="2A753D5F"/>
    <w:rsid w:val="2A882800"/>
    <w:rsid w:val="2AB04B71"/>
    <w:rsid w:val="2AD14753"/>
    <w:rsid w:val="2AD20A0E"/>
    <w:rsid w:val="2ADE4A98"/>
    <w:rsid w:val="2B350720"/>
    <w:rsid w:val="2B3B328C"/>
    <w:rsid w:val="2B631D38"/>
    <w:rsid w:val="2B6941C8"/>
    <w:rsid w:val="2B7700E7"/>
    <w:rsid w:val="2B922F89"/>
    <w:rsid w:val="2BB949A6"/>
    <w:rsid w:val="2BBC48D6"/>
    <w:rsid w:val="2BFE091C"/>
    <w:rsid w:val="2C233A1F"/>
    <w:rsid w:val="2C307046"/>
    <w:rsid w:val="2C456046"/>
    <w:rsid w:val="2C5D22DE"/>
    <w:rsid w:val="2C803456"/>
    <w:rsid w:val="2CA40883"/>
    <w:rsid w:val="2CCB1D1D"/>
    <w:rsid w:val="2CCF0946"/>
    <w:rsid w:val="2CFF75FA"/>
    <w:rsid w:val="2D0D0B5E"/>
    <w:rsid w:val="2D0E42D8"/>
    <w:rsid w:val="2D1A7EA0"/>
    <w:rsid w:val="2D292F75"/>
    <w:rsid w:val="2D870DD0"/>
    <w:rsid w:val="2D935AAF"/>
    <w:rsid w:val="2DB46FA5"/>
    <w:rsid w:val="2DD52B1B"/>
    <w:rsid w:val="2DFC6904"/>
    <w:rsid w:val="2E9040A3"/>
    <w:rsid w:val="2E9D0737"/>
    <w:rsid w:val="2EE55D36"/>
    <w:rsid w:val="2EFC4A1E"/>
    <w:rsid w:val="2F1526E8"/>
    <w:rsid w:val="2F296E69"/>
    <w:rsid w:val="2F2D508B"/>
    <w:rsid w:val="2F4349DB"/>
    <w:rsid w:val="2F6176F7"/>
    <w:rsid w:val="2FAE4F19"/>
    <w:rsid w:val="2FB41564"/>
    <w:rsid w:val="2FB561B1"/>
    <w:rsid w:val="2FC266D8"/>
    <w:rsid w:val="2FDA21C9"/>
    <w:rsid w:val="30656AE9"/>
    <w:rsid w:val="307748D0"/>
    <w:rsid w:val="30845E6A"/>
    <w:rsid w:val="30853848"/>
    <w:rsid w:val="308B5AAA"/>
    <w:rsid w:val="30BC77CA"/>
    <w:rsid w:val="30CD0A31"/>
    <w:rsid w:val="30EA250B"/>
    <w:rsid w:val="310F07D4"/>
    <w:rsid w:val="31164C6A"/>
    <w:rsid w:val="31480E27"/>
    <w:rsid w:val="31565A94"/>
    <w:rsid w:val="316A211F"/>
    <w:rsid w:val="31701195"/>
    <w:rsid w:val="318E7FC4"/>
    <w:rsid w:val="31B67AEF"/>
    <w:rsid w:val="31C61143"/>
    <w:rsid w:val="31CA4DBD"/>
    <w:rsid w:val="31D9410B"/>
    <w:rsid w:val="320E3755"/>
    <w:rsid w:val="3223018B"/>
    <w:rsid w:val="323C6FD6"/>
    <w:rsid w:val="32475CEA"/>
    <w:rsid w:val="32571ABC"/>
    <w:rsid w:val="326F69DE"/>
    <w:rsid w:val="32CE6991"/>
    <w:rsid w:val="32CF16D7"/>
    <w:rsid w:val="32EB3113"/>
    <w:rsid w:val="32EE2934"/>
    <w:rsid w:val="32F5031E"/>
    <w:rsid w:val="337B0496"/>
    <w:rsid w:val="338710A4"/>
    <w:rsid w:val="33C10F78"/>
    <w:rsid w:val="33F62C86"/>
    <w:rsid w:val="341F4D62"/>
    <w:rsid w:val="343A5F9B"/>
    <w:rsid w:val="34602DD2"/>
    <w:rsid w:val="34672D65"/>
    <w:rsid w:val="34791EFB"/>
    <w:rsid w:val="34805FC3"/>
    <w:rsid w:val="34935499"/>
    <w:rsid w:val="34997C37"/>
    <w:rsid w:val="349C765D"/>
    <w:rsid w:val="34AD22C6"/>
    <w:rsid w:val="34AE6899"/>
    <w:rsid w:val="34BB53BA"/>
    <w:rsid w:val="34BF14C9"/>
    <w:rsid w:val="34C32363"/>
    <w:rsid w:val="34DE7A68"/>
    <w:rsid w:val="34E0585E"/>
    <w:rsid w:val="35045D6D"/>
    <w:rsid w:val="350C6F9D"/>
    <w:rsid w:val="35416C6E"/>
    <w:rsid w:val="35684D75"/>
    <w:rsid w:val="357E1BF8"/>
    <w:rsid w:val="358158E3"/>
    <w:rsid w:val="359D364E"/>
    <w:rsid w:val="35C9302D"/>
    <w:rsid w:val="35E55DA9"/>
    <w:rsid w:val="35EB2DB6"/>
    <w:rsid w:val="36016D99"/>
    <w:rsid w:val="36106990"/>
    <w:rsid w:val="3617611B"/>
    <w:rsid w:val="364D7BD8"/>
    <w:rsid w:val="36505182"/>
    <w:rsid w:val="3661655B"/>
    <w:rsid w:val="36A45AD7"/>
    <w:rsid w:val="36A84509"/>
    <w:rsid w:val="36A96B18"/>
    <w:rsid w:val="36D9309D"/>
    <w:rsid w:val="36EC0361"/>
    <w:rsid w:val="36F4484A"/>
    <w:rsid w:val="370541F9"/>
    <w:rsid w:val="372362A9"/>
    <w:rsid w:val="37280171"/>
    <w:rsid w:val="37574ADE"/>
    <w:rsid w:val="37912F78"/>
    <w:rsid w:val="37A375F8"/>
    <w:rsid w:val="37B61A59"/>
    <w:rsid w:val="37C24B91"/>
    <w:rsid w:val="37FE1B21"/>
    <w:rsid w:val="380F2BAF"/>
    <w:rsid w:val="3824228F"/>
    <w:rsid w:val="38557512"/>
    <w:rsid w:val="38723749"/>
    <w:rsid w:val="388668B1"/>
    <w:rsid w:val="38D40742"/>
    <w:rsid w:val="38E75C43"/>
    <w:rsid w:val="39013BA7"/>
    <w:rsid w:val="3903090F"/>
    <w:rsid w:val="39572D39"/>
    <w:rsid w:val="396E7AFA"/>
    <w:rsid w:val="39B704E8"/>
    <w:rsid w:val="39B96CC3"/>
    <w:rsid w:val="39F239E4"/>
    <w:rsid w:val="3A0708F9"/>
    <w:rsid w:val="3A0D7D17"/>
    <w:rsid w:val="3A1643D9"/>
    <w:rsid w:val="3A1F533A"/>
    <w:rsid w:val="3A2A11B6"/>
    <w:rsid w:val="3A3853F3"/>
    <w:rsid w:val="3A4E4DA2"/>
    <w:rsid w:val="3A5E4C8E"/>
    <w:rsid w:val="3A8A50DE"/>
    <w:rsid w:val="3AA74822"/>
    <w:rsid w:val="3AD3302E"/>
    <w:rsid w:val="3ADC7F3D"/>
    <w:rsid w:val="3AE14C79"/>
    <w:rsid w:val="3B346A17"/>
    <w:rsid w:val="3BA34F72"/>
    <w:rsid w:val="3C0F1800"/>
    <w:rsid w:val="3C360F17"/>
    <w:rsid w:val="3C5934E5"/>
    <w:rsid w:val="3C885F88"/>
    <w:rsid w:val="3C8B23EB"/>
    <w:rsid w:val="3CC0265E"/>
    <w:rsid w:val="3D1904CC"/>
    <w:rsid w:val="3D20698D"/>
    <w:rsid w:val="3D3B2FAA"/>
    <w:rsid w:val="3D4E519C"/>
    <w:rsid w:val="3D6911DA"/>
    <w:rsid w:val="3D6F02C3"/>
    <w:rsid w:val="3DA27C76"/>
    <w:rsid w:val="3DD95898"/>
    <w:rsid w:val="3DE9001F"/>
    <w:rsid w:val="3E304EFE"/>
    <w:rsid w:val="3E475F9F"/>
    <w:rsid w:val="3E8A3D13"/>
    <w:rsid w:val="3E977BBD"/>
    <w:rsid w:val="3E990C45"/>
    <w:rsid w:val="3EA465AA"/>
    <w:rsid w:val="3EBF0EA2"/>
    <w:rsid w:val="3EC52D59"/>
    <w:rsid w:val="3EDA346C"/>
    <w:rsid w:val="3F7578B3"/>
    <w:rsid w:val="3F795FC1"/>
    <w:rsid w:val="3F8833C6"/>
    <w:rsid w:val="3F8E3C9D"/>
    <w:rsid w:val="3FC36590"/>
    <w:rsid w:val="400059EB"/>
    <w:rsid w:val="40145B19"/>
    <w:rsid w:val="403A14BE"/>
    <w:rsid w:val="405818E2"/>
    <w:rsid w:val="40642289"/>
    <w:rsid w:val="407B0CF0"/>
    <w:rsid w:val="408C5546"/>
    <w:rsid w:val="40935E39"/>
    <w:rsid w:val="409A6E22"/>
    <w:rsid w:val="40D032D7"/>
    <w:rsid w:val="411C1FE6"/>
    <w:rsid w:val="416846E6"/>
    <w:rsid w:val="417E4908"/>
    <w:rsid w:val="41813A6C"/>
    <w:rsid w:val="4189697A"/>
    <w:rsid w:val="41A76806"/>
    <w:rsid w:val="41A9281D"/>
    <w:rsid w:val="41C71509"/>
    <w:rsid w:val="41D26947"/>
    <w:rsid w:val="424130E2"/>
    <w:rsid w:val="425C4833"/>
    <w:rsid w:val="42B12C7D"/>
    <w:rsid w:val="42FC483B"/>
    <w:rsid w:val="430B5053"/>
    <w:rsid w:val="43280168"/>
    <w:rsid w:val="437140D0"/>
    <w:rsid w:val="437724D6"/>
    <w:rsid w:val="438A0138"/>
    <w:rsid w:val="43965030"/>
    <w:rsid w:val="43A968E1"/>
    <w:rsid w:val="43CE5EAF"/>
    <w:rsid w:val="441F0C0F"/>
    <w:rsid w:val="44293DD8"/>
    <w:rsid w:val="443632C0"/>
    <w:rsid w:val="443C625F"/>
    <w:rsid w:val="44506564"/>
    <w:rsid w:val="44556E79"/>
    <w:rsid w:val="446E2A3B"/>
    <w:rsid w:val="446F0000"/>
    <w:rsid w:val="44743DE8"/>
    <w:rsid w:val="448B42B3"/>
    <w:rsid w:val="44A96FE7"/>
    <w:rsid w:val="44AB68A2"/>
    <w:rsid w:val="44BD1D50"/>
    <w:rsid w:val="44CA4883"/>
    <w:rsid w:val="44CD5E65"/>
    <w:rsid w:val="44E379DA"/>
    <w:rsid w:val="44FA2559"/>
    <w:rsid w:val="45041B70"/>
    <w:rsid w:val="45065223"/>
    <w:rsid w:val="451E0702"/>
    <w:rsid w:val="45306789"/>
    <w:rsid w:val="453A33E0"/>
    <w:rsid w:val="45427E45"/>
    <w:rsid w:val="454560B9"/>
    <w:rsid w:val="45521A8C"/>
    <w:rsid w:val="45654519"/>
    <w:rsid w:val="45722105"/>
    <w:rsid w:val="457355D3"/>
    <w:rsid w:val="458E26DB"/>
    <w:rsid w:val="45B34C8F"/>
    <w:rsid w:val="45BC51B6"/>
    <w:rsid w:val="45DC4AB6"/>
    <w:rsid w:val="45E616B1"/>
    <w:rsid w:val="46291AF4"/>
    <w:rsid w:val="462F6A8A"/>
    <w:rsid w:val="46325D67"/>
    <w:rsid w:val="465675D5"/>
    <w:rsid w:val="46924209"/>
    <w:rsid w:val="469771A8"/>
    <w:rsid w:val="46B14C57"/>
    <w:rsid w:val="46E05F14"/>
    <w:rsid w:val="46F53A24"/>
    <w:rsid w:val="46F76271"/>
    <w:rsid w:val="46FD4588"/>
    <w:rsid w:val="47103215"/>
    <w:rsid w:val="47133D53"/>
    <w:rsid w:val="47354BE4"/>
    <w:rsid w:val="473C5806"/>
    <w:rsid w:val="4744034E"/>
    <w:rsid w:val="475A7EF9"/>
    <w:rsid w:val="477C229A"/>
    <w:rsid w:val="47AE7D34"/>
    <w:rsid w:val="47BE7B6C"/>
    <w:rsid w:val="47D6269D"/>
    <w:rsid w:val="47DC0440"/>
    <w:rsid w:val="48064959"/>
    <w:rsid w:val="4808398A"/>
    <w:rsid w:val="4821332C"/>
    <w:rsid w:val="48535300"/>
    <w:rsid w:val="487355F9"/>
    <w:rsid w:val="488C75B8"/>
    <w:rsid w:val="48A47377"/>
    <w:rsid w:val="48A82B51"/>
    <w:rsid w:val="48C1607B"/>
    <w:rsid w:val="490565B6"/>
    <w:rsid w:val="49316C3E"/>
    <w:rsid w:val="49456820"/>
    <w:rsid w:val="49474EAB"/>
    <w:rsid w:val="495515E9"/>
    <w:rsid w:val="498F2E29"/>
    <w:rsid w:val="49D7250C"/>
    <w:rsid w:val="49D83B05"/>
    <w:rsid w:val="4A423AB9"/>
    <w:rsid w:val="4A913D16"/>
    <w:rsid w:val="4A9D0A10"/>
    <w:rsid w:val="4ACC3457"/>
    <w:rsid w:val="4AFE1A36"/>
    <w:rsid w:val="4B0A0426"/>
    <w:rsid w:val="4B0E401C"/>
    <w:rsid w:val="4B1B5EF3"/>
    <w:rsid w:val="4B5415E9"/>
    <w:rsid w:val="4B5B0CE6"/>
    <w:rsid w:val="4B8F037B"/>
    <w:rsid w:val="4B9157C1"/>
    <w:rsid w:val="4B922E77"/>
    <w:rsid w:val="4BBC1932"/>
    <w:rsid w:val="4BF00D37"/>
    <w:rsid w:val="4C0B3D75"/>
    <w:rsid w:val="4C1443BF"/>
    <w:rsid w:val="4C1E23D7"/>
    <w:rsid w:val="4C495A89"/>
    <w:rsid w:val="4C9958BB"/>
    <w:rsid w:val="4CA27456"/>
    <w:rsid w:val="4CB045BB"/>
    <w:rsid w:val="4CE2250C"/>
    <w:rsid w:val="4D13285A"/>
    <w:rsid w:val="4D1F4C25"/>
    <w:rsid w:val="4D35610D"/>
    <w:rsid w:val="4D7613FA"/>
    <w:rsid w:val="4D7B3404"/>
    <w:rsid w:val="4D9A5749"/>
    <w:rsid w:val="4D9B6CF0"/>
    <w:rsid w:val="4DE81B93"/>
    <w:rsid w:val="4DF17808"/>
    <w:rsid w:val="4DF429D2"/>
    <w:rsid w:val="4DF45878"/>
    <w:rsid w:val="4E0837E9"/>
    <w:rsid w:val="4E453268"/>
    <w:rsid w:val="4E552CE1"/>
    <w:rsid w:val="4E7477A8"/>
    <w:rsid w:val="4E853098"/>
    <w:rsid w:val="4E8F6245"/>
    <w:rsid w:val="4EA52361"/>
    <w:rsid w:val="4F0C13CE"/>
    <w:rsid w:val="4F1725D5"/>
    <w:rsid w:val="4F485469"/>
    <w:rsid w:val="4F63132B"/>
    <w:rsid w:val="4FF7260A"/>
    <w:rsid w:val="4FF86C1C"/>
    <w:rsid w:val="500767A7"/>
    <w:rsid w:val="501B18DD"/>
    <w:rsid w:val="501B6741"/>
    <w:rsid w:val="5028553D"/>
    <w:rsid w:val="503D0BF9"/>
    <w:rsid w:val="504B37CD"/>
    <w:rsid w:val="50736840"/>
    <w:rsid w:val="50A32395"/>
    <w:rsid w:val="50AA1A02"/>
    <w:rsid w:val="50B27EF3"/>
    <w:rsid w:val="50BD4FD7"/>
    <w:rsid w:val="50CA531F"/>
    <w:rsid w:val="50F43A70"/>
    <w:rsid w:val="50F64C4A"/>
    <w:rsid w:val="50FA4C1E"/>
    <w:rsid w:val="51117FB0"/>
    <w:rsid w:val="512979DA"/>
    <w:rsid w:val="51413951"/>
    <w:rsid w:val="516767BA"/>
    <w:rsid w:val="51816146"/>
    <w:rsid w:val="51A53E01"/>
    <w:rsid w:val="51AD7466"/>
    <w:rsid w:val="51C10958"/>
    <w:rsid w:val="51F85CE5"/>
    <w:rsid w:val="52072DF6"/>
    <w:rsid w:val="52243F3B"/>
    <w:rsid w:val="522C1654"/>
    <w:rsid w:val="525F21CD"/>
    <w:rsid w:val="52737245"/>
    <w:rsid w:val="52B73A88"/>
    <w:rsid w:val="52BC1CBB"/>
    <w:rsid w:val="52C4718F"/>
    <w:rsid w:val="52D2486D"/>
    <w:rsid w:val="52E81D2F"/>
    <w:rsid w:val="52EC1A0D"/>
    <w:rsid w:val="530037DC"/>
    <w:rsid w:val="531451F9"/>
    <w:rsid w:val="533D1E04"/>
    <w:rsid w:val="53530AF8"/>
    <w:rsid w:val="535644D0"/>
    <w:rsid w:val="536D74E7"/>
    <w:rsid w:val="537723F8"/>
    <w:rsid w:val="537C7F93"/>
    <w:rsid w:val="538042BF"/>
    <w:rsid w:val="538D232C"/>
    <w:rsid w:val="53986916"/>
    <w:rsid w:val="53C87612"/>
    <w:rsid w:val="53E25DC0"/>
    <w:rsid w:val="540913FC"/>
    <w:rsid w:val="5420543E"/>
    <w:rsid w:val="543B69E1"/>
    <w:rsid w:val="54630CAC"/>
    <w:rsid w:val="547827C3"/>
    <w:rsid w:val="54AE4355"/>
    <w:rsid w:val="54B612DA"/>
    <w:rsid w:val="54F332CA"/>
    <w:rsid w:val="550A4485"/>
    <w:rsid w:val="551601CA"/>
    <w:rsid w:val="554D0181"/>
    <w:rsid w:val="55822B8C"/>
    <w:rsid w:val="558F32AA"/>
    <w:rsid w:val="55921102"/>
    <w:rsid w:val="55A42B8B"/>
    <w:rsid w:val="55A627EA"/>
    <w:rsid w:val="55D74145"/>
    <w:rsid w:val="55E61885"/>
    <w:rsid w:val="56042973"/>
    <w:rsid w:val="561326E5"/>
    <w:rsid w:val="56432E7D"/>
    <w:rsid w:val="56503AEC"/>
    <w:rsid w:val="56520CC7"/>
    <w:rsid w:val="56750D18"/>
    <w:rsid w:val="5685733F"/>
    <w:rsid w:val="569A5334"/>
    <w:rsid w:val="574B1B26"/>
    <w:rsid w:val="57501CF2"/>
    <w:rsid w:val="57503C91"/>
    <w:rsid w:val="57587AB0"/>
    <w:rsid w:val="576603F0"/>
    <w:rsid w:val="576668A1"/>
    <w:rsid w:val="578C478D"/>
    <w:rsid w:val="57A524DC"/>
    <w:rsid w:val="57F227C1"/>
    <w:rsid w:val="580551BA"/>
    <w:rsid w:val="584564EB"/>
    <w:rsid w:val="584E7013"/>
    <w:rsid w:val="584F0362"/>
    <w:rsid w:val="58825BDE"/>
    <w:rsid w:val="58A606BD"/>
    <w:rsid w:val="58B85F7F"/>
    <w:rsid w:val="591F2FC2"/>
    <w:rsid w:val="59803612"/>
    <w:rsid w:val="59914A80"/>
    <w:rsid w:val="59C3747E"/>
    <w:rsid w:val="59D55AC8"/>
    <w:rsid w:val="59F65230"/>
    <w:rsid w:val="59F726A2"/>
    <w:rsid w:val="5A2F58EB"/>
    <w:rsid w:val="5A6B3730"/>
    <w:rsid w:val="5A9A40E9"/>
    <w:rsid w:val="5A9F29EB"/>
    <w:rsid w:val="5AB13EDC"/>
    <w:rsid w:val="5AC305FD"/>
    <w:rsid w:val="5AD7041F"/>
    <w:rsid w:val="5B06463B"/>
    <w:rsid w:val="5B082961"/>
    <w:rsid w:val="5B0A0F3F"/>
    <w:rsid w:val="5B1D04DF"/>
    <w:rsid w:val="5B27768C"/>
    <w:rsid w:val="5B30281D"/>
    <w:rsid w:val="5B37160F"/>
    <w:rsid w:val="5B3761C8"/>
    <w:rsid w:val="5B4105D3"/>
    <w:rsid w:val="5B8C676B"/>
    <w:rsid w:val="5C071EB1"/>
    <w:rsid w:val="5C1175C1"/>
    <w:rsid w:val="5C15551E"/>
    <w:rsid w:val="5C1C7827"/>
    <w:rsid w:val="5C317552"/>
    <w:rsid w:val="5C701D8C"/>
    <w:rsid w:val="5CC018F8"/>
    <w:rsid w:val="5CD7270F"/>
    <w:rsid w:val="5CD91E7E"/>
    <w:rsid w:val="5D125496"/>
    <w:rsid w:val="5D4B4FD5"/>
    <w:rsid w:val="5D5B3BFB"/>
    <w:rsid w:val="5D7A1F22"/>
    <w:rsid w:val="5D915615"/>
    <w:rsid w:val="5DA16CD4"/>
    <w:rsid w:val="5DA9389A"/>
    <w:rsid w:val="5DBC4F9A"/>
    <w:rsid w:val="5DD01DAB"/>
    <w:rsid w:val="5DE910F0"/>
    <w:rsid w:val="5E217A4A"/>
    <w:rsid w:val="5E2C1457"/>
    <w:rsid w:val="5E3C2506"/>
    <w:rsid w:val="5E623FC0"/>
    <w:rsid w:val="5E8A2915"/>
    <w:rsid w:val="5E986311"/>
    <w:rsid w:val="5EB83FF7"/>
    <w:rsid w:val="5ECB22E5"/>
    <w:rsid w:val="5F060669"/>
    <w:rsid w:val="5F0D7C5C"/>
    <w:rsid w:val="5F661586"/>
    <w:rsid w:val="5F66193B"/>
    <w:rsid w:val="5F79218C"/>
    <w:rsid w:val="5F7B0402"/>
    <w:rsid w:val="5F922236"/>
    <w:rsid w:val="5FA21376"/>
    <w:rsid w:val="5FD265A9"/>
    <w:rsid w:val="5FD513B4"/>
    <w:rsid w:val="5FDD6612"/>
    <w:rsid w:val="5FF65D8A"/>
    <w:rsid w:val="600077FB"/>
    <w:rsid w:val="60036E45"/>
    <w:rsid w:val="602900DB"/>
    <w:rsid w:val="602E7496"/>
    <w:rsid w:val="60346B2B"/>
    <w:rsid w:val="605A099F"/>
    <w:rsid w:val="60764FE2"/>
    <w:rsid w:val="60BE48F5"/>
    <w:rsid w:val="60BF6ECF"/>
    <w:rsid w:val="60C57EE8"/>
    <w:rsid w:val="60D92C10"/>
    <w:rsid w:val="60E969E4"/>
    <w:rsid w:val="61163276"/>
    <w:rsid w:val="611D05DB"/>
    <w:rsid w:val="61250BD1"/>
    <w:rsid w:val="612827CE"/>
    <w:rsid w:val="6166104C"/>
    <w:rsid w:val="61922435"/>
    <w:rsid w:val="61D74FCE"/>
    <w:rsid w:val="61EE2BC8"/>
    <w:rsid w:val="62036292"/>
    <w:rsid w:val="62244D2D"/>
    <w:rsid w:val="625931CB"/>
    <w:rsid w:val="626D33D7"/>
    <w:rsid w:val="62765EF7"/>
    <w:rsid w:val="627B2EA7"/>
    <w:rsid w:val="62D4224F"/>
    <w:rsid w:val="62DB0D62"/>
    <w:rsid w:val="633612CD"/>
    <w:rsid w:val="63624E82"/>
    <w:rsid w:val="636E3CBE"/>
    <w:rsid w:val="637A3AC8"/>
    <w:rsid w:val="637B0251"/>
    <w:rsid w:val="638947E6"/>
    <w:rsid w:val="639F2159"/>
    <w:rsid w:val="63C753F4"/>
    <w:rsid w:val="63D6673F"/>
    <w:rsid w:val="63D84FE7"/>
    <w:rsid w:val="63FB128D"/>
    <w:rsid w:val="64115F38"/>
    <w:rsid w:val="64521DF4"/>
    <w:rsid w:val="64552775"/>
    <w:rsid w:val="646A7012"/>
    <w:rsid w:val="647E2848"/>
    <w:rsid w:val="64857E6D"/>
    <w:rsid w:val="64987509"/>
    <w:rsid w:val="64E24305"/>
    <w:rsid w:val="64EA662A"/>
    <w:rsid w:val="654D05A6"/>
    <w:rsid w:val="656611C7"/>
    <w:rsid w:val="656C2DA0"/>
    <w:rsid w:val="656E7BD1"/>
    <w:rsid w:val="657C0323"/>
    <w:rsid w:val="65872975"/>
    <w:rsid w:val="6607320A"/>
    <w:rsid w:val="66171E9F"/>
    <w:rsid w:val="663B4184"/>
    <w:rsid w:val="66705D09"/>
    <w:rsid w:val="667C0849"/>
    <w:rsid w:val="668811EB"/>
    <w:rsid w:val="668E41A3"/>
    <w:rsid w:val="66DE50D0"/>
    <w:rsid w:val="66F77D7D"/>
    <w:rsid w:val="66FF7AEA"/>
    <w:rsid w:val="670A054F"/>
    <w:rsid w:val="670F104A"/>
    <w:rsid w:val="67344C23"/>
    <w:rsid w:val="678425A3"/>
    <w:rsid w:val="67875CD1"/>
    <w:rsid w:val="67A24F1E"/>
    <w:rsid w:val="67A8580B"/>
    <w:rsid w:val="67B753EA"/>
    <w:rsid w:val="67BD2A12"/>
    <w:rsid w:val="683066A1"/>
    <w:rsid w:val="68426149"/>
    <w:rsid w:val="684E345F"/>
    <w:rsid w:val="685632DC"/>
    <w:rsid w:val="68616B32"/>
    <w:rsid w:val="688F5B95"/>
    <w:rsid w:val="68B04C34"/>
    <w:rsid w:val="68B51F8D"/>
    <w:rsid w:val="68BB3E09"/>
    <w:rsid w:val="68CF46B3"/>
    <w:rsid w:val="68D8564D"/>
    <w:rsid w:val="68F9286C"/>
    <w:rsid w:val="69115685"/>
    <w:rsid w:val="69265BA4"/>
    <w:rsid w:val="69442269"/>
    <w:rsid w:val="69554597"/>
    <w:rsid w:val="695906B2"/>
    <w:rsid w:val="69621EE8"/>
    <w:rsid w:val="69965C6B"/>
    <w:rsid w:val="69AA64BC"/>
    <w:rsid w:val="69CA2304"/>
    <w:rsid w:val="69E30424"/>
    <w:rsid w:val="69F212BC"/>
    <w:rsid w:val="69F85A1C"/>
    <w:rsid w:val="6A2447EF"/>
    <w:rsid w:val="6A2E3EA0"/>
    <w:rsid w:val="6A34700B"/>
    <w:rsid w:val="6A4C11CB"/>
    <w:rsid w:val="6A660465"/>
    <w:rsid w:val="6A881BC4"/>
    <w:rsid w:val="6A9E3BC1"/>
    <w:rsid w:val="6AB96645"/>
    <w:rsid w:val="6AF3448E"/>
    <w:rsid w:val="6AFF30FF"/>
    <w:rsid w:val="6B060BF5"/>
    <w:rsid w:val="6B140792"/>
    <w:rsid w:val="6B1D5BBD"/>
    <w:rsid w:val="6B4216B7"/>
    <w:rsid w:val="6B4F58B8"/>
    <w:rsid w:val="6B990934"/>
    <w:rsid w:val="6BDE73B3"/>
    <w:rsid w:val="6BDF4F70"/>
    <w:rsid w:val="6C120E7D"/>
    <w:rsid w:val="6C387C99"/>
    <w:rsid w:val="6C4D4053"/>
    <w:rsid w:val="6C534F03"/>
    <w:rsid w:val="6C6421C5"/>
    <w:rsid w:val="6C8319D7"/>
    <w:rsid w:val="6C8C6740"/>
    <w:rsid w:val="6CDA78C4"/>
    <w:rsid w:val="6D246892"/>
    <w:rsid w:val="6D550705"/>
    <w:rsid w:val="6D681009"/>
    <w:rsid w:val="6D6E298C"/>
    <w:rsid w:val="6D7A5B72"/>
    <w:rsid w:val="6D9848A5"/>
    <w:rsid w:val="6DE37068"/>
    <w:rsid w:val="6DF745F8"/>
    <w:rsid w:val="6E074EAE"/>
    <w:rsid w:val="6E211EB7"/>
    <w:rsid w:val="6E2F4292"/>
    <w:rsid w:val="6E3A02CB"/>
    <w:rsid w:val="6E493106"/>
    <w:rsid w:val="6E4C296A"/>
    <w:rsid w:val="6E5E6666"/>
    <w:rsid w:val="6E9F786A"/>
    <w:rsid w:val="6ED645B3"/>
    <w:rsid w:val="6EE6772C"/>
    <w:rsid w:val="6F0F1CF2"/>
    <w:rsid w:val="6F1454F0"/>
    <w:rsid w:val="6F1941DE"/>
    <w:rsid w:val="6F224C53"/>
    <w:rsid w:val="6F3B34E9"/>
    <w:rsid w:val="6F3F630F"/>
    <w:rsid w:val="6F7955F4"/>
    <w:rsid w:val="6FA001FA"/>
    <w:rsid w:val="6FA943CE"/>
    <w:rsid w:val="6FD35A4C"/>
    <w:rsid w:val="701F1F15"/>
    <w:rsid w:val="704331BE"/>
    <w:rsid w:val="7047707F"/>
    <w:rsid w:val="708D5EDD"/>
    <w:rsid w:val="70960A86"/>
    <w:rsid w:val="709C7DFB"/>
    <w:rsid w:val="70E03F3A"/>
    <w:rsid w:val="70F11F2F"/>
    <w:rsid w:val="710D636F"/>
    <w:rsid w:val="715058B1"/>
    <w:rsid w:val="715B27CA"/>
    <w:rsid w:val="715C4D8E"/>
    <w:rsid w:val="71605753"/>
    <w:rsid w:val="71721E0D"/>
    <w:rsid w:val="71906884"/>
    <w:rsid w:val="71D60F75"/>
    <w:rsid w:val="71F63E94"/>
    <w:rsid w:val="721B0BB0"/>
    <w:rsid w:val="722A3ADF"/>
    <w:rsid w:val="723E6165"/>
    <w:rsid w:val="72A20AE0"/>
    <w:rsid w:val="72C45357"/>
    <w:rsid w:val="73140293"/>
    <w:rsid w:val="733140B0"/>
    <w:rsid w:val="73347D14"/>
    <w:rsid w:val="739D0FBC"/>
    <w:rsid w:val="73AE3E3E"/>
    <w:rsid w:val="73B52DB2"/>
    <w:rsid w:val="73B97F5B"/>
    <w:rsid w:val="73C74610"/>
    <w:rsid w:val="73E55BE1"/>
    <w:rsid w:val="74156D71"/>
    <w:rsid w:val="74595C4F"/>
    <w:rsid w:val="745B4A18"/>
    <w:rsid w:val="74A73E99"/>
    <w:rsid w:val="750A5D89"/>
    <w:rsid w:val="750F1DC8"/>
    <w:rsid w:val="751F3F15"/>
    <w:rsid w:val="752616D5"/>
    <w:rsid w:val="75333B50"/>
    <w:rsid w:val="753C058D"/>
    <w:rsid w:val="75417570"/>
    <w:rsid w:val="7557054B"/>
    <w:rsid w:val="757A4038"/>
    <w:rsid w:val="75894C8E"/>
    <w:rsid w:val="75C609BB"/>
    <w:rsid w:val="75F278FB"/>
    <w:rsid w:val="760771D2"/>
    <w:rsid w:val="762B0DD8"/>
    <w:rsid w:val="76697649"/>
    <w:rsid w:val="768E530F"/>
    <w:rsid w:val="76AC6D7E"/>
    <w:rsid w:val="76B46CC0"/>
    <w:rsid w:val="76C2369F"/>
    <w:rsid w:val="76D44FD5"/>
    <w:rsid w:val="76F45F6F"/>
    <w:rsid w:val="770D5428"/>
    <w:rsid w:val="771E5719"/>
    <w:rsid w:val="772967FA"/>
    <w:rsid w:val="772D3AF3"/>
    <w:rsid w:val="77305847"/>
    <w:rsid w:val="77333695"/>
    <w:rsid w:val="77384140"/>
    <w:rsid w:val="774379F3"/>
    <w:rsid w:val="77486E30"/>
    <w:rsid w:val="77531D7A"/>
    <w:rsid w:val="77733156"/>
    <w:rsid w:val="77766BC1"/>
    <w:rsid w:val="77882379"/>
    <w:rsid w:val="7796460A"/>
    <w:rsid w:val="779A0801"/>
    <w:rsid w:val="77A24D9E"/>
    <w:rsid w:val="77AE1DAD"/>
    <w:rsid w:val="77FF1A83"/>
    <w:rsid w:val="783F2973"/>
    <w:rsid w:val="785D1EBF"/>
    <w:rsid w:val="78B13B86"/>
    <w:rsid w:val="78C57B4B"/>
    <w:rsid w:val="78D33AFD"/>
    <w:rsid w:val="790D2B37"/>
    <w:rsid w:val="792C2AE7"/>
    <w:rsid w:val="796E0176"/>
    <w:rsid w:val="79AC7A48"/>
    <w:rsid w:val="79B06DBA"/>
    <w:rsid w:val="79B311E2"/>
    <w:rsid w:val="79E13C31"/>
    <w:rsid w:val="7A041D57"/>
    <w:rsid w:val="7A2745E2"/>
    <w:rsid w:val="7A347D8A"/>
    <w:rsid w:val="7A4805B8"/>
    <w:rsid w:val="7A8F511A"/>
    <w:rsid w:val="7AAD18A6"/>
    <w:rsid w:val="7AE86FF5"/>
    <w:rsid w:val="7B013A9A"/>
    <w:rsid w:val="7B2019BD"/>
    <w:rsid w:val="7B3A265D"/>
    <w:rsid w:val="7B8B06A3"/>
    <w:rsid w:val="7BB621DC"/>
    <w:rsid w:val="7BD400D4"/>
    <w:rsid w:val="7BD749ED"/>
    <w:rsid w:val="7BDE019B"/>
    <w:rsid w:val="7BE9416F"/>
    <w:rsid w:val="7C4B1DF3"/>
    <w:rsid w:val="7C757CA8"/>
    <w:rsid w:val="7C9802D3"/>
    <w:rsid w:val="7C9B039E"/>
    <w:rsid w:val="7CA6044B"/>
    <w:rsid w:val="7CD11122"/>
    <w:rsid w:val="7D782FFF"/>
    <w:rsid w:val="7D9A1C61"/>
    <w:rsid w:val="7DA85BC0"/>
    <w:rsid w:val="7DAA0555"/>
    <w:rsid w:val="7DAE00C3"/>
    <w:rsid w:val="7DB912C0"/>
    <w:rsid w:val="7DB94B8C"/>
    <w:rsid w:val="7DE83E39"/>
    <w:rsid w:val="7E0A410C"/>
    <w:rsid w:val="7E324E80"/>
    <w:rsid w:val="7E41388C"/>
    <w:rsid w:val="7E446659"/>
    <w:rsid w:val="7E470B9B"/>
    <w:rsid w:val="7E6C1C1B"/>
    <w:rsid w:val="7E7C4D97"/>
    <w:rsid w:val="7E947D74"/>
    <w:rsid w:val="7E9E0480"/>
    <w:rsid w:val="7EC92E7E"/>
    <w:rsid w:val="7ED47C49"/>
    <w:rsid w:val="7EEB5BA5"/>
    <w:rsid w:val="7EFA6EFD"/>
    <w:rsid w:val="7F0C6837"/>
    <w:rsid w:val="7F301A67"/>
    <w:rsid w:val="7F4C47FD"/>
    <w:rsid w:val="7F791CA5"/>
    <w:rsid w:val="7F880762"/>
    <w:rsid w:val="7FAE16E8"/>
    <w:rsid w:val="7FF65726"/>
    <w:rsid w:val="7FFA7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41"/>
    <w:semiHidden/>
    <w:unhideWhenUsed/>
    <w:qFormat/>
    <w:uiPriority w:val="99"/>
  </w:style>
  <w:style w:type="paragraph" w:styleId="3">
    <w:name w:val="Body Text"/>
    <w:basedOn w:val="1"/>
    <w:qFormat/>
    <w:uiPriority w:val="1"/>
    <w:pPr>
      <w:ind w:left="1068"/>
    </w:pPr>
    <w:rPr>
      <w:sz w:val="32"/>
      <w:szCs w:val="32"/>
    </w:rPr>
  </w:style>
  <w:style w:type="paragraph" w:styleId="4">
    <w:name w:val="Date"/>
    <w:basedOn w:val="1"/>
    <w:next w:val="1"/>
    <w:link w:val="25"/>
    <w:semiHidden/>
    <w:unhideWhenUsed/>
    <w:qFormat/>
    <w:uiPriority w:val="99"/>
    <w:pPr>
      <w:ind w:left="100" w:leftChars="2500"/>
    </w:pPr>
  </w:style>
  <w:style w:type="paragraph" w:styleId="5">
    <w:name w:val="Balloon Text"/>
    <w:basedOn w:val="1"/>
    <w:link w:val="28"/>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9">
    <w:name w:val="Title"/>
    <w:basedOn w:val="1"/>
    <w:next w:val="1"/>
    <w:link w:val="27"/>
    <w:qFormat/>
    <w:uiPriority w:val="10"/>
    <w:pPr>
      <w:spacing w:before="240" w:after="60"/>
      <w:jc w:val="center"/>
      <w:outlineLvl w:val="0"/>
    </w:pPr>
    <w:rPr>
      <w:rFonts w:asciiTheme="majorHAnsi" w:hAnsiTheme="majorHAnsi" w:cstheme="majorBidi"/>
      <w:b/>
      <w:bCs/>
      <w:sz w:val="32"/>
      <w:szCs w:val="32"/>
    </w:rPr>
  </w:style>
  <w:style w:type="paragraph" w:styleId="10">
    <w:name w:val="annotation subject"/>
    <w:basedOn w:val="2"/>
    <w:next w:val="2"/>
    <w:link w:val="42"/>
    <w:semiHidden/>
    <w:unhideWhenUsed/>
    <w:qFormat/>
    <w:uiPriority w:val="99"/>
    <w:rPr>
      <w:b/>
      <w:bCs/>
    </w:rPr>
  </w:style>
  <w:style w:type="character" w:styleId="13">
    <w:name w:val="Strong"/>
    <w:basedOn w:val="12"/>
    <w:qFormat/>
    <w:uiPriority w:val="99"/>
    <w:rPr>
      <w:rFonts w:cs="Times New Roman"/>
      <w:b/>
      <w:bCs/>
    </w:rPr>
  </w:style>
  <w:style w:type="character" w:styleId="14">
    <w:name w:val="FollowedHyperlink"/>
    <w:basedOn w:val="12"/>
    <w:semiHidden/>
    <w:unhideWhenUsed/>
    <w:qFormat/>
    <w:uiPriority w:val="99"/>
    <w:rPr>
      <w:color w:val="000000"/>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Variable"/>
    <w:basedOn w:val="12"/>
    <w:semiHidden/>
    <w:unhideWhenUsed/>
    <w:qFormat/>
    <w:uiPriority w:val="99"/>
  </w:style>
  <w:style w:type="character" w:styleId="18">
    <w:name w:val="Hyperlink"/>
    <w:basedOn w:val="12"/>
    <w:unhideWhenUsed/>
    <w:qFormat/>
    <w:uiPriority w:val="99"/>
    <w:rPr>
      <w:color w:val="0000FF" w:themeColor="hyperlink"/>
      <w:u w:val="single"/>
      <w14:textFill>
        <w14:solidFill>
          <w14:schemeClr w14:val="hlink"/>
        </w14:solidFill>
      </w14:textFill>
    </w:rPr>
  </w:style>
  <w:style w:type="character" w:styleId="19">
    <w:name w:val="HTML Code"/>
    <w:basedOn w:val="12"/>
    <w:semiHidden/>
    <w:unhideWhenUsed/>
    <w:qFormat/>
    <w:uiPriority w:val="99"/>
    <w:rPr>
      <w:rFonts w:ascii="Courier New" w:hAnsi="Courier New"/>
      <w:sz w:val="20"/>
    </w:rPr>
  </w:style>
  <w:style w:type="character" w:styleId="20">
    <w:name w:val="annotation reference"/>
    <w:basedOn w:val="12"/>
    <w:semiHidden/>
    <w:unhideWhenUsed/>
    <w:qFormat/>
    <w:uiPriority w:val="99"/>
    <w:rPr>
      <w:sz w:val="21"/>
      <w:szCs w:val="21"/>
    </w:rPr>
  </w:style>
  <w:style w:type="character" w:styleId="21">
    <w:name w:val="HTML Cite"/>
    <w:basedOn w:val="12"/>
    <w:semiHidden/>
    <w:unhideWhenUsed/>
    <w:qFormat/>
    <w:uiPriority w:val="99"/>
  </w:style>
  <w:style w:type="character" w:customStyle="1" w:styleId="22">
    <w:name w:val="页眉 Char"/>
    <w:basedOn w:val="12"/>
    <w:link w:val="7"/>
    <w:qFormat/>
    <w:uiPriority w:val="99"/>
    <w:rPr>
      <w:sz w:val="18"/>
      <w:szCs w:val="18"/>
    </w:rPr>
  </w:style>
  <w:style w:type="character" w:customStyle="1" w:styleId="23">
    <w:name w:val="页脚 Char"/>
    <w:basedOn w:val="12"/>
    <w:link w:val="6"/>
    <w:qFormat/>
    <w:uiPriority w:val="99"/>
    <w:rPr>
      <w:sz w:val="18"/>
      <w:szCs w:val="18"/>
    </w:rPr>
  </w:style>
  <w:style w:type="paragraph" w:styleId="24">
    <w:name w:val="List Paragraph"/>
    <w:basedOn w:val="1"/>
    <w:qFormat/>
    <w:uiPriority w:val="34"/>
    <w:pPr>
      <w:widowControl/>
      <w:autoSpaceDE/>
      <w:autoSpaceDN/>
      <w:adjustRightInd/>
      <w:ind w:firstLine="420" w:firstLineChars="200"/>
    </w:pPr>
    <w:rPr>
      <w:rFonts w:hint="default" w:cs="宋体"/>
      <w:szCs w:val="24"/>
    </w:rPr>
  </w:style>
  <w:style w:type="character" w:customStyle="1" w:styleId="25">
    <w:name w:val="日期 Char"/>
    <w:basedOn w:val="12"/>
    <w:link w:val="4"/>
    <w:semiHidden/>
    <w:qFormat/>
    <w:uiPriority w:val="99"/>
    <w:rPr>
      <w:rFonts w:ascii="宋体" w:hAnsi="宋体" w:eastAsia="宋体" w:cs="Times New Roman"/>
      <w:kern w:val="0"/>
      <w:sz w:val="24"/>
      <w:szCs w:val="20"/>
    </w:rPr>
  </w:style>
  <w:style w:type="paragraph" w:customStyle="1" w:styleId="26">
    <w:name w:val="列出段落1"/>
    <w:basedOn w:val="1"/>
    <w:qFormat/>
    <w:uiPriority w:val="34"/>
    <w:pPr>
      <w:ind w:firstLine="420" w:firstLineChars="200"/>
    </w:pPr>
    <w:rPr>
      <w:szCs w:val="22"/>
    </w:rPr>
  </w:style>
  <w:style w:type="character" w:customStyle="1" w:styleId="27">
    <w:name w:val="标题 Char"/>
    <w:basedOn w:val="12"/>
    <w:link w:val="9"/>
    <w:qFormat/>
    <w:uiPriority w:val="10"/>
    <w:rPr>
      <w:rFonts w:asciiTheme="majorHAnsi" w:hAnsiTheme="majorHAnsi" w:cstheme="majorBidi"/>
      <w:b/>
      <w:bCs/>
      <w:sz w:val="32"/>
      <w:szCs w:val="32"/>
    </w:rPr>
  </w:style>
  <w:style w:type="character" w:customStyle="1" w:styleId="28">
    <w:name w:val="批注框文本 Char"/>
    <w:basedOn w:val="12"/>
    <w:link w:val="5"/>
    <w:semiHidden/>
    <w:qFormat/>
    <w:uiPriority w:val="99"/>
    <w:rPr>
      <w:rFonts w:ascii="宋体" w:hAnsi="宋体"/>
      <w:sz w:val="18"/>
      <w:szCs w:val="18"/>
    </w:rPr>
  </w:style>
  <w:style w:type="character" w:customStyle="1" w:styleId="29">
    <w:name w:val="ref"/>
    <w:basedOn w:val="12"/>
    <w:qFormat/>
    <w:uiPriority w:val="0"/>
  </w:style>
  <w:style w:type="character" w:customStyle="1" w:styleId="30">
    <w:name w:val="icon_video"/>
    <w:basedOn w:val="12"/>
    <w:qFormat/>
    <w:uiPriority w:val="0"/>
  </w:style>
  <w:style w:type="character" w:customStyle="1" w:styleId="31">
    <w:name w:val="one"/>
    <w:basedOn w:val="12"/>
    <w:qFormat/>
    <w:uiPriority w:val="0"/>
    <w:rPr>
      <w:color w:val="003366"/>
    </w:rPr>
  </w:style>
  <w:style w:type="character" w:customStyle="1" w:styleId="32">
    <w:name w:val="loan"/>
    <w:basedOn w:val="12"/>
    <w:qFormat/>
    <w:uiPriority w:val="0"/>
  </w:style>
  <w:style w:type="character" w:customStyle="1" w:styleId="33">
    <w:name w:val="gwds_nopic"/>
    <w:basedOn w:val="12"/>
    <w:qFormat/>
    <w:uiPriority w:val="0"/>
  </w:style>
  <w:style w:type="character" w:customStyle="1" w:styleId="34">
    <w:name w:val="gwds_nopic1"/>
    <w:basedOn w:val="12"/>
    <w:qFormat/>
    <w:uiPriority w:val="0"/>
  </w:style>
  <w:style w:type="character" w:customStyle="1" w:styleId="35">
    <w:name w:val="gwds_nopic2"/>
    <w:basedOn w:val="12"/>
    <w:qFormat/>
    <w:uiPriority w:val="0"/>
    <w:rPr>
      <w:u w:val="single"/>
    </w:rPr>
  </w:style>
  <w:style w:type="character" w:customStyle="1" w:styleId="36">
    <w:name w:val="font"/>
    <w:basedOn w:val="12"/>
    <w:qFormat/>
    <w:uiPriority w:val="0"/>
  </w:style>
  <w:style w:type="character" w:customStyle="1" w:styleId="37">
    <w:name w:val="font1"/>
    <w:basedOn w:val="12"/>
    <w:qFormat/>
    <w:uiPriority w:val="0"/>
  </w:style>
  <w:style w:type="character" w:customStyle="1" w:styleId="38">
    <w:name w:val="laypage_curr"/>
    <w:basedOn w:val="12"/>
    <w:qFormat/>
    <w:uiPriority w:val="0"/>
    <w:rPr>
      <w:color w:val="FFFDF4"/>
      <w:shd w:val="clear" w:color="auto" w:fill="0B67A6"/>
    </w:rPr>
  </w:style>
  <w:style w:type="character" w:customStyle="1" w:styleId="39">
    <w:name w:val="hover12"/>
    <w:basedOn w:val="12"/>
    <w:qFormat/>
    <w:uiPriority w:val="0"/>
    <w:rPr>
      <w:color w:val="015293"/>
    </w:rPr>
  </w:style>
  <w:style w:type="character" w:customStyle="1" w:styleId="40">
    <w:name w:val="hover13"/>
    <w:basedOn w:val="12"/>
    <w:qFormat/>
    <w:uiPriority w:val="0"/>
    <w:rPr>
      <w:color w:val="015293"/>
    </w:rPr>
  </w:style>
  <w:style w:type="character" w:customStyle="1" w:styleId="41">
    <w:name w:val="批注文字 Char"/>
    <w:basedOn w:val="12"/>
    <w:link w:val="2"/>
    <w:semiHidden/>
    <w:qFormat/>
    <w:uiPriority w:val="99"/>
    <w:rPr>
      <w:rFonts w:ascii="宋体" w:hAnsi="宋体"/>
      <w:sz w:val="24"/>
    </w:rPr>
  </w:style>
  <w:style w:type="character" w:customStyle="1" w:styleId="42">
    <w:name w:val="批注主题 Char"/>
    <w:basedOn w:val="41"/>
    <w:link w:val="10"/>
    <w:qFormat/>
    <w:uiPriority w:val="0"/>
  </w:style>
  <w:style w:type="character" w:customStyle="1" w:styleId="43">
    <w:name w:val="bg02"/>
    <w:basedOn w:val="12"/>
    <w:qFormat/>
    <w:uiPriority w:val="0"/>
  </w:style>
  <w:style w:type="character" w:customStyle="1" w:styleId="44">
    <w:name w:val="m01"/>
    <w:basedOn w:val="12"/>
    <w:qFormat/>
    <w:uiPriority w:val="0"/>
  </w:style>
  <w:style w:type="character" w:customStyle="1" w:styleId="45">
    <w:name w:val="m011"/>
    <w:basedOn w:val="12"/>
    <w:qFormat/>
    <w:uiPriority w:val="0"/>
  </w:style>
  <w:style w:type="character" w:customStyle="1" w:styleId="46">
    <w:name w:val="hover18"/>
    <w:basedOn w:val="12"/>
    <w:qFormat/>
    <w:uiPriority w:val="0"/>
    <w:rPr>
      <w:color w:val="015293"/>
    </w:rPr>
  </w:style>
  <w:style w:type="character" w:customStyle="1" w:styleId="47">
    <w:name w:val="name"/>
    <w:basedOn w:val="12"/>
    <w:qFormat/>
    <w:uiPriority w:val="0"/>
    <w:rPr>
      <w:color w:val="6A6A6A"/>
      <w:u w:val="single"/>
    </w:rPr>
  </w:style>
  <w:style w:type="character" w:customStyle="1" w:styleId="48">
    <w:name w:val="dates"/>
    <w:basedOn w:val="12"/>
    <w:qFormat/>
    <w:uiPriority w:val="0"/>
  </w:style>
  <w:style w:type="character" w:customStyle="1" w:styleId="49">
    <w:name w:val="more4"/>
    <w:basedOn w:val="12"/>
    <w:qFormat/>
    <w:uiPriority w:val="0"/>
    <w:rPr>
      <w:color w:val="666666"/>
      <w:sz w:val="18"/>
      <w:szCs w:val="18"/>
    </w:rPr>
  </w:style>
  <w:style w:type="character" w:customStyle="1" w:styleId="50">
    <w:name w:val="tabg"/>
    <w:basedOn w:val="12"/>
    <w:qFormat/>
    <w:uiPriority w:val="0"/>
    <w:rPr>
      <w:color w:val="FFFFFF"/>
      <w:sz w:val="27"/>
      <w:szCs w:val="27"/>
    </w:rPr>
  </w:style>
  <w:style w:type="character" w:customStyle="1" w:styleId="51">
    <w:name w:val="bg01"/>
    <w:basedOn w:val="12"/>
    <w:qFormat/>
    <w:uiPriority w:val="0"/>
  </w:style>
  <w:style w:type="character" w:customStyle="1" w:styleId="52">
    <w:name w:val="hover19"/>
    <w:basedOn w:val="12"/>
    <w:qFormat/>
    <w:uiPriority w:val="0"/>
    <w:rPr>
      <w:color w:val="015293"/>
    </w:rPr>
  </w:style>
  <w:style w:type="character" w:customStyle="1" w:styleId="53">
    <w:name w:val="more"/>
    <w:basedOn w:val="12"/>
    <w:qFormat/>
    <w:uiPriority w:val="0"/>
    <w:rPr>
      <w:color w:val="666666"/>
      <w:sz w:val="18"/>
      <w:szCs w:val="18"/>
    </w:rPr>
  </w:style>
  <w:style w:type="character" w:customStyle="1" w:styleId="54">
    <w:name w:val="font2"/>
    <w:basedOn w:val="12"/>
    <w:qFormat/>
    <w:uiPriority w:val="0"/>
  </w:style>
  <w:style w:type="character" w:customStyle="1" w:styleId="55">
    <w:name w:val="font3"/>
    <w:basedOn w:val="12"/>
    <w:qFormat/>
    <w:uiPriority w:val="0"/>
  </w:style>
  <w:style w:type="character" w:customStyle="1" w:styleId="56">
    <w:name w:val="noline"/>
    <w:basedOn w:val="12"/>
    <w:qFormat/>
    <w:uiPriority w:val="0"/>
  </w:style>
  <w:style w:type="character" w:customStyle="1" w:styleId="57">
    <w:name w:val="place"/>
    <w:basedOn w:val="12"/>
    <w:qFormat/>
    <w:uiPriority w:val="0"/>
    <w:rPr>
      <w:rFonts w:ascii="微软雅黑" w:hAnsi="微软雅黑" w:eastAsia="微软雅黑" w:cs="微软雅黑"/>
      <w:color w:val="888888"/>
      <w:sz w:val="25"/>
      <w:szCs w:val="25"/>
    </w:rPr>
  </w:style>
  <w:style w:type="character" w:customStyle="1" w:styleId="58">
    <w:name w:val="place1"/>
    <w:basedOn w:val="12"/>
    <w:qFormat/>
    <w:uiPriority w:val="0"/>
  </w:style>
  <w:style w:type="character" w:customStyle="1" w:styleId="59">
    <w:name w:val="place2"/>
    <w:basedOn w:val="12"/>
    <w:qFormat/>
    <w:uiPriority w:val="0"/>
  </w:style>
  <w:style w:type="character" w:customStyle="1" w:styleId="60">
    <w:name w:val="place3"/>
    <w:basedOn w:val="12"/>
    <w:qFormat/>
    <w:uiPriority w:val="0"/>
  </w:style>
  <w:style w:type="character" w:customStyle="1" w:styleId="61">
    <w:name w:val="hover16"/>
    <w:basedOn w:val="12"/>
    <w:qFormat/>
    <w:uiPriority w:val="0"/>
    <w:rPr>
      <w:color w:val="025291"/>
    </w:rPr>
  </w:style>
  <w:style w:type="character" w:customStyle="1" w:styleId="62">
    <w:name w:val="hover15"/>
    <w:basedOn w:val="12"/>
    <w:qFormat/>
    <w:uiPriority w:val="0"/>
    <w:rPr>
      <w:color w:val="025291"/>
    </w:rPr>
  </w:style>
  <w:style w:type="character" w:customStyle="1" w:styleId="63">
    <w:name w:val="after"/>
    <w:basedOn w:val="12"/>
    <w:qFormat/>
    <w:uiPriority w:val="0"/>
  </w:style>
  <w:style w:type="character" w:customStyle="1" w:styleId="64">
    <w:name w:val="after1"/>
    <w:basedOn w:val="12"/>
    <w:qFormat/>
    <w:uiPriority w:val="0"/>
    <w:rPr>
      <w:shd w:val="clear" w:fill="D60000"/>
    </w:rPr>
  </w:style>
  <w:style w:type="character" w:customStyle="1" w:styleId="65">
    <w:name w:val="after2"/>
    <w:basedOn w:val="12"/>
    <w:qFormat/>
    <w:uiPriority w:val="0"/>
  </w:style>
  <w:style w:type="character" w:customStyle="1" w:styleId="66">
    <w:name w:val="after3"/>
    <w:basedOn w:val="12"/>
    <w:qFormat/>
    <w:uiPriority w:val="0"/>
    <w:rPr>
      <w:vanish/>
    </w:rPr>
  </w:style>
  <w:style w:type="character" w:customStyle="1" w:styleId="67">
    <w:name w:val="selecte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AA3FC-10D3-4BDF-B40F-F3B4225529D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3815</Words>
  <Characters>4236</Characters>
  <Lines>8</Lines>
  <Paragraphs>9</Paragraphs>
  <TotalTime>0</TotalTime>
  <ScaleCrop>false</ScaleCrop>
  <LinksUpToDate>false</LinksUpToDate>
  <CharactersWithSpaces>4345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Administrator</cp:lastModifiedBy>
  <cp:lastPrinted>2021-01-29T05:35:00Z</cp:lastPrinted>
  <dcterms:modified xsi:type="dcterms:W3CDTF">2021-08-27T07:54:50Z</dcterms:modified>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F70510D466EC4EBEA72FA767CB5474D5</vt:lpwstr>
  </property>
</Properties>
</file>