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120"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4" w:hRule="atLeast"/>
          <w:jc w:val="center"/>
        </w:trPr>
        <w:tc>
          <w:tcPr>
            <w:tcW w:w="10120" w:type="dxa"/>
            <w:noWrap/>
            <w:vAlign w:val="center"/>
          </w:tcPr>
          <w:p>
            <w:pPr>
              <w:autoSpaceDE/>
              <w:autoSpaceDN/>
              <w:adjustRightInd/>
              <w:jc w:val="distribute"/>
              <w:rPr>
                <w:rFonts w:hint="default" w:ascii="Times New Roman" w:hAnsi="Times New Roman" w:cs="宋体"/>
                <w:color w:val="FF0000"/>
                <w:kern w:val="2"/>
                <w:sz w:val="70"/>
                <w:szCs w:val="70"/>
              </w:rPr>
            </w:pPr>
            <w:r>
              <w:rPr>
                <w:rFonts w:ascii="Times New Roman" w:hAnsi="Times New Roman" w:cs="宋体"/>
                <w:color w:val="FF0000"/>
                <w:kern w:val="2"/>
                <w:sz w:val="70"/>
                <w:szCs w:val="70"/>
              </w:rPr>
              <w:t>中 国 投 资 协 会</w:t>
            </w:r>
          </w:p>
          <w:p>
            <w:pPr>
              <w:autoSpaceDE/>
              <w:autoSpaceDN/>
              <w:adjustRightInd/>
              <w:jc w:val="distribute"/>
              <w:rPr>
                <w:rFonts w:hint="default" w:ascii="Times New Roman" w:hAnsi="Times New Roman" w:cs="宋体"/>
                <w:color w:val="FF0000"/>
                <w:kern w:val="2"/>
                <w:sz w:val="70"/>
                <w:szCs w:val="70"/>
              </w:rPr>
            </w:pPr>
            <w:r>
              <w:rPr>
                <w:rFonts w:ascii="Times New Roman" w:hAnsi="Times New Roman" w:cs="宋体"/>
                <w:color w:val="FF0000"/>
                <w:kern w:val="2"/>
                <w:sz w:val="70"/>
                <w:szCs w:val="70"/>
              </w:rPr>
              <w:t>项目投融资专业委员会文件</w:t>
            </w:r>
          </w:p>
          <w:p>
            <w:pPr>
              <w:ind w:left="420" w:hanging="420"/>
              <w:jc w:val="center"/>
              <w:rPr>
                <w:rFonts w:hint="default" w:ascii="仿宋" w:hAnsi="仿宋" w:eastAsia="仿宋"/>
                <w:color w:val="000000"/>
                <w:sz w:val="32"/>
                <w:szCs w:val="32"/>
              </w:rPr>
            </w:pPr>
            <w:r>
              <w:rPr>
                <w:rFonts w:ascii="仿宋" w:hAnsi="仿宋" w:eastAsia="仿宋" w:cs="宋体"/>
                <w:kern w:val="2"/>
                <w:sz w:val="32"/>
                <w:szCs w:val="32"/>
              </w:rPr>
              <w:t>投融培〔2021〕17号</w:t>
            </w:r>
          </w:p>
        </w:tc>
      </w:tr>
    </w:tbl>
    <w:p>
      <w:pPr>
        <w:autoSpaceDE/>
        <w:autoSpaceDN/>
        <w:adjustRightInd/>
        <w:spacing w:line="410" w:lineRule="exact"/>
        <w:jc w:val="both"/>
        <w:rPr>
          <w:rFonts w:hint="default" w:ascii="仿宋" w:hAnsi="仿宋" w:eastAsia="仿宋" w:cs="仿宋"/>
          <w:b/>
          <w:bCs/>
          <w:kern w:val="2"/>
          <w:sz w:val="32"/>
          <w:szCs w:val="32"/>
        </w:rPr>
      </w:pPr>
    </w:p>
    <w:p>
      <w:pPr>
        <w:autoSpaceDE/>
        <w:autoSpaceDN/>
        <w:adjustRightInd/>
        <w:spacing w:line="410" w:lineRule="exact"/>
        <w:jc w:val="center"/>
        <w:rPr>
          <w:rFonts w:hint="default" w:cs="宋体"/>
          <w:b/>
          <w:bCs/>
          <w:kern w:val="2"/>
          <w:sz w:val="36"/>
          <w:szCs w:val="36"/>
        </w:rPr>
      </w:pPr>
      <w:r>
        <w:rPr>
          <w:rFonts w:cs="宋体"/>
          <w:b/>
          <w:bCs/>
          <w:kern w:val="2"/>
          <w:sz w:val="36"/>
          <w:szCs w:val="36"/>
        </w:rPr>
        <w:t>关于举办全面注册制背景下资本运作 股权激励</w:t>
      </w:r>
    </w:p>
    <w:p>
      <w:pPr>
        <w:autoSpaceDE/>
        <w:autoSpaceDN/>
        <w:adjustRightInd/>
        <w:spacing w:line="410" w:lineRule="exact"/>
        <w:jc w:val="center"/>
        <w:rPr>
          <w:rFonts w:hint="default" w:ascii="仿宋" w:hAnsi="仿宋" w:eastAsia="仿宋" w:cs="仿宋"/>
          <w:b/>
          <w:bCs/>
          <w:kern w:val="2"/>
          <w:sz w:val="32"/>
          <w:szCs w:val="32"/>
        </w:rPr>
      </w:pPr>
      <w:r>
        <w:rPr>
          <w:rFonts w:cs="宋体"/>
          <w:b/>
          <w:bCs/>
          <w:kern w:val="2"/>
          <w:sz w:val="36"/>
          <w:szCs w:val="36"/>
        </w:rPr>
        <w:t>IPO上市与投融资模式创新实务培训班的通知</w:t>
      </w:r>
    </w:p>
    <w:p>
      <w:pPr>
        <w:autoSpaceDE/>
        <w:autoSpaceDN/>
        <w:adjustRightInd/>
        <w:spacing w:line="410" w:lineRule="exact"/>
        <w:jc w:val="both"/>
        <w:rPr>
          <w:rFonts w:hint="default" w:ascii="仿宋" w:hAnsi="仿宋" w:eastAsia="仿宋" w:cs="仿宋"/>
          <w:bCs/>
          <w:kern w:val="2"/>
          <w:sz w:val="30"/>
          <w:szCs w:val="30"/>
        </w:rPr>
      </w:pPr>
    </w:p>
    <w:p>
      <w:pPr>
        <w:autoSpaceDE/>
        <w:autoSpaceDN/>
        <w:adjustRightInd/>
        <w:spacing w:line="410" w:lineRule="exact"/>
        <w:jc w:val="both"/>
        <w:rPr>
          <w:rFonts w:hint="eastAsia" w:ascii="仿宋" w:hAnsi="仿宋" w:eastAsia="仿宋" w:cs="仿宋"/>
          <w:bCs/>
          <w:kern w:val="2"/>
          <w:sz w:val="30"/>
          <w:szCs w:val="30"/>
        </w:rPr>
      </w:pPr>
      <w:r>
        <w:rPr>
          <w:rFonts w:hint="eastAsia" w:ascii="仿宋" w:hAnsi="仿宋" w:eastAsia="仿宋" w:cs="仿宋"/>
          <w:bCs/>
          <w:kern w:val="2"/>
          <w:sz w:val="30"/>
          <w:szCs w:val="30"/>
        </w:rPr>
        <w:t>各有关单位:</w:t>
      </w:r>
    </w:p>
    <w:p>
      <w:pPr>
        <w:autoSpaceDE/>
        <w:autoSpaceDN/>
        <w:adjustRightInd/>
        <w:spacing w:line="410" w:lineRule="exact"/>
        <w:rPr>
          <w:rFonts w:hint="eastAsia" w:ascii="仿宋" w:hAnsi="仿宋" w:eastAsia="仿宋" w:cs="仿宋"/>
          <w:kern w:val="2"/>
          <w:sz w:val="30"/>
          <w:szCs w:val="30"/>
          <w:lang w:val="zh-CN"/>
        </w:rPr>
      </w:pPr>
      <w:r>
        <w:rPr>
          <w:rFonts w:hint="eastAsia" w:ascii="仿宋" w:hAnsi="仿宋" w:eastAsia="仿宋" w:cs="仿宋"/>
          <w:kern w:val="2"/>
          <w:sz w:val="30"/>
          <w:szCs w:val="30"/>
        </w:rPr>
        <w:t>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新修订的《中华人民共和国证券法》明确，证券发行全面推行注册制。这对于深化证券市场改革，有效防控风险，提高上市公司质量，切实维护投资者合法权益，提供了坚实的法治保障。为贯彻实施修订后的《证券法》，培育投融资领域具有现代资本运营理念和创新能力的实战型人才，适应中国资本市场业务拓展和规范管理的需要，中国投资协会项目投融资专业委员会会同北京中科领航教育咨询有限公司</w:t>
      </w:r>
      <w:r>
        <w:rPr>
          <w:rFonts w:hint="eastAsia" w:ascii="仿宋" w:hAnsi="仿宋" w:eastAsia="仿宋" w:cs="仿宋"/>
          <w:kern w:val="2"/>
          <w:sz w:val="30"/>
          <w:szCs w:val="30"/>
          <w:lang w:val="zh-CN"/>
        </w:rPr>
        <w:t>联合</w:t>
      </w:r>
      <w:r>
        <w:rPr>
          <w:rFonts w:hint="eastAsia" w:ascii="仿宋" w:hAnsi="仿宋" w:eastAsia="仿宋" w:cs="仿宋"/>
          <w:kern w:val="2"/>
          <w:sz w:val="30"/>
          <w:szCs w:val="30"/>
        </w:rPr>
        <w:t>举办全面注册制背景下资本运作</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股权激励</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IPO上市与投融资模式创新实务培训班</w:t>
      </w:r>
      <w:r>
        <w:rPr>
          <w:rFonts w:hint="eastAsia" w:ascii="仿宋" w:hAnsi="仿宋" w:eastAsia="仿宋" w:cs="仿宋"/>
          <w:kern w:val="2"/>
          <w:sz w:val="30"/>
          <w:szCs w:val="30"/>
          <w:lang w:val="zh-CN"/>
        </w:rPr>
        <w:t>。</w:t>
      </w:r>
    </w:p>
    <w:p>
      <w:pPr>
        <w:autoSpaceDE/>
        <w:autoSpaceDN/>
        <w:adjustRightInd/>
        <w:spacing w:line="410" w:lineRule="exact"/>
        <w:ind w:firstLine="600" w:firstLineChars="200"/>
        <w:jc w:val="both"/>
        <w:rPr>
          <w:rFonts w:hint="eastAsia" w:ascii="仿宋" w:hAnsi="仿宋" w:eastAsia="仿宋" w:cs="仿宋"/>
          <w:kern w:val="2"/>
          <w:sz w:val="30"/>
          <w:szCs w:val="30"/>
        </w:rPr>
      </w:pPr>
      <w:r>
        <w:rPr>
          <w:rFonts w:hint="eastAsia" w:ascii="仿宋" w:hAnsi="仿宋" w:eastAsia="仿宋" w:cs="仿宋"/>
          <w:kern w:val="2"/>
          <w:sz w:val="30"/>
          <w:szCs w:val="30"/>
        </w:rPr>
        <w:t>本期培训班着眼于全面了解资本运作、股权激励与投资和融资方法策略及创新，深入探讨价值投资管理形式；有效推进产业结构升级转型；实现金融资本优化配置；详细解析商业模式创新案例；构建学员交流合作通道和平台；系统掌握资本（股权）运作最新策略和实操技巧。</w:t>
      </w:r>
    </w:p>
    <w:p>
      <w:pPr>
        <w:autoSpaceDE/>
        <w:autoSpaceDN/>
        <w:adjustRightInd/>
        <w:spacing w:line="410" w:lineRule="exact"/>
        <w:ind w:firstLine="600" w:firstLineChars="200"/>
        <w:rPr>
          <w:rFonts w:hint="default" w:ascii="黑体" w:hAnsi="黑体" w:eastAsia="黑体" w:cs="黑体"/>
          <w:kern w:val="2"/>
          <w:sz w:val="32"/>
          <w:szCs w:val="32"/>
        </w:rPr>
      </w:pPr>
      <w:r>
        <w:rPr>
          <w:rFonts w:ascii="黑体" w:hAnsi="黑体" w:eastAsia="黑体" w:cs="黑体"/>
          <w:kern w:val="2"/>
          <w:sz w:val="30"/>
          <w:szCs w:val="30"/>
        </w:rPr>
        <w:t>一、组织机构</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主办单位：中国投资协会项目投融资专业委员会</w:t>
      </w:r>
    </w:p>
    <w:p>
      <w:pPr>
        <w:autoSpaceDE/>
        <w:autoSpaceDN/>
        <w:spacing w:line="410" w:lineRule="exact"/>
        <w:ind w:firstLine="600" w:firstLineChars="200"/>
        <w:rPr>
          <w:rFonts w:hint="default" w:ascii="仿宋" w:hAnsi="仿宋" w:eastAsia="仿宋"/>
          <w:kern w:val="2"/>
          <w:sz w:val="30"/>
          <w:szCs w:val="30"/>
          <w:lang w:val="zh-CN"/>
        </w:rPr>
      </w:pPr>
      <w:r>
        <w:rPr>
          <w:rFonts w:ascii="仿宋" w:hAnsi="仿宋" w:eastAsia="仿宋" w:cs="仿宋"/>
          <w:kern w:val="2"/>
          <w:sz w:val="30"/>
          <w:szCs w:val="30"/>
        </w:rPr>
        <w:t>承办单位：</w:t>
      </w:r>
      <w:r>
        <w:rPr>
          <w:rFonts w:hint="default" w:ascii="仿宋" w:hAnsi="仿宋" w:eastAsia="仿宋"/>
          <w:kern w:val="2"/>
          <w:sz w:val="30"/>
          <w:szCs w:val="30"/>
        </w:rPr>
        <w:t>北京中科领航教育咨询有限公司</w:t>
      </w:r>
    </w:p>
    <w:p>
      <w:pPr>
        <w:spacing w:line="440" w:lineRule="exact"/>
        <w:ind w:firstLine="600" w:firstLineChars="200"/>
        <w:rPr>
          <w:rFonts w:hint="default" w:ascii="楷体" w:hAnsi="楷体" w:eastAsia="楷体" w:cs="楷体"/>
          <w:kern w:val="2"/>
          <w:sz w:val="32"/>
          <w:szCs w:val="32"/>
        </w:rPr>
      </w:pPr>
      <w:r>
        <w:rPr>
          <w:rFonts w:ascii="黑体" w:hAnsi="黑体" w:eastAsia="黑体" w:cs="黑体"/>
          <w:kern w:val="2"/>
          <w:sz w:val="30"/>
          <w:szCs w:val="30"/>
        </w:rPr>
        <w:t>二、培训内容</w:t>
      </w:r>
      <w:r>
        <w:rPr>
          <w:rFonts w:ascii="楷体" w:hAnsi="楷体" w:eastAsia="楷体" w:cs="楷体"/>
          <w:color w:val="000000" w:themeColor="text1"/>
          <w:kern w:val="2"/>
          <w:sz w:val="32"/>
          <w:szCs w:val="32"/>
        </w:rPr>
        <w:t>（详细内容见附件）</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1.增资扩股、股债结合与老股转让</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2.</w:t>
      </w:r>
      <w:r>
        <w:rPr>
          <w:rFonts w:hint="default" w:ascii="仿宋" w:hAnsi="仿宋" w:eastAsia="仿宋"/>
          <w:kern w:val="2"/>
          <w:sz w:val="30"/>
          <w:szCs w:val="30"/>
        </w:rPr>
        <w:t>股权激励方案设计基本要素</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3.</w:t>
      </w:r>
      <w:r>
        <w:rPr>
          <w:rFonts w:hint="default" w:ascii="仿宋" w:hAnsi="仿宋" w:eastAsia="仿宋"/>
          <w:kern w:val="2"/>
          <w:sz w:val="30"/>
          <w:szCs w:val="30"/>
        </w:rPr>
        <w:t>股权激励方案落地实施操作流程</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4.收购、兼并、合并和资产置换</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5.上市与并购结合、主动和被动退市、回归上市、第二上市、多地上市</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6.并购支付手段的财税筹划</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7.整体上市、联合上市、分离上市</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8.造壳、买壳和借壳上市</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9.剥离、分立、分拆及其他方式</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10.企业并购十大关键问题及解决</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11.企业并购操作流程</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12.梅泰诺跨境收购BBHI案例分析</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13.监管机构并购审核要点</w:t>
      </w:r>
    </w:p>
    <w:p>
      <w:pPr>
        <w:autoSpaceDE/>
        <w:autoSpaceDN/>
        <w:adjustRightInd/>
        <w:spacing w:line="410"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14.并购基金的设立与运作</w:t>
      </w:r>
    </w:p>
    <w:p>
      <w:pPr>
        <w:autoSpaceDE/>
        <w:autoSpaceDN/>
        <w:snapToGrid w:val="0"/>
        <w:spacing w:line="440" w:lineRule="exact"/>
        <w:ind w:left="600" w:leftChars="250"/>
        <w:jc w:val="both"/>
        <w:rPr>
          <w:rFonts w:hint="default" w:ascii="黑体" w:hAnsi="黑体" w:eastAsia="黑体" w:cs="黑体"/>
          <w:kern w:val="2"/>
          <w:sz w:val="30"/>
          <w:szCs w:val="30"/>
        </w:rPr>
      </w:pPr>
      <w:r>
        <w:rPr>
          <w:rFonts w:ascii="黑体" w:hAnsi="黑体" w:eastAsia="黑体" w:cs="黑体"/>
          <w:kern w:val="2"/>
          <w:sz w:val="30"/>
          <w:szCs w:val="30"/>
        </w:rPr>
        <w:t>三、培训对象</w:t>
      </w:r>
    </w:p>
    <w:p>
      <w:pPr>
        <w:autoSpaceDE/>
        <w:autoSpaceDN/>
        <w:snapToGrid w:val="0"/>
        <w:spacing w:line="440" w:lineRule="exact"/>
        <w:ind w:left="17" w:leftChars="7" w:firstLine="579" w:firstLineChars="193"/>
        <w:jc w:val="both"/>
        <w:rPr>
          <w:rFonts w:hint="default" w:ascii="仿宋" w:hAnsi="仿宋" w:eastAsia="仿宋"/>
          <w:color w:val="000000"/>
          <w:sz w:val="30"/>
          <w:szCs w:val="30"/>
        </w:rPr>
      </w:pPr>
      <w:r>
        <w:rPr>
          <w:rFonts w:ascii="仿宋" w:hAnsi="仿宋" w:eastAsia="仿宋"/>
          <w:color w:val="000000"/>
          <w:sz w:val="30"/>
          <w:szCs w:val="30"/>
        </w:rPr>
        <w:t>1.企业董事长、总裁、副总裁、董事会秘书等高层管理者，以及财务总监、投资总监、投融资项目负责人。</w:t>
      </w:r>
      <w:r>
        <w:rPr>
          <w:rFonts w:ascii="仿宋" w:hAnsi="仿宋" w:eastAsia="仿宋"/>
          <w:color w:val="000000"/>
          <w:sz w:val="30"/>
          <w:szCs w:val="30"/>
        </w:rPr>
        <w:br w:type="textWrapping"/>
      </w:r>
      <w:r>
        <w:rPr>
          <w:rFonts w:ascii="仿宋" w:hAnsi="仿宋" w:eastAsia="仿宋"/>
          <w:color w:val="000000"/>
          <w:sz w:val="30"/>
          <w:szCs w:val="30"/>
        </w:rPr>
        <w:t xml:space="preserve">    2.金融机构(银行、基金、资产管理、私募股权、保险、信托、担保、小额贷款、典当、融资租赁、财富管理)管理人员。</w:t>
      </w:r>
      <w:r>
        <w:rPr>
          <w:rFonts w:ascii="仿宋" w:hAnsi="仿宋" w:eastAsia="仿宋"/>
          <w:color w:val="000000"/>
          <w:sz w:val="30"/>
          <w:szCs w:val="30"/>
        </w:rPr>
        <w:br w:type="textWrapping"/>
      </w:r>
      <w:r>
        <w:rPr>
          <w:rFonts w:ascii="仿宋" w:hAnsi="仿宋" w:eastAsia="仿宋"/>
          <w:color w:val="000000"/>
          <w:sz w:val="30"/>
          <w:szCs w:val="30"/>
        </w:rPr>
        <w:t xml:space="preserve">    3.律师事务所、会计师事务所、财务顾问公司、资产评估和评级机构等中介服务机构管理人员。</w:t>
      </w:r>
      <w:r>
        <w:rPr>
          <w:rFonts w:ascii="仿宋" w:hAnsi="仿宋" w:eastAsia="仿宋"/>
          <w:color w:val="000000"/>
          <w:sz w:val="30"/>
          <w:szCs w:val="30"/>
        </w:rPr>
        <w:br w:type="textWrapping"/>
      </w:r>
      <w:r>
        <w:rPr>
          <w:rFonts w:ascii="仿宋" w:hAnsi="仿宋" w:eastAsia="仿宋"/>
          <w:color w:val="000000"/>
          <w:sz w:val="30"/>
          <w:szCs w:val="30"/>
        </w:rPr>
        <w:t xml:space="preserve">    4.其他从事金融投融资业务的相关人士。</w:t>
      </w:r>
    </w:p>
    <w:p>
      <w:pPr>
        <w:autoSpaceDE/>
        <w:autoSpaceDN/>
        <w:adjustRightInd/>
        <w:spacing w:line="440" w:lineRule="exact"/>
        <w:ind w:firstLine="600" w:firstLineChars="200"/>
        <w:jc w:val="both"/>
        <w:rPr>
          <w:rFonts w:hint="default" w:ascii="黑体" w:hAnsi="黑体" w:eastAsia="黑体" w:cs="黑体"/>
          <w:kern w:val="2"/>
          <w:sz w:val="30"/>
          <w:szCs w:val="30"/>
        </w:rPr>
      </w:pPr>
      <w:r>
        <w:rPr>
          <w:rFonts w:ascii="黑体" w:hAnsi="黑体" w:eastAsia="黑体" w:cs="黑体"/>
          <w:kern w:val="2"/>
          <w:sz w:val="30"/>
          <w:szCs w:val="30"/>
        </w:rPr>
        <w:t>四、授课专家</w:t>
      </w:r>
    </w:p>
    <w:p>
      <w:pPr>
        <w:autoSpaceDE/>
        <w:autoSpaceDN/>
        <w:snapToGrid w:val="0"/>
        <w:spacing w:line="440" w:lineRule="exact"/>
        <w:ind w:left="17" w:leftChars="7" w:firstLine="579" w:firstLineChars="193"/>
        <w:jc w:val="both"/>
        <w:rPr>
          <w:rFonts w:hint="default" w:ascii="仿宋" w:hAnsi="仿宋" w:eastAsia="仿宋"/>
          <w:color w:val="000000"/>
          <w:sz w:val="30"/>
          <w:szCs w:val="30"/>
        </w:rPr>
      </w:pPr>
      <w:r>
        <w:rPr>
          <w:rFonts w:hint="eastAsia" w:ascii="仿宋" w:hAnsi="仿宋" w:eastAsia="仿宋"/>
          <w:color w:val="000000"/>
          <w:sz w:val="30"/>
          <w:szCs w:val="30"/>
          <w:lang w:eastAsia="zh-CN"/>
        </w:rPr>
        <w:t>培训班将</w:t>
      </w:r>
      <w:r>
        <w:rPr>
          <w:rFonts w:ascii="仿宋" w:hAnsi="仿宋" w:eastAsia="仿宋"/>
          <w:color w:val="000000"/>
          <w:sz w:val="30"/>
          <w:szCs w:val="30"/>
        </w:rPr>
        <w:t>邀请相关领域领导、专家学者授课，解析</w:t>
      </w:r>
      <w:r>
        <w:rPr>
          <w:rFonts w:ascii="仿宋" w:hAnsi="仿宋" w:eastAsia="仿宋"/>
          <w:color w:val="000000"/>
          <w:sz w:val="30"/>
          <w:szCs w:val="30"/>
        </w:rPr>
        <w:fldChar w:fldCharType="begin"/>
      </w:r>
      <w:r>
        <w:rPr>
          <w:rFonts w:ascii="仿宋" w:hAnsi="仿宋" w:eastAsia="仿宋"/>
          <w:color w:val="000000"/>
          <w:sz w:val="30"/>
          <w:szCs w:val="30"/>
        </w:rPr>
        <w:instrText xml:space="preserve"> HYPERLINK "http://www.sjtu-emba.com/zhaosheng/jrtzkc/2814.html" \t "http://groups.tianya.cn/_blank" </w:instrText>
      </w:r>
      <w:r>
        <w:rPr>
          <w:rFonts w:ascii="仿宋" w:hAnsi="仿宋" w:eastAsia="仿宋"/>
          <w:color w:val="000000"/>
          <w:sz w:val="30"/>
          <w:szCs w:val="30"/>
        </w:rPr>
        <w:fldChar w:fldCharType="separate"/>
      </w:r>
      <w:r>
        <w:rPr>
          <w:rFonts w:ascii="仿宋" w:hAnsi="仿宋" w:eastAsia="仿宋"/>
          <w:color w:val="000000"/>
          <w:sz w:val="30"/>
          <w:szCs w:val="30"/>
        </w:rPr>
        <w:t>企业融资</w:t>
      </w:r>
      <w:r>
        <w:rPr>
          <w:rFonts w:ascii="仿宋" w:hAnsi="仿宋" w:eastAsia="仿宋"/>
          <w:color w:val="000000"/>
          <w:sz w:val="30"/>
          <w:szCs w:val="30"/>
        </w:rPr>
        <w:fldChar w:fldCharType="end"/>
      </w:r>
      <w:r>
        <w:rPr>
          <w:rFonts w:ascii="仿宋" w:hAnsi="仿宋" w:eastAsia="仿宋"/>
          <w:color w:val="000000"/>
          <w:sz w:val="30"/>
          <w:szCs w:val="30"/>
        </w:rPr>
        <w:t xml:space="preserve">、投资、并购、上市及企业家财富管理等领域实战内容，帮助企业家解决资本（股权）运作中的关键问题，搭建金融资本（股权）运作模式和操作技巧学习交流的平台。 </w:t>
      </w:r>
    </w:p>
    <w:p>
      <w:pPr>
        <w:autoSpaceDE/>
        <w:autoSpaceDN/>
        <w:snapToGrid w:val="0"/>
        <w:spacing w:line="440" w:lineRule="exact"/>
        <w:ind w:left="17" w:leftChars="7" w:firstLine="579" w:firstLineChars="193"/>
        <w:jc w:val="both"/>
        <w:rPr>
          <w:rFonts w:ascii="仿宋" w:hAnsi="仿宋" w:eastAsia="仿宋"/>
          <w:color w:val="000000"/>
          <w:sz w:val="30"/>
          <w:szCs w:val="30"/>
        </w:rPr>
      </w:pPr>
      <w:r>
        <w:rPr>
          <w:rFonts w:ascii="仿宋" w:hAnsi="仿宋" w:eastAsia="仿宋"/>
          <w:color w:val="000000"/>
          <w:sz w:val="30"/>
          <w:szCs w:val="30"/>
        </w:rPr>
        <w:t>授课专家：北大、清华、中央财经等高校知名经济学家、管理学家；证监会、国资委、发改、商务等国家部委相关部门管理人员；实战型企业家、金融机构顾问、资本运作专家。</w:t>
      </w:r>
    </w:p>
    <w:p>
      <w:pPr>
        <w:spacing w:line="440" w:lineRule="exact"/>
        <w:rPr>
          <w:rFonts w:hint="default" w:ascii="黑体" w:hAnsi="黑体" w:eastAsia="黑体" w:cs="黑体"/>
          <w:kern w:val="2"/>
          <w:sz w:val="32"/>
          <w:szCs w:val="32"/>
        </w:rPr>
      </w:pPr>
      <w:r>
        <w:rPr>
          <w:rFonts w:ascii="黑体" w:hAnsi="黑体" w:eastAsia="黑体" w:cs="黑体"/>
          <w:kern w:val="2"/>
          <w:sz w:val="30"/>
          <w:szCs w:val="30"/>
        </w:rPr>
        <w:t xml:space="preserve">    六、时间地点</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09</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成都</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w:t>
      </w:r>
      <w:r>
        <w:rPr>
          <w:rFonts w:hint="eastAsia" w:ascii="仿宋" w:hAnsi="仿宋" w:eastAsia="仿宋" w:cs="仿宋"/>
          <w:kern w:val="2"/>
          <w:sz w:val="30"/>
          <w:szCs w:val="30"/>
          <w:lang w:val="en-US" w:eastAsia="zh-CN"/>
        </w:rPr>
        <w:t>1</w:t>
      </w:r>
      <w:r>
        <w:rPr>
          <w:rFonts w:hint="eastAsia" w:ascii="仿宋" w:hAnsi="仿宋" w:eastAsia="仿宋" w:cs="仿宋"/>
          <w:kern w:val="2"/>
          <w:sz w:val="30"/>
          <w:szCs w:val="30"/>
        </w:rPr>
        <w:t>年</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10</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val="en-US" w:eastAsia="zh-CN"/>
        </w:rPr>
        <w:t xml:space="preserve"> 西安</w:t>
      </w:r>
      <w:r>
        <w:rPr>
          <w:rFonts w:hint="eastAsia" w:ascii="仿宋" w:hAnsi="仿宋" w:eastAsia="仿宋" w:cs="仿宋"/>
          <w:kern w:val="2"/>
          <w:sz w:val="30"/>
          <w:szCs w:val="30"/>
        </w:rPr>
        <w:t>市（</w:t>
      </w:r>
      <w:r>
        <w:rPr>
          <w:rFonts w:hint="eastAsia" w:ascii="仿宋" w:hAnsi="仿宋" w:eastAsia="仿宋" w:cs="仿宋"/>
          <w:kern w:val="2"/>
          <w:sz w:val="30"/>
          <w:szCs w:val="30"/>
          <w:lang w:val="en-US" w:eastAsia="zh-CN"/>
        </w:rPr>
        <w:t>22</w:t>
      </w:r>
      <w:r>
        <w:rPr>
          <w:rFonts w:hint="eastAsia" w:ascii="仿宋" w:hAnsi="仿宋" w:eastAsia="仿宋" w:cs="仿宋"/>
          <w:kern w:val="2"/>
          <w:sz w:val="30"/>
          <w:szCs w:val="30"/>
        </w:rPr>
        <w:t>日全天报到）</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30</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长沙</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26</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keepNext w:val="0"/>
        <w:keepLines w:val="0"/>
        <w:pageBreakBefore w:val="0"/>
        <w:widowControl w:val="0"/>
        <w:kinsoku/>
        <w:wordWrap/>
        <w:overflowPunct/>
        <w:topLinePunct w:val="0"/>
        <w:bidi w:val="0"/>
        <w:snapToGrid/>
        <w:spacing w:line="460" w:lineRule="exact"/>
        <w:ind w:firstLine="600" w:firstLineChars="200"/>
        <w:textAlignment w:val="auto"/>
        <w:rPr>
          <w:rFonts w:hint="eastAsia" w:ascii="仿宋" w:hAnsi="仿宋" w:eastAsia="仿宋" w:cs="仿宋"/>
          <w:kern w:val="2"/>
          <w:sz w:val="30"/>
          <w:szCs w:val="30"/>
          <w:lang w:eastAsia="zh-CN"/>
        </w:rPr>
      </w:pPr>
      <w:r>
        <w:rPr>
          <w:rFonts w:hint="eastAsia" w:ascii="仿宋" w:hAnsi="仿宋" w:eastAsia="仿宋" w:cs="仿宋"/>
          <w:kern w:val="2"/>
          <w:sz w:val="30"/>
          <w:szCs w:val="30"/>
        </w:rPr>
        <w:t>2021年</w:t>
      </w:r>
      <w:r>
        <w:rPr>
          <w:rFonts w:hint="eastAsia" w:ascii="仿宋" w:hAnsi="仿宋" w:eastAsia="仿宋" w:cs="仿宋"/>
          <w:kern w:val="2"/>
          <w:sz w:val="30"/>
          <w:szCs w:val="30"/>
          <w:lang w:val="en-US" w:eastAsia="zh-CN"/>
        </w:rPr>
        <w:t>12</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w:t>
      </w:r>
      <w:r>
        <w:rPr>
          <w:rFonts w:hint="eastAsia" w:ascii="仿宋" w:hAnsi="仿宋" w:eastAsia="仿宋" w:cs="仿宋"/>
          <w:kern w:val="2"/>
          <w:sz w:val="30"/>
          <w:szCs w:val="30"/>
          <w:lang w:val="en-US" w:eastAsia="zh-CN"/>
        </w:rPr>
        <w:t>11</w:t>
      </w:r>
      <w:r>
        <w:rPr>
          <w:rFonts w:hint="eastAsia" w:ascii="仿宋" w:hAnsi="仿宋" w:eastAsia="仿宋" w:cs="仿宋"/>
          <w:kern w:val="2"/>
          <w:sz w:val="30"/>
          <w:szCs w:val="30"/>
        </w:rPr>
        <w:t>月</w:t>
      </w:r>
      <w:r>
        <w:rPr>
          <w:rFonts w:hint="eastAsia" w:ascii="仿宋" w:hAnsi="仿宋" w:eastAsia="仿宋" w:cs="仿宋"/>
          <w:kern w:val="2"/>
          <w:sz w:val="30"/>
          <w:szCs w:val="30"/>
          <w:lang w:val="en-US" w:eastAsia="zh-CN"/>
        </w:rPr>
        <w:t>28</w:t>
      </w:r>
      <w:r>
        <w:rPr>
          <w:rFonts w:hint="eastAsia" w:ascii="仿宋" w:hAnsi="仿宋" w:eastAsia="仿宋" w:cs="仿宋"/>
          <w:kern w:val="2"/>
          <w:sz w:val="30"/>
          <w:szCs w:val="30"/>
        </w:rPr>
        <w:t xml:space="preserve">日  </w:t>
      </w:r>
      <w:r>
        <w:rPr>
          <w:rFonts w:hint="eastAsia" w:ascii="仿宋" w:hAnsi="仿宋" w:eastAsia="仿宋" w:cs="仿宋"/>
          <w:kern w:val="2"/>
          <w:sz w:val="30"/>
          <w:szCs w:val="30"/>
          <w:lang w:eastAsia="zh-CN"/>
        </w:rPr>
        <w:t>海口</w:t>
      </w:r>
      <w:r>
        <w:rPr>
          <w:rFonts w:hint="eastAsia" w:ascii="仿宋" w:hAnsi="仿宋" w:eastAsia="仿宋" w:cs="仿宋"/>
          <w:kern w:val="2"/>
          <w:sz w:val="30"/>
          <w:szCs w:val="30"/>
          <w:lang w:val="en-US" w:eastAsia="zh-CN"/>
        </w:rPr>
        <w:t>市</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24</w:t>
      </w:r>
      <w:r>
        <w:rPr>
          <w:rFonts w:hint="eastAsia" w:ascii="仿宋" w:hAnsi="仿宋" w:eastAsia="仿宋" w:cs="仿宋"/>
          <w:kern w:val="2"/>
          <w:sz w:val="30"/>
          <w:szCs w:val="30"/>
        </w:rPr>
        <w:t>日全天报到</w:t>
      </w:r>
      <w:r>
        <w:rPr>
          <w:rFonts w:hint="eastAsia" w:ascii="仿宋" w:hAnsi="仿宋" w:eastAsia="仿宋" w:cs="仿宋"/>
          <w:kern w:val="2"/>
          <w:sz w:val="30"/>
          <w:szCs w:val="30"/>
          <w:lang w:eastAsia="zh-CN"/>
        </w:rPr>
        <w:t>）</w:t>
      </w:r>
    </w:p>
    <w:p>
      <w:pPr>
        <w:spacing w:line="440" w:lineRule="exact"/>
        <w:ind w:firstLine="600" w:firstLineChars="200"/>
        <w:rPr>
          <w:rFonts w:hint="default" w:ascii="黑体" w:hAnsi="黑体" w:eastAsia="黑体" w:cs="黑体"/>
          <w:kern w:val="2"/>
          <w:sz w:val="32"/>
          <w:szCs w:val="32"/>
        </w:rPr>
      </w:pPr>
      <w:r>
        <w:rPr>
          <w:rFonts w:ascii="黑体" w:hAnsi="黑体" w:eastAsia="黑体" w:cs="黑体"/>
          <w:kern w:val="2"/>
          <w:sz w:val="30"/>
          <w:szCs w:val="30"/>
        </w:rPr>
        <w:t>七、相关事宜</w:t>
      </w:r>
    </w:p>
    <w:p>
      <w:pPr>
        <w:spacing w:line="440" w:lineRule="exact"/>
        <w:ind w:firstLine="600" w:firstLineChars="200"/>
        <w:rPr>
          <w:rFonts w:hint="default" w:ascii="仿宋" w:hAnsi="仿宋" w:eastAsia="仿宋"/>
          <w:color w:val="000000"/>
          <w:sz w:val="30"/>
          <w:szCs w:val="30"/>
        </w:rPr>
      </w:pPr>
      <w:r>
        <w:rPr>
          <w:rFonts w:ascii="楷体" w:hAnsi="楷体" w:eastAsia="楷体" w:cs="楷体"/>
          <w:bCs/>
          <w:color w:val="000000"/>
          <w:kern w:val="2"/>
          <w:sz w:val="30"/>
          <w:szCs w:val="30"/>
        </w:rPr>
        <w:t>（一）培训费用</w:t>
      </w:r>
    </w:p>
    <w:p>
      <w:pPr>
        <w:spacing w:line="440"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6800元/人（含培训费、资料费、场地费和会议期间午餐），住宿统一安排，费用自理。</w:t>
      </w:r>
    </w:p>
    <w:p>
      <w:pPr>
        <w:spacing w:line="440" w:lineRule="exact"/>
        <w:ind w:firstLine="600" w:firstLineChars="200"/>
        <w:rPr>
          <w:rFonts w:hint="default" w:ascii="仿宋" w:hAnsi="仿宋" w:eastAsia="仿宋"/>
          <w:color w:val="000000"/>
          <w:sz w:val="30"/>
          <w:szCs w:val="30"/>
        </w:rPr>
      </w:pPr>
      <w:r>
        <w:rPr>
          <w:rFonts w:ascii="楷体" w:hAnsi="楷体" w:eastAsia="楷体" w:cs="楷体"/>
          <w:bCs/>
          <w:color w:val="000000"/>
          <w:kern w:val="2"/>
          <w:sz w:val="30"/>
          <w:szCs w:val="30"/>
        </w:rPr>
        <w:t>（二）联系方式</w:t>
      </w:r>
    </w:p>
    <w:p>
      <w:pPr>
        <w:autoSpaceDE/>
        <w:autoSpaceDN/>
        <w:adjustRightInd/>
        <w:spacing w:line="360" w:lineRule="exact"/>
        <w:rPr>
          <w:rFonts w:hint="eastAsia" w:ascii="仿宋" w:hAnsi="仿宋" w:eastAsia="仿宋"/>
          <w:color w:val="000000"/>
          <w:sz w:val="30"/>
          <w:szCs w:val="30"/>
        </w:rPr>
      </w:pPr>
      <w:r>
        <w:rPr>
          <w:rFonts w:hint="eastAsia" w:ascii="仿宋" w:hAnsi="仿宋" w:eastAsia="仿宋"/>
          <w:color w:val="000000"/>
          <w:sz w:val="30"/>
          <w:szCs w:val="30"/>
        </w:rPr>
        <w:t xml:space="preserve">报名负责人：聂红军 主任18211071700（微信）   </w:t>
      </w:r>
    </w:p>
    <w:p>
      <w:pPr>
        <w:autoSpaceDE/>
        <w:autoSpaceDN/>
        <w:adjustRightInd/>
        <w:spacing w:line="360" w:lineRule="exact"/>
        <w:rPr>
          <w:rFonts w:hint="eastAsia" w:ascii="仿宋" w:hAnsi="仿宋" w:eastAsia="仿宋"/>
          <w:color w:val="000000"/>
          <w:sz w:val="30"/>
          <w:szCs w:val="30"/>
        </w:rPr>
      </w:pPr>
      <w:r>
        <w:rPr>
          <w:rFonts w:hint="eastAsia" w:ascii="仿宋" w:hAnsi="仿宋" w:eastAsia="仿宋"/>
          <w:color w:val="000000"/>
          <w:sz w:val="30"/>
          <w:szCs w:val="30"/>
        </w:rPr>
        <w:t xml:space="preserve">电  话：010-87697580      邮    箱：zqgphwz@126.com  </w:t>
      </w:r>
    </w:p>
    <w:p>
      <w:pPr>
        <w:autoSpaceDE/>
        <w:autoSpaceDN/>
        <w:adjustRightInd/>
        <w:spacing w:line="360" w:lineRule="exact"/>
        <w:rPr>
          <w:rFonts w:hint="default" w:ascii="黑体" w:hAnsi="黑体" w:eastAsia="黑体" w:cs="黑体"/>
          <w:bCs/>
          <w:color w:val="000000"/>
          <w:sz w:val="30"/>
          <w:szCs w:val="30"/>
        </w:rPr>
      </w:pPr>
      <w:r>
        <w:rPr>
          <w:rFonts w:hint="eastAsia" w:ascii="仿宋" w:hAnsi="仿宋" w:eastAsia="仿宋"/>
          <w:color w:val="000000"/>
          <w:sz w:val="30"/>
          <w:szCs w:val="30"/>
        </w:rPr>
        <w:t>qq咨询：3177524020    网址查询：http://www.zqgpchina.cn/</w:t>
      </w:r>
    </w:p>
    <w:p>
      <w:pPr>
        <w:autoSpaceDE/>
        <w:autoSpaceDN/>
        <w:adjustRightInd/>
        <w:spacing w:line="360" w:lineRule="exact"/>
        <w:ind w:firstLine="600" w:firstLineChars="200"/>
        <w:rPr>
          <w:rFonts w:hint="eastAsia" w:ascii="黑体" w:hAnsi="黑体" w:eastAsia="黑体" w:cs="黑体"/>
          <w:bCs/>
          <w:color w:val="000000"/>
          <w:sz w:val="30"/>
          <w:szCs w:val="30"/>
        </w:rPr>
      </w:pPr>
    </w:p>
    <w:p>
      <w:pPr>
        <w:autoSpaceDE/>
        <w:autoSpaceDN/>
        <w:adjustRightInd/>
        <w:spacing w:line="360" w:lineRule="exact"/>
        <w:ind w:firstLine="600" w:firstLineChars="200"/>
        <w:rPr>
          <w:rFonts w:hint="default" w:ascii="仿宋" w:hAnsi="仿宋" w:eastAsia="仿宋"/>
          <w:color w:val="000000"/>
          <w:sz w:val="30"/>
          <w:szCs w:val="30"/>
        </w:rPr>
      </w:pPr>
      <w:r>
        <w:rPr>
          <w:rFonts w:hint="eastAsia" w:ascii="黑体" w:hAnsi="黑体" w:eastAsia="黑体" w:cs="黑体"/>
          <w:bCs/>
          <w:color w:val="000000"/>
          <w:sz w:val="30"/>
          <w:szCs w:val="30"/>
        </w:rPr>
        <w:t>附件</w:t>
      </w:r>
      <w:r>
        <w:rPr>
          <w:rFonts w:ascii="仿宋" w:hAnsi="仿宋" w:eastAsia="仿宋" w:cs="黑体"/>
          <w:bCs/>
          <w:color w:val="000000"/>
          <w:sz w:val="30"/>
          <w:szCs w:val="30"/>
        </w:rPr>
        <w:t>：</w:t>
      </w:r>
      <w:r>
        <w:rPr>
          <w:rFonts w:ascii="仿宋" w:hAnsi="仿宋" w:eastAsia="仿宋"/>
          <w:color w:val="000000"/>
          <w:sz w:val="30"/>
          <w:szCs w:val="30"/>
        </w:rPr>
        <w:t>1.培训内容</w:t>
      </w:r>
    </w:p>
    <w:p>
      <w:pPr>
        <w:autoSpaceDE/>
        <w:autoSpaceDN/>
        <w:adjustRightInd/>
        <w:spacing w:line="390" w:lineRule="exact"/>
        <w:ind w:firstLine="600" w:firstLineChars="200"/>
        <w:rPr>
          <w:rFonts w:hint="eastAsia" w:ascii="仿宋" w:hAnsi="仿宋" w:eastAsia="仿宋"/>
          <w:color w:val="000000"/>
          <w:sz w:val="30"/>
          <w:szCs w:val="30"/>
          <w:lang w:eastAsia="zh-CN"/>
        </w:rPr>
      </w:pPr>
      <w:r>
        <w:rPr>
          <w:rFonts w:ascii="仿宋" w:hAnsi="仿宋" w:eastAsia="仿宋"/>
          <w:color w:val="000000"/>
          <w:sz w:val="30"/>
          <w:szCs w:val="30"/>
        </w:rPr>
        <w:t xml:space="preserve">      2.报名回执表</w:t>
      </w:r>
    </w:p>
    <w:p>
      <w:pPr>
        <w:widowControl/>
        <w:autoSpaceDE/>
        <w:autoSpaceDN/>
        <w:adjustRightInd/>
        <w:spacing w:line="320" w:lineRule="exact"/>
        <w:rPr>
          <w:rFonts w:hint="default" w:ascii="黑体" w:hAnsi="黑体" w:eastAsia="黑体" w:cs="黑体"/>
          <w:color w:val="000000"/>
          <w:sz w:val="28"/>
          <w:szCs w:val="28"/>
        </w:rPr>
      </w:pPr>
      <w:r>
        <w:rPr>
          <w:rFonts w:hint="eastAsia" w:ascii="仿宋" w:hAnsi="仿宋" w:eastAsia="仿宋"/>
          <w:color w:val="000000"/>
          <w:sz w:val="30"/>
          <w:szCs w:val="30"/>
          <w:lang w:eastAsia="zh-CN"/>
        </w:rPr>
        <w:drawing>
          <wp:anchor distT="0" distB="0" distL="114300" distR="114300" simplePos="0" relativeHeight="251659264" behindDoc="1" locked="0" layoutInCell="1" allowOverlap="1">
            <wp:simplePos x="0" y="0"/>
            <wp:positionH relativeFrom="column">
              <wp:posOffset>3181350</wp:posOffset>
            </wp:positionH>
            <wp:positionV relativeFrom="paragraph">
              <wp:posOffset>64770</wp:posOffset>
            </wp:positionV>
            <wp:extent cx="1771650" cy="1590675"/>
            <wp:effectExtent l="40640" t="45085" r="54610" b="59690"/>
            <wp:wrapNone/>
            <wp:docPr id="1" name="图片 1" descr="04cb74055747541eba1df4464ffdd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cb74055747541eba1df4464ffdd8a"/>
                    <pic:cNvPicPr>
                      <a:picLocks noChangeAspect="1"/>
                    </pic:cNvPicPr>
                  </pic:nvPicPr>
                  <pic:blipFill>
                    <a:blip r:embed="rId5"/>
                    <a:stretch>
                      <a:fillRect/>
                    </a:stretch>
                  </pic:blipFill>
                  <pic:spPr>
                    <a:xfrm rot="180000">
                      <a:off x="0" y="0"/>
                      <a:ext cx="1771650" cy="1590675"/>
                    </a:xfrm>
                    <a:prstGeom prst="rect">
                      <a:avLst/>
                    </a:prstGeom>
                  </pic:spPr>
                </pic:pic>
              </a:graphicData>
            </a:graphic>
          </wp:anchor>
        </w:drawing>
      </w:r>
    </w:p>
    <w:p>
      <w:pPr>
        <w:widowControl/>
        <w:autoSpaceDE/>
        <w:autoSpaceDN/>
        <w:adjustRightInd/>
        <w:spacing w:line="320" w:lineRule="exact"/>
        <w:rPr>
          <w:rFonts w:hint="default" w:ascii="黑体" w:hAnsi="黑体" w:eastAsia="黑体" w:cs="黑体"/>
          <w:color w:val="000000"/>
          <w:sz w:val="28"/>
          <w:szCs w:val="28"/>
        </w:rPr>
      </w:pPr>
    </w:p>
    <w:p>
      <w:pPr>
        <w:widowControl/>
        <w:autoSpaceDE/>
        <w:autoSpaceDN/>
        <w:adjustRightInd/>
        <w:spacing w:line="320" w:lineRule="exact"/>
        <w:rPr>
          <w:rFonts w:hint="default" w:ascii="黑体" w:hAnsi="黑体" w:eastAsia="黑体" w:cs="黑体"/>
          <w:color w:val="000000"/>
          <w:sz w:val="28"/>
          <w:szCs w:val="28"/>
        </w:rPr>
      </w:pPr>
    </w:p>
    <w:p>
      <w:pPr>
        <w:widowControl/>
        <w:autoSpaceDE/>
        <w:autoSpaceDN/>
        <w:adjustRightInd/>
        <w:spacing w:line="320" w:lineRule="exact"/>
        <w:rPr>
          <w:rFonts w:hint="default" w:ascii="黑体" w:hAnsi="黑体" w:eastAsia="黑体" w:cs="黑体"/>
          <w:color w:val="000000"/>
          <w:sz w:val="28"/>
          <w:szCs w:val="28"/>
        </w:rPr>
      </w:pPr>
    </w:p>
    <w:p>
      <w:pPr>
        <w:autoSpaceDE/>
        <w:autoSpaceDN/>
        <w:adjustRightInd/>
        <w:spacing w:line="390" w:lineRule="exact"/>
        <w:ind w:firstLine="600" w:firstLineChars="200"/>
        <w:jc w:val="right"/>
        <w:rPr>
          <w:rFonts w:hint="default" w:ascii="仿宋" w:hAnsi="仿宋" w:eastAsia="仿宋"/>
          <w:color w:val="000000"/>
          <w:sz w:val="30"/>
          <w:szCs w:val="30"/>
        </w:rPr>
      </w:pPr>
      <w:r>
        <w:rPr>
          <w:rFonts w:ascii="仿宋" w:hAnsi="仿宋" w:eastAsia="仿宋"/>
          <w:color w:val="000000"/>
          <w:sz w:val="30"/>
          <w:szCs w:val="30"/>
        </w:rPr>
        <w:t>中国投资协会项目投融资专业委员会</w:t>
      </w:r>
    </w:p>
    <w:p>
      <w:pPr>
        <w:autoSpaceDE/>
        <w:autoSpaceDN/>
        <w:adjustRightInd/>
        <w:spacing w:line="390"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 xml:space="preserve">                               2021年4月21日</w:t>
      </w:r>
    </w:p>
    <w:p>
      <w:pPr>
        <w:widowControl/>
        <w:autoSpaceDE/>
        <w:autoSpaceDN/>
        <w:adjustRightInd/>
        <w:spacing w:line="320" w:lineRule="exact"/>
        <w:rPr>
          <w:rFonts w:hint="default" w:ascii="黑体" w:hAnsi="黑体" w:eastAsia="黑体" w:cs="黑体"/>
          <w:color w:val="000000"/>
          <w:sz w:val="28"/>
          <w:szCs w:val="28"/>
        </w:rPr>
      </w:pPr>
    </w:p>
    <w:p>
      <w:pPr>
        <w:autoSpaceDE/>
        <w:autoSpaceDN/>
        <w:adjustRightInd/>
        <w:spacing w:line="390" w:lineRule="exact"/>
        <w:ind w:firstLine="4800" w:firstLineChars="1500"/>
        <w:rPr>
          <w:rFonts w:hint="default" w:ascii="仿宋" w:hAnsi="仿宋" w:eastAsia="仿宋"/>
          <w:color w:val="000000"/>
          <w:sz w:val="32"/>
          <w:szCs w:val="32"/>
        </w:rPr>
      </w:pPr>
    </w:p>
    <w:p>
      <w:pPr>
        <w:autoSpaceDE/>
        <w:autoSpaceDN/>
        <w:adjustRightInd/>
        <w:spacing w:line="328" w:lineRule="exact"/>
        <w:jc w:val="both"/>
        <w:rPr>
          <w:rFonts w:hint="default" w:ascii="仿宋" w:hAnsi="仿宋" w:eastAsia="仿宋" w:cs="仿宋"/>
          <w:b/>
          <w:bCs/>
          <w:kern w:val="2"/>
          <w:sz w:val="28"/>
          <w:szCs w:val="28"/>
          <w:lang w:bidi="zh-CN"/>
        </w:rPr>
      </w:pPr>
    </w:p>
    <w:p>
      <w:pPr>
        <w:autoSpaceDE/>
        <w:autoSpaceDN/>
        <w:adjustRightInd/>
        <w:spacing w:line="328" w:lineRule="exact"/>
        <w:jc w:val="both"/>
        <w:rPr>
          <w:rFonts w:hint="default" w:ascii="仿宋" w:hAnsi="仿宋" w:eastAsia="仿宋" w:cs="仿宋"/>
          <w:b/>
          <w:bCs/>
          <w:kern w:val="2"/>
          <w:sz w:val="28"/>
          <w:szCs w:val="28"/>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spacing w:line="328" w:lineRule="exact"/>
        <w:jc w:val="both"/>
        <w:rPr>
          <w:rFonts w:hint="default" w:ascii="仿宋" w:hAnsi="仿宋" w:eastAsia="仿宋" w:cs="仿宋"/>
          <w:b/>
          <w:bCs/>
          <w:kern w:val="2"/>
          <w:sz w:val="30"/>
          <w:szCs w:val="30"/>
          <w:lang w:bidi="zh-CN"/>
        </w:rPr>
      </w:pPr>
    </w:p>
    <w:p>
      <w:pPr>
        <w:autoSpaceDE/>
        <w:autoSpaceDN/>
        <w:adjustRightInd/>
        <w:jc w:val="both"/>
        <w:rPr>
          <w:rFonts w:hint="eastAsia" w:ascii="宋体" w:hAnsi="宋体" w:eastAsia="宋体" w:cs="宋体"/>
          <w:b/>
          <w:bCs w:val="0"/>
          <w:kern w:val="2"/>
          <w:sz w:val="30"/>
          <w:szCs w:val="30"/>
          <w:lang w:bidi="zh-CN"/>
        </w:rPr>
      </w:pPr>
    </w:p>
    <w:p>
      <w:pPr>
        <w:autoSpaceDE/>
        <w:autoSpaceDN/>
        <w:adjustRightInd/>
        <w:jc w:val="both"/>
        <w:rPr>
          <w:rFonts w:hint="eastAsia" w:ascii="宋体" w:hAnsi="宋体" w:eastAsia="宋体" w:cs="宋体"/>
          <w:b/>
          <w:bCs w:val="0"/>
          <w:kern w:val="2"/>
          <w:sz w:val="30"/>
          <w:szCs w:val="30"/>
          <w:lang w:bidi="zh-CN"/>
        </w:rPr>
      </w:pPr>
    </w:p>
    <w:p>
      <w:pPr>
        <w:autoSpaceDE/>
        <w:autoSpaceDN/>
        <w:adjustRightInd/>
        <w:jc w:val="both"/>
        <w:rPr>
          <w:rFonts w:hint="eastAsia" w:ascii="宋体" w:hAnsi="宋体" w:eastAsia="宋体" w:cs="宋体"/>
          <w:b/>
          <w:bCs w:val="0"/>
          <w:kern w:val="2"/>
          <w:sz w:val="30"/>
          <w:szCs w:val="30"/>
          <w:lang w:bidi="zh-CN"/>
        </w:rPr>
      </w:pPr>
    </w:p>
    <w:p>
      <w:pPr>
        <w:autoSpaceDE/>
        <w:autoSpaceDN/>
        <w:adjustRightInd/>
        <w:jc w:val="both"/>
        <w:rPr>
          <w:rFonts w:hint="eastAsia" w:ascii="宋体" w:hAnsi="宋体" w:eastAsia="宋体" w:cs="宋体"/>
          <w:b/>
          <w:bCs w:val="0"/>
          <w:kern w:val="2"/>
          <w:sz w:val="30"/>
          <w:szCs w:val="30"/>
          <w:lang w:bidi="zh-CN"/>
        </w:rPr>
      </w:pPr>
      <w:r>
        <w:rPr>
          <w:rFonts w:hint="eastAsia" w:ascii="宋体" w:hAnsi="宋体" w:eastAsia="宋体" w:cs="宋体"/>
          <w:b/>
          <w:bCs w:val="0"/>
          <w:kern w:val="2"/>
          <w:sz w:val="30"/>
          <w:szCs w:val="30"/>
          <w:lang w:bidi="zh-CN"/>
        </w:rPr>
        <w:t>附件: 1</w:t>
      </w:r>
    </w:p>
    <w:p>
      <w:pPr>
        <w:autoSpaceDE/>
        <w:autoSpaceDN/>
        <w:adjustRightInd/>
        <w:jc w:val="center"/>
        <w:rPr>
          <w:rFonts w:hint="default" w:cs="宋体"/>
          <w:b/>
          <w:bCs/>
          <w:kern w:val="2"/>
          <w:sz w:val="30"/>
          <w:szCs w:val="30"/>
          <w:lang w:bidi="zh-CN"/>
        </w:rPr>
      </w:pPr>
      <w:r>
        <w:rPr>
          <w:rFonts w:cs="宋体"/>
          <w:b/>
          <w:bCs/>
          <w:kern w:val="2"/>
          <w:sz w:val="30"/>
          <w:szCs w:val="30"/>
          <w:lang w:bidi="zh-CN"/>
        </w:rPr>
        <w:t>培 训 内 容</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一、</w:t>
      </w:r>
      <w:r>
        <w:rPr>
          <w:rFonts w:ascii="黑体" w:hAnsi="黑体" w:eastAsia="黑体" w:cs="黑体"/>
          <w:kern w:val="2"/>
          <w:sz w:val="28"/>
          <w:szCs w:val="28"/>
        </w:rPr>
        <w:t>增资扩股、股债结合与老股转让</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ascii="仿宋" w:hAnsi="仿宋" w:eastAsia="仿宋" w:cs="仿宋"/>
          <w:kern w:val="2"/>
          <w:sz w:val="28"/>
          <w:szCs w:val="28"/>
          <w:lang w:bidi="zh-CN"/>
        </w:rPr>
        <w:t>1.增资扩股、股债结合和老股转让</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ascii="仿宋" w:hAnsi="仿宋" w:eastAsia="仿宋" w:cs="仿宋"/>
          <w:kern w:val="2"/>
          <w:sz w:val="28"/>
          <w:szCs w:val="28"/>
          <w:lang w:bidi="zh-CN"/>
        </w:rPr>
        <w:t>2.</w:t>
      </w:r>
      <w:r>
        <w:rPr>
          <w:rFonts w:hint="default" w:ascii="仿宋" w:hAnsi="仿宋" w:eastAsia="仿宋" w:cs="仿宋"/>
          <w:kern w:val="2"/>
          <w:sz w:val="28"/>
          <w:szCs w:val="28"/>
          <w:lang w:bidi="zh-CN"/>
        </w:rPr>
        <w:t>股债结合</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ascii="仿宋" w:hAnsi="仿宋" w:eastAsia="仿宋" w:cs="仿宋"/>
          <w:kern w:val="2"/>
          <w:sz w:val="28"/>
          <w:szCs w:val="28"/>
          <w:lang w:bidi="zh-CN"/>
        </w:rPr>
        <w:t>3.老股转让</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ascii="仿宋" w:hAnsi="仿宋" w:eastAsia="仿宋" w:cs="仿宋"/>
          <w:kern w:val="2"/>
          <w:sz w:val="28"/>
          <w:szCs w:val="28"/>
          <w:lang w:bidi="zh-CN"/>
        </w:rPr>
        <w:t>4.</w:t>
      </w:r>
      <w:r>
        <w:rPr>
          <w:rFonts w:hint="default" w:ascii="仿宋" w:hAnsi="仿宋" w:eastAsia="仿宋" w:cs="仿宋"/>
          <w:kern w:val="2"/>
          <w:sz w:val="28"/>
          <w:szCs w:val="28"/>
          <w:lang w:bidi="zh-CN"/>
        </w:rPr>
        <w:t>收购、兼并、合并和资产置换</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二、股权激励方案设计基本要素</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1</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定人：如何确定激励对象</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2</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定量：如何确定激励数量</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3</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定价：如何确定授予价格</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4</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定条件：如何决定考核条件、退出条件</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5</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定时间：如何把握好各个时间点</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仿宋" w:hAnsi="仿宋" w:eastAsia="仿宋" w:cs="仿宋"/>
          <w:kern w:val="2"/>
          <w:sz w:val="28"/>
          <w:szCs w:val="28"/>
          <w:lang w:bidi="zh-CN"/>
        </w:rPr>
      </w:pPr>
      <w:r>
        <w:rPr>
          <w:rFonts w:hint="default" w:ascii="仿宋" w:hAnsi="仿宋" w:eastAsia="仿宋" w:cs="仿宋"/>
          <w:kern w:val="2"/>
          <w:sz w:val="28"/>
          <w:szCs w:val="28"/>
          <w:lang w:bidi="zh-CN"/>
        </w:rPr>
        <w:t>6</w:t>
      </w:r>
      <w:r>
        <w:rPr>
          <w:rFonts w:ascii="仿宋" w:hAnsi="仿宋" w:eastAsia="仿宋" w:cs="仿宋"/>
          <w:kern w:val="2"/>
          <w:sz w:val="28"/>
          <w:szCs w:val="28"/>
          <w:lang w:bidi="zh-CN"/>
        </w:rPr>
        <w:t>.</w:t>
      </w:r>
      <w:r>
        <w:rPr>
          <w:rFonts w:hint="default" w:ascii="仿宋" w:hAnsi="仿宋" w:eastAsia="仿宋" w:cs="仿宋"/>
          <w:kern w:val="2"/>
          <w:sz w:val="28"/>
          <w:szCs w:val="28"/>
          <w:lang w:bidi="zh-CN"/>
        </w:rPr>
        <w:t>定来源：股份来源、资金来源</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三、股权激励方案设计、落地实施操作流程</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w:t>
      </w:r>
      <w:r>
        <w:rPr>
          <w:rStyle w:val="11"/>
          <w:rFonts w:hint="default" w:ascii="仿宋" w:hAnsi="仿宋" w:eastAsia="仿宋" w:cs="仿宋"/>
          <w:b w:val="0"/>
          <w:bCs w:val="0"/>
          <w:color w:val="000000"/>
          <w:sz w:val="28"/>
          <w:szCs w:val="28"/>
        </w:rPr>
        <w:t>股权激励操作实施的几阶段</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w:t>
      </w:r>
      <w:r>
        <w:rPr>
          <w:rStyle w:val="11"/>
          <w:rFonts w:hint="default" w:ascii="仿宋" w:hAnsi="仿宋" w:eastAsia="仿宋" w:cs="仿宋"/>
          <w:b w:val="0"/>
          <w:bCs w:val="0"/>
          <w:color w:val="000000"/>
          <w:sz w:val="28"/>
          <w:szCs w:val="28"/>
        </w:rPr>
        <w:t>操作股权激励要做好哪些准备</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w:t>
      </w:r>
      <w:r>
        <w:rPr>
          <w:rStyle w:val="11"/>
          <w:rFonts w:hint="default" w:ascii="仿宋" w:hAnsi="仿宋" w:eastAsia="仿宋" w:cs="仿宋"/>
          <w:b w:val="0"/>
          <w:bCs w:val="0"/>
          <w:color w:val="000000"/>
          <w:sz w:val="28"/>
          <w:szCs w:val="28"/>
        </w:rPr>
        <w:t>调查与访谈的主要内容</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w:t>
      </w:r>
      <w:r>
        <w:rPr>
          <w:rStyle w:val="11"/>
          <w:rFonts w:hint="default" w:ascii="仿宋" w:hAnsi="仿宋" w:eastAsia="仿宋" w:cs="仿宋"/>
          <w:b w:val="0"/>
          <w:bCs w:val="0"/>
          <w:color w:val="000000"/>
          <w:sz w:val="28"/>
          <w:szCs w:val="28"/>
        </w:rPr>
        <w:t>股权激励方案设计要点</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w:t>
      </w:r>
      <w:r>
        <w:rPr>
          <w:rStyle w:val="11"/>
          <w:rFonts w:hint="default" w:ascii="仿宋" w:hAnsi="仿宋" w:eastAsia="仿宋" w:cs="仿宋"/>
          <w:b w:val="0"/>
          <w:bCs w:val="0"/>
          <w:color w:val="000000"/>
          <w:sz w:val="28"/>
          <w:szCs w:val="28"/>
        </w:rPr>
        <w:t>股权激励落地推进流程及方法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四、IPO审核要点把握及最新被否和通过案例分析</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1.仍应遵守IPO框架：五点原则（附案例解析）</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2.注册制审什么</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3.预披露文件内容与格式要求</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4.不可小视的信息披露文件</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5.最新被否案例分析及内核总结</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6.注册制下的问询及案例分析</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五、企业资本运营实务</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1.资本市场融资体制转变</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2.资本市场与企业成长</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3.资产证券化与融资创新</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4.企业间接上市与全流通并购</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六、上市前景分析与战略选择</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1.国内外资本市场新格局与IPO发展趋势</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2.企业上市决策与规划制定</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3.企业上市的地点、时机与方式的优化选择</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4.国内外主板和创业板上市战略</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5.上市之前与当中的财务审计与法律实务</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七、跨越多层次资本市场的并购实操和案例分析</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楷体" w:hAnsi="楷体" w:eastAsia="楷体" w:cs="楷体"/>
          <w:b w:val="0"/>
          <w:bCs w:val="0"/>
          <w:color w:val="000000"/>
          <w:sz w:val="28"/>
          <w:szCs w:val="28"/>
        </w:rPr>
      </w:pPr>
      <w:r>
        <w:rPr>
          <w:rStyle w:val="11"/>
          <w:rFonts w:ascii="楷体" w:hAnsi="楷体" w:eastAsia="楷体" w:cs="楷体"/>
          <w:b w:val="0"/>
          <w:bCs w:val="0"/>
          <w:color w:val="000000"/>
          <w:sz w:val="28"/>
          <w:szCs w:val="28"/>
        </w:rPr>
        <w:t>（一）多元化资本市场的区分与互联</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楷体" w:hAnsi="楷体" w:eastAsia="楷体" w:cs="楷体"/>
          <w:b w:val="0"/>
          <w:bCs w:val="0"/>
          <w:color w:val="000000"/>
          <w:sz w:val="28"/>
          <w:szCs w:val="28"/>
        </w:rPr>
      </w:pPr>
      <w:r>
        <w:rPr>
          <w:rStyle w:val="11"/>
          <w:rFonts w:ascii="楷体" w:hAnsi="楷体" w:eastAsia="楷体" w:cs="楷体"/>
          <w:b w:val="0"/>
          <w:bCs w:val="0"/>
          <w:color w:val="000000"/>
          <w:sz w:val="28"/>
          <w:szCs w:val="28"/>
        </w:rPr>
        <w:t>（二）资产流动的多种形式</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1.“大吃小”收购投资类</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2.“小吃大”反向收购借壳上市类</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楷体" w:hAnsi="楷体" w:eastAsia="楷体" w:cs="楷体"/>
          <w:b w:val="0"/>
          <w:bCs w:val="0"/>
          <w:color w:val="000000"/>
          <w:sz w:val="28"/>
          <w:szCs w:val="28"/>
        </w:rPr>
      </w:pPr>
      <w:r>
        <w:rPr>
          <w:rStyle w:val="11"/>
          <w:rFonts w:ascii="楷体" w:hAnsi="楷体" w:eastAsia="楷体" w:cs="楷体"/>
          <w:b w:val="0"/>
          <w:bCs w:val="0"/>
          <w:color w:val="000000"/>
          <w:sz w:val="28"/>
          <w:szCs w:val="28"/>
        </w:rPr>
        <w:t>（三）跨市场资产流动的监管框架</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1.资金端：多种支付手段的灵活应用</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2.资产端：不同市场估值的差异</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3.跨市场交易的风险控制与监管</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4.跨市场交易的信息披露与投资者关系</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楷体" w:hAnsi="楷体" w:eastAsia="楷体" w:cs="楷体"/>
          <w:b w:val="0"/>
          <w:bCs w:val="0"/>
          <w:color w:val="000000"/>
          <w:sz w:val="28"/>
          <w:szCs w:val="28"/>
        </w:rPr>
      </w:pPr>
      <w:r>
        <w:rPr>
          <w:rStyle w:val="11"/>
          <w:rFonts w:ascii="楷体" w:hAnsi="楷体" w:eastAsia="楷体" w:cs="楷体"/>
          <w:b w:val="0"/>
          <w:bCs w:val="0"/>
          <w:color w:val="000000"/>
          <w:sz w:val="28"/>
          <w:szCs w:val="28"/>
        </w:rPr>
        <w:t>（四）混改：民营经济的机会</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1.进入传统国资为主的领域</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 2.借力国资获得战略资源</w:t>
      </w:r>
    </w:p>
    <w:p>
      <w:pPr>
        <w:keepNext w:val="0"/>
        <w:keepLines w:val="0"/>
        <w:pageBreakBefore w:val="0"/>
        <w:widowControl/>
        <w:kinsoku/>
        <w:wordWrap/>
        <w:overflowPunct/>
        <w:topLinePunct w:val="0"/>
        <w:autoSpaceDE/>
        <w:autoSpaceDN/>
        <w:bidi w:val="0"/>
        <w:snapToGrid/>
        <w:spacing w:line="280" w:lineRule="exact"/>
        <w:jc w:val="both"/>
        <w:textAlignment w:val="auto"/>
        <w:rPr>
          <w:rStyle w:val="11"/>
          <w:rFonts w:hint="default" w:ascii="楷体" w:hAnsi="楷体" w:eastAsia="楷体" w:cs="楷体"/>
          <w:b w:val="0"/>
          <w:bCs w:val="0"/>
          <w:color w:val="000000"/>
          <w:sz w:val="28"/>
          <w:szCs w:val="28"/>
        </w:rPr>
      </w:pPr>
      <w:r>
        <w:rPr>
          <w:rStyle w:val="11"/>
          <w:rFonts w:ascii="楷体" w:hAnsi="楷体" w:eastAsia="楷体" w:cs="楷体"/>
          <w:b w:val="0"/>
          <w:bCs w:val="0"/>
          <w:color w:val="000000"/>
          <w:sz w:val="28"/>
          <w:szCs w:val="28"/>
        </w:rPr>
        <w:t>（五）相关案例与规则解读</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八、公司再造与顶层结构设置</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1.产权制度和企业法人治理结构</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2.治理中的激励与约束机制</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3.公司治理与企业文化</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4.国内外公司治理案例分析与研究</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5.企业流程重塑与管理讨论</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九、创新资本模式分析</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1.传统金融借助互联网渠道</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2.电商平台金融</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3.交互式营销理念下的互联网金融平台</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4.供应链金融与互联网金融的融合</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十、与上市相关的企业资本运作</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1.如何做好上市前风险投资的引入</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2.上市决策与规划制定</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3.确定募资前的股权定价与权益分配</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4.如何控制资本筹措的成本</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十一、商业模式设计与创新</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1.打造经典商业模式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2.产品模式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3.盈利模式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4.营销模式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5.融资模式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6.产业链模式</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7.信息化模式</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十二、上市企业再融资创新</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1.再融资创新与资本战略</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2.上市公司再融资私募化</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3.上市公司再融资过程中的重要审核</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4.融资成本对股权融资的影响</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5.公司治理结构对融资的影响</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6.考核制度对股权融资偏好的影响</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十三、上市的路径选择实务及案例</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1.注册制后科创板与创业板的上市机会</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2.境外上市、红筹回归上市实务和案例分析</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3.境内外多交易所上市实务和案例分析</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4.分拆上市的实操运用和案例分析</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5.精选层转板上市的实操运用和案例探讨</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黑体" w:hAnsi="黑体" w:eastAsia="黑体" w:cs="黑体"/>
          <w:b w:val="0"/>
          <w:bCs w:val="0"/>
          <w:color w:val="000000"/>
          <w:sz w:val="28"/>
          <w:szCs w:val="28"/>
        </w:rPr>
      </w:pPr>
      <w:r>
        <w:rPr>
          <w:rStyle w:val="11"/>
          <w:rFonts w:ascii="仿宋" w:hAnsi="仿宋" w:eastAsia="仿宋" w:cs="仿宋"/>
          <w:b w:val="0"/>
          <w:bCs w:val="0"/>
          <w:color w:val="000000"/>
          <w:sz w:val="28"/>
          <w:szCs w:val="28"/>
        </w:rPr>
        <w:t>6.借壳上市的实操运用和案例分析</w:t>
      </w:r>
    </w:p>
    <w:p>
      <w:pPr>
        <w:keepNext w:val="0"/>
        <w:keepLines w:val="0"/>
        <w:pageBreakBefore w:val="0"/>
        <w:kinsoku/>
        <w:wordWrap/>
        <w:overflowPunct/>
        <w:topLinePunct w:val="0"/>
        <w:autoSpaceDE/>
        <w:autoSpaceDN/>
        <w:bidi w:val="0"/>
        <w:adjustRightInd/>
        <w:snapToGrid/>
        <w:spacing w:line="280" w:lineRule="exact"/>
        <w:ind w:firstLine="280" w:firstLineChars="100"/>
        <w:jc w:val="both"/>
        <w:textAlignment w:val="auto"/>
        <w:rPr>
          <w:rFonts w:hint="default" w:ascii="黑体" w:hAnsi="黑体" w:eastAsia="黑体" w:cs="黑体"/>
          <w:kern w:val="2"/>
          <w:sz w:val="28"/>
          <w:szCs w:val="28"/>
          <w:lang w:bidi="zh-CN"/>
        </w:rPr>
      </w:pPr>
      <w:r>
        <w:rPr>
          <w:rFonts w:ascii="黑体" w:hAnsi="黑体" w:eastAsia="黑体" w:cs="黑体"/>
          <w:kern w:val="2"/>
          <w:sz w:val="28"/>
          <w:szCs w:val="28"/>
          <w:lang w:bidi="zh-CN"/>
        </w:rPr>
        <w:t>十四、并购基金的设立与运作</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1.并购基金的含义及特点</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2.并购基金的运作流程</w:t>
      </w:r>
    </w:p>
    <w:p>
      <w:pPr>
        <w:keepNext w:val="0"/>
        <w:keepLines w:val="0"/>
        <w:pageBreakBefore w:val="0"/>
        <w:widowControl/>
        <w:kinsoku/>
        <w:wordWrap/>
        <w:overflowPunct/>
        <w:topLinePunct w:val="0"/>
        <w:autoSpaceDE/>
        <w:autoSpaceDN/>
        <w:bidi w:val="0"/>
        <w:snapToGrid/>
        <w:spacing w:line="280" w:lineRule="exact"/>
        <w:ind w:firstLine="280" w:firstLineChars="100"/>
        <w:jc w:val="both"/>
        <w:textAlignment w:val="auto"/>
        <w:rPr>
          <w:rStyle w:val="11"/>
          <w:rFonts w:hint="default" w:ascii="仿宋" w:hAnsi="仿宋" w:eastAsia="仿宋" w:cs="仿宋"/>
          <w:b w:val="0"/>
          <w:bCs w:val="0"/>
          <w:color w:val="000000"/>
          <w:sz w:val="28"/>
          <w:szCs w:val="28"/>
        </w:rPr>
      </w:pPr>
      <w:r>
        <w:rPr>
          <w:rStyle w:val="11"/>
          <w:rFonts w:ascii="仿宋" w:hAnsi="仿宋" w:eastAsia="仿宋" w:cs="仿宋"/>
          <w:b w:val="0"/>
          <w:bCs w:val="0"/>
          <w:color w:val="000000"/>
          <w:sz w:val="28"/>
          <w:szCs w:val="28"/>
        </w:rPr>
        <w:t>3.并购基金盈利模式</w:t>
      </w:r>
    </w:p>
    <w:p>
      <w:pPr>
        <w:widowControl/>
        <w:autoSpaceDE/>
        <w:autoSpaceDN/>
        <w:spacing w:line="360" w:lineRule="exact"/>
        <w:rPr>
          <w:rStyle w:val="11"/>
          <w:rFonts w:hint="eastAsia" w:ascii="宋体" w:hAnsi="宋体" w:eastAsia="宋体" w:cs="宋体"/>
          <w:b/>
          <w:bCs/>
          <w:color w:val="000000"/>
          <w:sz w:val="30"/>
          <w:szCs w:val="30"/>
        </w:rPr>
      </w:pPr>
      <w:r>
        <w:rPr>
          <w:rStyle w:val="11"/>
          <w:rFonts w:hint="eastAsia" w:ascii="宋体" w:hAnsi="宋体" w:eastAsia="宋体" w:cs="宋体"/>
          <w:b/>
          <w:bCs/>
          <w:color w:val="000000"/>
          <w:sz w:val="30"/>
          <w:szCs w:val="30"/>
        </w:rPr>
        <w:t>附件：2</w:t>
      </w:r>
    </w:p>
    <w:p>
      <w:pPr>
        <w:widowControl/>
        <w:autoSpaceDE/>
        <w:autoSpaceDN/>
        <w:spacing w:line="360" w:lineRule="exact"/>
        <w:jc w:val="center"/>
        <w:rPr>
          <w:rStyle w:val="11"/>
          <w:rFonts w:cs="黑体"/>
          <w:bCs w:val="0"/>
          <w:color w:val="000000"/>
          <w:sz w:val="28"/>
          <w:szCs w:val="28"/>
        </w:rPr>
      </w:pPr>
      <w:r>
        <w:rPr>
          <w:rStyle w:val="11"/>
          <w:rFonts w:cs="黑体"/>
          <w:bCs w:val="0"/>
          <w:color w:val="000000"/>
          <w:sz w:val="28"/>
          <w:szCs w:val="28"/>
        </w:rPr>
        <w:t xml:space="preserve">全面注册制背景下资本运作 股权激励 </w:t>
      </w:r>
    </w:p>
    <w:p>
      <w:pPr>
        <w:widowControl/>
        <w:autoSpaceDE/>
        <w:autoSpaceDN/>
        <w:spacing w:line="360" w:lineRule="exact"/>
        <w:jc w:val="center"/>
        <w:rPr>
          <w:rStyle w:val="11"/>
          <w:rFonts w:hint="default" w:cs="黑体"/>
          <w:bCs w:val="0"/>
          <w:color w:val="000000"/>
          <w:sz w:val="28"/>
          <w:szCs w:val="28"/>
        </w:rPr>
      </w:pPr>
      <w:r>
        <w:rPr>
          <w:rStyle w:val="11"/>
          <w:rFonts w:cs="黑体"/>
          <w:bCs w:val="0"/>
          <w:color w:val="000000"/>
          <w:sz w:val="28"/>
          <w:szCs w:val="28"/>
        </w:rPr>
        <w:t>IPO上市与投融资模式创新实务培训班报名回执表</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49"/>
        <w:gridCol w:w="1282"/>
        <w:gridCol w:w="1984"/>
        <w:gridCol w:w="157"/>
        <w:gridCol w:w="893"/>
        <w:gridCol w:w="103"/>
        <w:gridCol w:w="541"/>
        <w:gridCol w:w="2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单位名称</w:t>
            </w:r>
          </w:p>
        </w:tc>
        <w:tc>
          <w:tcPr>
            <w:tcW w:w="5165"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p>
        </w:tc>
        <w:tc>
          <w:tcPr>
            <w:tcW w:w="644"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r>
              <w:rPr>
                <w:rFonts w:ascii="仿宋_GB2312" w:hAnsi="Times New Roman" w:eastAsia="仿宋_GB2312"/>
                <w:kern w:val="2"/>
                <w:szCs w:val="22"/>
              </w:rPr>
              <w:t>邮编</w:t>
            </w:r>
          </w:p>
        </w:tc>
        <w:tc>
          <w:tcPr>
            <w:tcW w:w="1533" w:type="dxa"/>
            <w:gridSpan w:val="2"/>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单位地址</w:t>
            </w:r>
          </w:p>
        </w:tc>
        <w:tc>
          <w:tcPr>
            <w:tcW w:w="7342" w:type="dxa"/>
            <w:gridSpan w:val="9"/>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联系人</w:t>
            </w:r>
          </w:p>
        </w:tc>
        <w:tc>
          <w:tcPr>
            <w:tcW w:w="2131" w:type="dxa"/>
            <w:gridSpan w:val="2"/>
            <w:vAlign w:val="center"/>
          </w:tcPr>
          <w:p>
            <w:pPr>
              <w:autoSpaceDE/>
              <w:autoSpaceDN/>
              <w:adjustRightInd/>
              <w:spacing w:line="360" w:lineRule="exact"/>
              <w:ind w:right="-168" w:rightChars="-70" w:firstLine="960"/>
              <w:jc w:val="both"/>
              <w:rPr>
                <w:rFonts w:hint="default" w:ascii="仿宋_GB2312" w:hAnsi="Times New Roman" w:eastAsia="仿宋_GB2312"/>
                <w:kern w:val="2"/>
                <w:szCs w:val="22"/>
              </w:rPr>
            </w:pPr>
          </w:p>
        </w:tc>
        <w:tc>
          <w:tcPr>
            <w:tcW w:w="3034" w:type="dxa"/>
            <w:gridSpan w:val="3"/>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部门职务</w:t>
            </w:r>
          </w:p>
        </w:tc>
        <w:tc>
          <w:tcPr>
            <w:tcW w:w="2177" w:type="dxa"/>
            <w:gridSpan w:val="4"/>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办公电话</w:t>
            </w:r>
          </w:p>
        </w:tc>
        <w:tc>
          <w:tcPr>
            <w:tcW w:w="2131"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3034" w:type="dxa"/>
            <w:gridSpan w:val="3"/>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    机</w:t>
            </w:r>
          </w:p>
        </w:tc>
        <w:tc>
          <w:tcPr>
            <w:tcW w:w="2177" w:type="dxa"/>
            <w:gridSpan w:val="4"/>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传   真</w:t>
            </w:r>
          </w:p>
        </w:tc>
        <w:tc>
          <w:tcPr>
            <w:tcW w:w="2131" w:type="dxa"/>
            <w:gridSpan w:val="2"/>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3034" w:type="dxa"/>
            <w:gridSpan w:val="3"/>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电子信箱</w:t>
            </w:r>
          </w:p>
        </w:tc>
        <w:tc>
          <w:tcPr>
            <w:tcW w:w="2177" w:type="dxa"/>
            <w:gridSpan w:val="4"/>
            <w:vAlign w:val="center"/>
          </w:tcPr>
          <w:p>
            <w:pPr>
              <w:autoSpaceDE/>
              <w:autoSpaceDN/>
              <w:adjustRightInd/>
              <w:spacing w:line="360" w:lineRule="exact"/>
              <w:ind w:right="-168" w:rightChars="-70" w:firstLine="96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9"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参加培训人员</w:t>
            </w:r>
          </w:p>
        </w:tc>
        <w:tc>
          <w:tcPr>
            <w:tcW w:w="849"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性别</w:t>
            </w:r>
          </w:p>
        </w:tc>
        <w:tc>
          <w:tcPr>
            <w:tcW w:w="1282"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职务</w:t>
            </w:r>
          </w:p>
        </w:tc>
        <w:tc>
          <w:tcPr>
            <w:tcW w:w="1984"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电话</w:t>
            </w:r>
          </w:p>
        </w:tc>
        <w:tc>
          <w:tcPr>
            <w:tcW w:w="1985" w:type="dxa"/>
            <w:gridSpan w:val="5"/>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手机</w:t>
            </w:r>
          </w:p>
        </w:tc>
        <w:tc>
          <w:tcPr>
            <w:tcW w:w="1242"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trPr>
        <w:tc>
          <w:tcPr>
            <w:tcW w:w="1555"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849"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8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4"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985" w:type="dxa"/>
            <w:gridSpan w:val="5"/>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c>
          <w:tcPr>
            <w:tcW w:w="1242" w:type="dxa"/>
            <w:vAlign w:val="center"/>
          </w:tcPr>
          <w:p>
            <w:pPr>
              <w:autoSpaceDE/>
              <w:autoSpaceDN/>
              <w:adjustRightInd/>
              <w:spacing w:line="360" w:lineRule="exact"/>
              <w:ind w:right="-168" w:rightChars="-70"/>
              <w:jc w:val="both"/>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是否住宿</w:t>
            </w:r>
          </w:p>
        </w:tc>
        <w:tc>
          <w:tcPr>
            <w:tcW w:w="2131" w:type="dxa"/>
            <w:gridSpan w:val="2"/>
            <w:vAlign w:val="center"/>
          </w:tcPr>
          <w:p>
            <w:pPr>
              <w:widowControl/>
              <w:autoSpaceDE/>
              <w:autoSpaceDN/>
              <w:adjustRightInd/>
              <w:spacing w:line="360" w:lineRule="exact"/>
              <w:ind w:right="-168" w:rightChars="-70"/>
              <w:jc w:val="both"/>
              <w:rPr>
                <w:rFonts w:hint="default" w:ascii="仿宋_GB2312" w:hAnsi="Times New Roman" w:eastAsia="仿宋_GB2312"/>
                <w:kern w:val="2"/>
                <w:szCs w:val="22"/>
              </w:rPr>
            </w:pPr>
            <w:r>
              <w:rPr>
                <w:rFonts w:ascii="仿宋_GB2312" w:hAnsi="Times New Roman" w:eastAsia="仿宋_GB2312"/>
                <w:kern w:val="2"/>
                <w:szCs w:val="22"/>
              </w:rPr>
              <w:t>□是     □否</w:t>
            </w:r>
          </w:p>
        </w:tc>
        <w:tc>
          <w:tcPr>
            <w:tcW w:w="1984" w:type="dxa"/>
            <w:vAlign w:val="center"/>
          </w:tcPr>
          <w:p>
            <w:pPr>
              <w:widowControl/>
              <w:autoSpaceDE/>
              <w:autoSpaceDN/>
              <w:adjustRightInd/>
              <w:spacing w:line="360" w:lineRule="exact"/>
              <w:ind w:right="-168" w:rightChars="-70" w:firstLine="240" w:firstLineChars="100"/>
              <w:jc w:val="both"/>
              <w:rPr>
                <w:rFonts w:hint="default" w:ascii="仿宋_GB2312" w:hAnsi="Times New Roman" w:eastAsia="仿宋_GB2312"/>
                <w:kern w:val="2"/>
                <w:szCs w:val="22"/>
              </w:rPr>
            </w:pPr>
            <w:r>
              <w:rPr>
                <w:rFonts w:ascii="仿宋_GB2312" w:hAnsi="Times New Roman" w:eastAsia="仿宋_GB2312"/>
                <w:kern w:val="2"/>
                <w:szCs w:val="22"/>
              </w:rPr>
              <w:t>住宿标准</w:t>
            </w:r>
          </w:p>
        </w:tc>
        <w:tc>
          <w:tcPr>
            <w:tcW w:w="3227" w:type="dxa"/>
            <w:gridSpan w:val="6"/>
          </w:tcPr>
          <w:p>
            <w:pPr>
              <w:widowControl/>
              <w:autoSpaceDE/>
              <w:autoSpaceDN/>
              <w:adjustRightInd/>
              <w:spacing w:line="360" w:lineRule="exact"/>
              <w:ind w:right="-168" w:rightChars="-70" w:firstLine="120" w:firstLineChars="50"/>
              <w:jc w:val="both"/>
              <w:rPr>
                <w:rFonts w:hint="default" w:ascii="仿宋_GB2312" w:hAnsi="Times New Roman" w:eastAsia="仿宋_GB2312"/>
                <w:kern w:val="2"/>
                <w:szCs w:val="22"/>
              </w:rPr>
            </w:pPr>
            <w:r>
              <w:rPr>
                <w:rFonts w:ascii="仿宋_GB2312" w:hAnsi="Times New Roman" w:eastAsia="仿宋_GB2312"/>
                <w:kern w:val="2"/>
                <w:szCs w:val="22"/>
              </w:rPr>
              <w:t>□单住(需另补床位费)</w:t>
            </w:r>
          </w:p>
          <w:p>
            <w:pPr>
              <w:widowControl/>
              <w:autoSpaceDE/>
              <w:autoSpaceDN/>
              <w:adjustRightInd/>
              <w:spacing w:line="360" w:lineRule="exact"/>
              <w:ind w:right="-168" w:rightChars="-70"/>
              <w:jc w:val="both"/>
              <w:rPr>
                <w:rFonts w:hint="default" w:ascii="Times New Roman" w:hAnsi="Times New Roman"/>
                <w:kern w:val="2"/>
                <w:sz w:val="21"/>
                <w:szCs w:val="22"/>
              </w:rPr>
            </w:pPr>
            <w:r>
              <w:rPr>
                <w:rFonts w:ascii="仿宋_GB2312" w:hAnsi="Times New Roman" w:eastAsia="仿宋_GB2312"/>
                <w:kern w:val="2"/>
                <w:szCs w:val="22"/>
              </w:rPr>
              <w:t xml:space="preserve">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参会地点</w:t>
            </w:r>
          </w:p>
        </w:tc>
        <w:tc>
          <w:tcPr>
            <w:tcW w:w="7342" w:type="dxa"/>
            <w:gridSpan w:val="9"/>
            <w:vAlign w:val="center"/>
          </w:tcPr>
          <w:p>
            <w:pPr>
              <w:autoSpaceDE/>
              <w:autoSpaceDN/>
              <w:adjustRightInd/>
              <w:spacing w:line="360" w:lineRule="exact"/>
              <w:ind w:right="-168" w:rightChars="-70" w:firstLine="240" w:firstLineChars="100"/>
              <w:rPr>
                <w:rFonts w:hint="default" w:ascii="仿宋_GB2312" w:hAnsi="Times New Roman" w:eastAsia="仿宋_GB2312"/>
                <w:color w:val="FF0000"/>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555" w:type="dxa"/>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付款方式</w:t>
            </w:r>
          </w:p>
        </w:tc>
        <w:tc>
          <w:tcPr>
            <w:tcW w:w="4272" w:type="dxa"/>
            <w:gridSpan w:val="4"/>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 xml:space="preserve">□银行     □网银 </w:t>
            </w:r>
          </w:p>
        </w:tc>
        <w:tc>
          <w:tcPr>
            <w:tcW w:w="996" w:type="dxa"/>
            <w:gridSpan w:val="2"/>
          </w:tcPr>
          <w:p>
            <w:pPr>
              <w:widowControl/>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kern w:val="2"/>
                <w:szCs w:val="22"/>
              </w:rPr>
              <w:t>金额</w:t>
            </w:r>
          </w:p>
        </w:tc>
        <w:tc>
          <w:tcPr>
            <w:tcW w:w="2074" w:type="dxa"/>
            <w:gridSpan w:val="3"/>
          </w:tcPr>
          <w:p>
            <w:pPr>
              <w:widowControl/>
              <w:autoSpaceDE/>
              <w:autoSpaceDN/>
              <w:adjustRightInd/>
              <w:spacing w:line="360" w:lineRule="exact"/>
              <w:ind w:right="-168" w:rightChars="-70"/>
              <w:jc w:val="center"/>
              <w:rPr>
                <w:rFonts w:hint="default" w:ascii="仿宋_GB2312" w:hAnsi="Times New Roman" w:eastAsia="仿宋_GB2312"/>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555" w:type="dxa"/>
          </w:tcPr>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需要与专家</w:t>
            </w:r>
          </w:p>
          <w:p>
            <w:pPr>
              <w:autoSpaceDE/>
              <w:autoSpaceDN/>
              <w:adjustRightInd/>
              <w:spacing w:line="360" w:lineRule="exact"/>
              <w:ind w:right="-168" w:rightChars="-70"/>
              <w:jc w:val="center"/>
              <w:rPr>
                <w:rFonts w:hint="default" w:ascii="仿宋_GB2312" w:hAnsi="Times New Roman" w:eastAsia="仿宋_GB2312"/>
                <w:bCs/>
                <w:kern w:val="2"/>
                <w:szCs w:val="22"/>
              </w:rPr>
            </w:pPr>
            <w:r>
              <w:rPr>
                <w:rFonts w:ascii="仿宋_GB2312" w:hAnsi="Times New Roman" w:eastAsia="仿宋_GB2312"/>
                <w:bCs/>
                <w:kern w:val="2"/>
                <w:szCs w:val="22"/>
              </w:rPr>
              <w:t>沟通的问题</w:t>
            </w:r>
          </w:p>
        </w:tc>
        <w:tc>
          <w:tcPr>
            <w:tcW w:w="7342" w:type="dxa"/>
            <w:gridSpan w:val="9"/>
          </w:tcPr>
          <w:p>
            <w:pPr>
              <w:widowControl/>
              <w:autoSpaceDE/>
              <w:autoSpaceDN/>
              <w:adjustRightInd/>
              <w:spacing w:line="360" w:lineRule="exact"/>
              <w:ind w:right="-168" w:rightChars="-70"/>
              <w:jc w:val="center"/>
              <w:rPr>
                <w:rFonts w:hint="default" w:ascii="仿宋_GB2312" w:hAnsi="Times New Roman" w:eastAsia="仿宋_GB2312"/>
                <w:kern w:val="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kern w:val="2"/>
                <w:szCs w:val="22"/>
              </w:rPr>
            </w:pPr>
            <w:r>
              <w:rPr>
                <w:rFonts w:ascii="仿宋_GB2312" w:hAnsi="Times New Roman" w:eastAsia="仿宋_GB2312"/>
                <w:bCs/>
                <w:kern w:val="2"/>
                <w:szCs w:val="22"/>
              </w:rPr>
              <w:t>收款账户</w:t>
            </w:r>
          </w:p>
        </w:tc>
        <w:tc>
          <w:tcPr>
            <w:tcW w:w="7342" w:type="dxa"/>
            <w:gridSpan w:val="9"/>
            <w:vAlign w:val="center"/>
          </w:tcPr>
          <w:p>
            <w:pPr>
              <w:autoSpaceDE/>
              <w:autoSpaceDN/>
              <w:adjustRightInd/>
              <w:spacing w:line="360" w:lineRule="exact"/>
              <w:ind w:right="-168" w:rightChars="-70"/>
              <w:rPr>
                <w:rStyle w:val="11"/>
                <w:rFonts w:ascii="仿宋" w:hAnsi="仿宋" w:eastAsia="仿宋" w:cs="仿宋"/>
                <w:b w:val="0"/>
                <w:bCs w:val="0"/>
                <w:color w:val="000000"/>
                <w:szCs w:val="24"/>
                <w:lang w:val="zh-CN"/>
              </w:rPr>
            </w:pPr>
            <w:r>
              <w:rPr>
                <w:rStyle w:val="11"/>
                <w:rFonts w:hint="eastAsia" w:ascii="仿宋" w:hAnsi="仿宋" w:eastAsia="仿宋" w:cs="仿宋"/>
                <w:b w:val="0"/>
                <w:bCs w:val="0"/>
                <w:color w:val="000000"/>
                <w:szCs w:val="24"/>
                <w:lang w:val="zh-CN"/>
              </w:rPr>
              <w:t>单位全称:</w:t>
            </w:r>
            <w:r>
              <w:rPr>
                <w:rStyle w:val="11"/>
                <w:rFonts w:hint="eastAsia" w:ascii="仿宋" w:hAnsi="仿宋" w:eastAsia="仿宋" w:cs="仿宋"/>
                <w:b w:val="0"/>
                <w:bCs w:val="0"/>
                <w:color w:val="000000"/>
                <w:szCs w:val="24"/>
                <w:lang w:val="zh-CN"/>
              </w:rPr>
              <w:tab/>
            </w:r>
            <w:r>
              <w:rPr>
                <w:rStyle w:val="11"/>
                <w:rFonts w:hint="eastAsia" w:ascii="仿宋" w:hAnsi="仿宋" w:eastAsia="仿宋" w:cs="仿宋"/>
                <w:b w:val="0"/>
                <w:bCs w:val="0"/>
                <w:color w:val="000000"/>
                <w:szCs w:val="24"/>
                <w:lang w:val="zh-CN"/>
              </w:rPr>
              <w:t>北京</w:t>
            </w:r>
            <w:r>
              <w:rPr>
                <w:rStyle w:val="11"/>
                <w:rFonts w:hint="eastAsia" w:ascii="仿宋" w:hAnsi="仿宋" w:eastAsia="仿宋" w:cs="仿宋"/>
                <w:b w:val="0"/>
                <w:bCs w:val="0"/>
                <w:color w:val="000000"/>
                <w:szCs w:val="24"/>
                <w:lang w:val="zh-CN" w:eastAsia="zh-CN"/>
              </w:rPr>
              <w:t>中科领航教育咨询有限公司</w:t>
            </w:r>
          </w:p>
          <w:p>
            <w:pPr>
              <w:autoSpaceDE/>
              <w:autoSpaceDN/>
              <w:adjustRightInd/>
              <w:spacing w:line="360" w:lineRule="exact"/>
              <w:ind w:right="-168" w:rightChars="-70"/>
              <w:rPr>
                <w:rStyle w:val="11"/>
                <w:rFonts w:ascii="仿宋" w:hAnsi="仿宋" w:eastAsia="仿宋" w:cs="仿宋"/>
                <w:b w:val="0"/>
                <w:bCs w:val="0"/>
                <w:color w:val="000000"/>
                <w:szCs w:val="24"/>
                <w:lang w:val="zh-CN"/>
              </w:rPr>
            </w:pPr>
            <w:r>
              <w:rPr>
                <w:rStyle w:val="11"/>
                <w:rFonts w:hint="eastAsia" w:ascii="仿宋" w:hAnsi="仿宋" w:eastAsia="仿宋" w:cs="仿宋"/>
                <w:b w:val="0"/>
                <w:bCs w:val="0"/>
                <w:color w:val="000000"/>
                <w:szCs w:val="24"/>
                <w:lang w:val="zh-CN"/>
              </w:rPr>
              <w:t>开 户 行：</w:t>
            </w:r>
            <w:r>
              <w:rPr>
                <w:rStyle w:val="11"/>
                <w:rFonts w:hint="eastAsia" w:ascii="仿宋" w:hAnsi="仿宋" w:eastAsia="仿宋" w:cs="仿宋"/>
                <w:b w:val="0"/>
                <w:bCs w:val="0"/>
                <w:color w:val="000000"/>
                <w:szCs w:val="24"/>
                <w:lang w:val="zh-CN"/>
              </w:rPr>
              <w:tab/>
            </w:r>
            <w:r>
              <w:rPr>
                <w:rStyle w:val="11"/>
                <w:rFonts w:hint="eastAsia" w:ascii="仿宋" w:hAnsi="仿宋" w:eastAsia="仿宋" w:cs="仿宋"/>
                <w:b w:val="0"/>
                <w:bCs w:val="0"/>
                <w:color w:val="000000"/>
                <w:szCs w:val="24"/>
                <w:lang w:val="zh-CN"/>
              </w:rPr>
              <w:t>中国工商银行股份有限公司北京半壁店支行</w:t>
            </w:r>
          </w:p>
          <w:p>
            <w:pPr>
              <w:autoSpaceDE/>
              <w:autoSpaceDN/>
              <w:adjustRightInd/>
              <w:spacing w:line="360" w:lineRule="exact"/>
              <w:ind w:right="-168" w:rightChars="-70"/>
              <w:rPr>
                <w:rStyle w:val="11"/>
                <w:rFonts w:hint="eastAsia" w:ascii="仿宋" w:hAnsi="仿宋" w:eastAsia="仿宋" w:cs="仿宋"/>
                <w:b w:val="0"/>
                <w:bCs w:val="0"/>
                <w:color w:val="000000"/>
                <w:szCs w:val="24"/>
                <w:lang w:val="zh-CN" w:eastAsia="zh-CN"/>
              </w:rPr>
            </w:pPr>
            <w:r>
              <w:rPr>
                <w:rStyle w:val="11"/>
                <w:rFonts w:hint="eastAsia" w:ascii="仿宋" w:hAnsi="仿宋" w:eastAsia="仿宋" w:cs="仿宋"/>
                <w:b w:val="0"/>
                <w:bCs w:val="0"/>
                <w:color w:val="000000"/>
                <w:szCs w:val="24"/>
                <w:lang w:val="zh-CN"/>
              </w:rPr>
              <w:t>帐    户：02002470092000</w:t>
            </w:r>
            <w:r>
              <w:rPr>
                <w:rStyle w:val="11"/>
                <w:rFonts w:hint="eastAsia" w:ascii="仿宋" w:hAnsi="仿宋" w:eastAsia="仿宋" w:cs="仿宋"/>
                <w:b w:val="0"/>
                <w:bCs w:val="0"/>
                <w:color w:val="000000"/>
                <w:szCs w:val="24"/>
                <w:lang w:val="zh-CN" w:eastAsia="zh-CN"/>
              </w:rPr>
              <w:t>76612</w:t>
            </w:r>
          </w:p>
          <w:p>
            <w:pPr>
              <w:autoSpaceDE/>
              <w:autoSpaceDN/>
              <w:adjustRightInd/>
              <w:spacing w:line="360" w:lineRule="exact"/>
              <w:ind w:right="-168" w:rightChars="-70"/>
              <w:rPr>
                <w:rFonts w:hint="default" w:ascii="仿宋_GB2312" w:hAnsi="Times New Roman" w:eastAsia="仿宋_GB2312"/>
                <w:b/>
                <w:bCs/>
                <w:kern w:val="2"/>
                <w:sz w:val="28"/>
                <w:szCs w:val="28"/>
              </w:rPr>
            </w:pPr>
            <w:r>
              <w:rPr>
                <w:rStyle w:val="11"/>
                <w:rFonts w:hint="eastAsia" w:ascii="仿宋" w:hAnsi="仿宋" w:eastAsia="仿宋" w:cs="仿宋"/>
                <w:b w:val="0"/>
                <w:bCs w:val="0"/>
                <w:color w:val="000000"/>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1555" w:type="dxa"/>
            <w:vAlign w:val="center"/>
          </w:tcPr>
          <w:p>
            <w:pPr>
              <w:autoSpaceDE/>
              <w:autoSpaceDN/>
              <w:adjustRightInd/>
              <w:spacing w:line="360" w:lineRule="exact"/>
              <w:ind w:right="-168" w:rightChars="-70"/>
              <w:jc w:val="center"/>
              <w:rPr>
                <w:rFonts w:hint="default" w:ascii="仿宋_GB2312" w:hAnsi="Times New Roman" w:eastAsia="仿宋_GB2312"/>
                <w:b/>
                <w:bCs/>
                <w:kern w:val="2"/>
                <w:szCs w:val="22"/>
              </w:rPr>
            </w:pPr>
            <w:r>
              <w:rPr>
                <w:rFonts w:ascii="仿宋_GB2312" w:hAnsi="Times New Roman" w:eastAsia="仿宋_GB2312"/>
                <w:kern w:val="2"/>
                <w:szCs w:val="22"/>
              </w:rPr>
              <w:t>备注</w:t>
            </w:r>
          </w:p>
        </w:tc>
        <w:tc>
          <w:tcPr>
            <w:tcW w:w="5165" w:type="dxa"/>
            <w:gridSpan w:val="5"/>
            <w:vAlign w:val="center"/>
          </w:tcPr>
          <w:p>
            <w:pPr>
              <w:autoSpaceDE/>
              <w:autoSpaceDN/>
              <w:adjustRightInd/>
              <w:spacing w:line="360" w:lineRule="exact"/>
              <w:ind w:right="-168" w:rightChars="-70"/>
              <w:rPr>
                <w:rStyle w:val="11"/>
                <w:rFonts w:hint="default" w:ascii="仿宋" w:hAnsi="仿宋" w:eastAsia="仿宋" w:cs="仿宋"/>
                <w:b w:val="0"/>
                <w:bCs w:val="0"/>
                <w:color w:val="000000"/>
                <w:szCs w:val="24"/>
                <w:lang w:val="zh-CN"/>
              </w:rPr>
            </w:pPr>
            <w:r>
              <w:rPr>
                <w:rStyle w:val="11"/>
                <w:rFonts w:ascii="仿宋" w:hAnsi="仿宋" w:eastAsia="仿宋" w:cs="仿宋"/>
                <w:b w:val="0"/>
                <w:bCs w:val="0"/>
                <w:color w:val="000000"/>
                <w:szCs w:val="24"/>
                <w:lang w:val="zh-CN"/>
              </w:rPr>
              <w:t>请将《报名回执表》发送至会务组，并于报名</w:t>
            </w:r>
          </w:p>
          <w:p>
            <w:pPr>
              <w:autoSpaceDE/>
              <w:autoSpaceDN/>
              <w:adjustRightInd/>
              <w:spacing w:line="360" w:lineRule="exact"/>
              <w:ind w:right="-168" w:rightChars="-70"/>
              <w:rPr>
                <w:rStyle w:val="11"/>
                <w:rFonts w:hint="default" w:ascii="仿宋" w:hAnsi="仿宋" w:eastAsia="仿宋" w:cs="仿宋"/>
                <w:b w:val="0"/>
                <w:bCs w:val="0"/>
                <w:color w:val="000000"/>
                <w:szCs w:val="24"/>
                <w:lang w:val="zh-CN"/>
              </w:rPr>
            </w:pPr>
            <w:r>
              <w:rPr>
                <w:rStyle w:val="11"/>
                <w:rFonts w:ascii="仿宋" w:hAnsi="仿宋" w:eastAsia="仿宋" w:cs="仿宋"/>
                <w:b w:val="0"/>
                <w:bCs w:val="0"/>
                <w:color w:val="000000"/>
                <w:szCs w:val="24"/>
                <w:lang w:val="zh-CN"/>
              </w:rPr>
              <w:t>3日内将培训费汇至指定账户，会务组确认收</w:t>
            </w:r>
          </w:p>
          <w:p>
            <w:pPr>
              <w:autoSpaceDE/>
              <w:autoSpaceDN/>
              <w:adjustRightInd/>
              <w:spacing w:line="360" w:lineRule="exact"/>
              <w:ind w:right="-168" w:rightChars="-70"/>
              <w:rPr>
                <w:rStyle w:val="11"/>
                <w:rFonts w:hint="default" w:ascii="仿宋" w:hAnsi="仿宋" w:eastAsia="仿宋" w:cs="仿宋"/>
                <w:b w:val="0"/>
                <w:bCs w:val="0"/>
                <w:color w:val="000000"/>
                <w:szCs w:val="24"/>
                <w:lang w:val="zh-CN"/>
              </w:rPr>
            </w:pPr>
            <w:r>
              <w:rPr>
                <w:rStyle w:val="11"/>
                <w:rFonts w:ascii="仿宋" w:hAnsi="仿宋" w:eastAsia="仿宋" w:cs="仿宋"/>
                <w:b w:val="0"/>
                <w:bCs w:val="0"/>
                <w:color w:val="000000"/>
                <w:szCs w:val="24"/>
                <w:lang w:val="zh-CN"/>
              </w:rPr>
              <w:t>到培训费后即发《参会凭证》，详细说明培训</w:t>
            </w:r>
          </w:p>
          <w:p>
            <w:pPr>
              <w:autoSpaceDE/>
              <w:autoSpaceDN/>
              <w:adjustRightInd/>
              <w:spacing w:line="360" w:lineRule="exact"/>
              <w:ind w:right="-168" w:rightChars="-70"/>
              <w:rPr>
                <w:rFonts w:hint="default" w:ascii="仿宋_GB2312" w:hAnsi="Times New Roman" w:eastAsia="仿宋_GB2312"/>
                <w:kern w:val="2"/>
                <w:szCs w:val="22"/>
              </w:rPr>
            </w:pPr>
            <w:r>
              <w:rPr>
                <w:rStyle w:val="11"/>
                <w:rFonts w:ascii="仿宋" w:hAnsi="仿宋" w:eastAsia="仿宋" w:cs="仿宋"/>
                <w:b w:val="0"/>
                <w:bCs w:val="0"/>
                <w:color w:val="000000"/>
                <w:szCs w:val="24"/>
                <w:lang w:val="zh-CN"/>
              </w:rPr>
              <w:t>安排具体事项。</w:t>
            </w:r>
          </w:p>
        </w:tc>
        <w:tc>
          <w:tcPr>
            <w:tcW w:w="2177" w:type="dxa"/>
            <w:gridSpan w:val="4"/>
            <w:vAlign w:val="center"/>
          </w:tcPr>
          <w:p>
            <w:pPr>
              <w:autoSpaceDE/>
              <w:autoSpaceDN/>
              <w:adjustRightInd/>
              <w:spacing w:line="360" w:lineRule="exact"/>
              <w:ind w:right="-168" w:rightChars="-70" w:firstLine="600" w:firstLineChars="250"/>
              <w:jc w:val="both"/>
              <w:rPr>
                <w:rFonts w:hint="default" w:ascii="仿宋_GB2312" w:hAnsi="Times New Roman" w:eastAsia="仿宋_GB2312"/>
                <w:kern w:val="2"/>
                <w:szCs w:val="22"/>
              </w:rPr>
            </w:pPr>
            <w:r>
              <w:rPr>
                <w:rFonts w:ascii="仿宋_GB2312" w:hAnsi="Times New Roman" w:eastAsia="仿宋_GB2312"/>
                <w:kern w:val="2"/>
                <w:szCs w:val="22"/>
              </w:rPr>
              <w:t>单位印章</w:t>
            </w:r>
          </w:p>
          <w:p>
            <w:pPr>
              <w:autoSpaceDE/>
              <w:autoSpaceDN/>
              <w:adjustRightInd/>
              <w:spacing w:line="360" w:lineRule="exact"/>
              <w:ind w:right="-168" w:rightChars="-70" w:firstLine="240" w:firstLineChars="100"/>
              <w:jc w:val="both"/>
              <w:rPr>
                <w:rFonts w:hint="default" w:ascii="仿宋_GB2312" w:hAnsi="Times New Roman" w:eastAsia="仿宋_GB2312"/>
                <w:kern w:val="2"/>
                <w:szCs w:val="22"/>
              </w:rPr>
            </w:pPr>
            <w:r>
              <w:rPr>
                <w:rFonts w:ascii="仿宋_GB2312" w:hAnsi="Times New Roman" w:eastAsia="仿宋_GB2312"/>
                <w:kern w:val="2"/>
                <w:szCs w:val="22"/>
              </w:rPr>
              <w:t>2021年  月  日</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_GB2312"/>
          <w:bCs/>
          <w:color w:val="000000"/>
          <w:szCs w:val="24"/>
        </w:rPr>
      </w:pPr>
      <w:r>
        <w:rPr>
          <w:rFonts w:hint="eastAsia" w:ascii="仿宋" w:hAnsi="仿宋" w:eastAsia="仿宋" w:cs="仿宋_GB2312"/>
          <w:bCs/>
          <w:color w:val="000000"/>
          <w:szCs w:val="24"/>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_GB2312"/>
          <w:bCs/>
          <w:color w:val="000000"/>
          <w:szCs w:val="24"/>
        </w:rPr>
      </w:pPr>
      <w:r>
        <w:rPr>
          <w:rFonts w:hint="eastAsia" w:ascii="仿宋" w:hAnsi="仿宋" w:eastAsia="仿宋" w:cs="仿宋_GB2312"/>
          <w:bCs/>
          <w:color w:val="000000"/>
          <w:szCs w:val="24"/>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_GB2312"/>
          <w:bCs/>
          <w:color w:val="000000"/>
          <w:szCs w:val="24"/>
        </w:rPr>
      </w:pPr>
      <w:r>
        <w:rPr>
          <w:rFonts w:hint="eastAsia" w:ascii="仿宋" w:hAnsi="仿宋" w:eastAsia="仿宋" w:cs="仿宋_GB2312"/>
          <w:bCs/>
          <w:color w:val="000000"/>
          <w:szCs w:val="24"/>
        </w:rPr>
        <w:t>qq咨询：3177524020        网址查询：http://www.zqgpchina.cn/</w:t>
      </w:r>
    </w:p>
    <w:sectPr>
      <w:footerReference r:id="rId3" w:type="default"/>
      <w:pgSz w:w="11906" w:h="16838"/>
      <w:pgMar w:top="1667" w:right="1587" w:bottom="1497" w:left="164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03D36"/>
    <w:rsid w:val="000111BB"/>
    <w:rsid w:val="00035C2D"/>
    <w:rsid w:val="00050181"/>
    <w:rsid w:val="00067BD4"/>
    <w:rsid w:val="0008349A"/>
    <w:rsid w:val="0009632B"/>
    <w:rsid w:val="000B5CF0"/>
    <w:rsid w:val="000C7359"/>
    <w:rsid w:val="000E468A"/>
    <w:rsid w:val="000E7425"/>
    <w:rsid w:val="000F0735"/>
    <w:rsid w:val="001320AD"/>
    <w:rsid w:val="001771FB"/>
    <w:rsid w:val="001A104A"/>
    <w:rsid w:val="001B15FC"/>
    <w:rsid w:val="001D5820"/>
    <w:rsid w:val="001F1949"/>
    <w:rsid w:val="001F266D"/>
    <w:rsid w:val="001F2CC6"/>
    <w:rsid w:val="001F5DBA"/>
    <w:rsid w:val="002016D4"/>
    <w:rsid w:val="002326A9"/>
    <w:rsid w:val="00240B10"/>
    <w:rsid w:val="00262218"/>
    <w:rsid w:val="002719D0"/>
    <w:rsid w:val="002733FA"/>
    <w:rsid w:val="0028435F"/>
    <w:rsid w:val="002A5354"/>
    <w:rsid w:val="002D4FCE"/>
    <w:rsid w:val="002D7C2D"/>
    <w:rsid w:val="002E1FC2"/>
    <w:rsid w:val="002F038A"/>
    <w:rsid w:val="00303B6C"/>
    <w:rsid w:val="00333EB8"/>
    <w:rsid w:val="00356ACE"/>
    <w:rsid w:val="00360AC6"/>
    <w:rsid w:val="0036362D"/>
    <w:rsid w:val="00366D1D"/>
    <w:rsid w:val="003A7F2C"/>
    <w:rsid w:val="003D3698"/>
    <w:rsid w:val="003D4368"/>
    <w:rsid w:val="003F303D"/>
    <w:rsid w:val="003F712A"/>
    <w:rsid w:val="004127EC"/>
    <w:rsid w:val="0042016E"/>
    <w:rsid w:val="004210AE"/>
    <w:rsid w:val="0042243A"/>
    <w:rsid w:val="004267FF"/>
    <w:rsid w:val="00431B61"/>
    <w:rsid w:val="00444929"/>
    <w:rsid w:val="00490AAB"/>
    <w:rsid w:val="004B699A"/>
    <w:rsid w:val="004C24FF"/>
    <w:rsid w:val="004C2C6B"/>
    <w:rsid w:val="00503EE1"/>
    <w:rsid w:val="00510FDD"/>
    <w:rsid w:val="005258A8"/>
    <w:rsid w:val="0058651B"/>
    <w:rsid w:val="00594D59"/>
    <w:rsid w:val="005D5CAC"/>
    <w:rsid w:val="005F7916"/>
    <w:rsid w:val="006011E8"/>
    <w:rsid w:val="00601C30"/>
    <w:rsid w:val="00605B40"/>
    <w:rsid w:val="00616606"/>
    <w:rsid w:val="006257C9"/>
    <w:rsid w:val="00657822"/>
    <w:rsid w:val="00663868"/>
    <w:rsid w:val="006654B6"/>
    <w:rsid w:val="00670351"/>
    <w:rsid w:val="006A0B02"/>
    <w:rsid w:val="006A7301"/>
    <w:rsid w:val="006E23D4"/>
    <w:rsid w:val="006F117C"/>
    <w:rsid w:val="006F2416"/>
    <w:rsid w:val="006F58F0"/>
    <w:rsid w:val="00724E89"/>
    <w:rsid w:val="007278B4"/>
    <w:rsid w:val="007474B9"/>
    <w:rsid w:val="00760628"/>
    <w:rsid w:val="00762723"/>
    <w:rsid w:val="0078469F"/>
    <w:rsid w:val="00786656"/>
    <w:rsid w:val="007A06B7"/>
    <w:rsid w:val="007A57DF"/>
    <w:rsid w:val="007B7767"/>
    <w:rsid w:val="007C13F0"/>
    <w:rsid w:val="007C4C49"/>
    <w:rsid w:val="007F5FC8"/>
    <w:rsid w:val="00832BCD"/>
    <w:rsid w:val="008342A4"/>
    <w:rsid w:val="00836D30"/>
    <w:rsid w:val="00860964"/>
    <w:rsid w:val="00881445"/>
    <w:rsid w:val="00882120"/>
    <w:rsid w:val="00894C2F"/>
    <w:rsid w:val="00896F6F"/>
    <w:rsid w:val="008A0F0B"/>
    <w:rsid w:val="008A7876"/>
    <w:rsid w:val="008B199B"/>
    <w:rsid w:val="008E378E"/>
    <w:rsid w:val="008E633F"/>
    <w:rsid w:val="008E79C6"/>
    <w:rsid w:val="008F080D"/>
    <w:rsid w:val="008F7359"/>
    <w:rsid w:val="00907C0D"/>
    <w:rsid w:val="009176A2"/>
    <w:rsid w:val="00920D6E"/>
    <w:rsid w:val="00925ADE"/>
    <w:rsid w:val="00925DAA"/>
    <w:rsid w:val="009308F0"/>
    <w:rsid w:val="00930C9B"/>
    <w:rsid w:val="009472B7"/>
    <w:rsid w:val="00957A5B"/>
    <w:rsid w:val="00981D3A"/>
    <w:rsid w:val="009A4718"/>
    <w:rsid w:val="009B0A49"/>
    <w:rsid w:val="009E4A95"/>
    <w:rsid w:val="00A17C72"/>
    <w:rsid w:val="00A21947"/>
    <w:rsid w:val="00A2725D"/>
    <w:rsid w:val="00A35324"/>
    <w:rsid w:val="00A55121"/>
    <w:rsid w:val="00A6651E"/>
    <w:rsid w:val="00A76A48"/>
    <w:rsid w:val="00A80267"/>
    <w:rsid w:val="00AB4C35"/>
    <w:rsid w:val="00AF6597"/>
    <w:rsid w:val="00B037C7"/>
    <w:rsid w:val="00B23077"/>
    <w:rsid w:val="00B40C04"/>
    <w:rsid w:val="00B475EE"/>
    <w:rsid w:val="00B865F7"/>
    <w:rsid w:val="00B87A6C"/>
    <w:rsid w:val="00B953A2"/>
    <w:rsid w:val="00BC37A5"/>
    <w:rsid w:val="00BD26DA"/>
    <w:rsid w:val="00BE0FB0"/>
    <w:rsid w:val="00BE2084"/>
    <w:rsid w:val="00BE3AC6"/>
    <w:rsid w:val="00BF3F21"/>
    <w:rsid w:val="00C10B2E"/>
    <w:rsid w:val="00C44BC1"/>
    <w:rsid w:val="00C4625B"/>
    <w:rsid w:val="00C5747F"/>
    <w:rsid w:val="00C61020"/>
    <w:rsid w:val="00C728FC"/>
    <w:rsid w:val="00C7524A"/>
    <w:rsid w:val="00C96EFB"/>
    <w:rsid w:val="00CE67E2"/>
    <w:rsid w:val="00CF1181"/>
    <w:rsid w:val="00D4239D"/>
    <w:rsid w:val="00D47982"/>
    <w:rsid w:val="00D52AF1"/>
    <w:rsid w:val="00D574FE"/>
    <w:rsid w:val="00D60856"/>
    <w:rsid w:val="00D74547"/>
    <w:rsid w:val="00DA154B"/>
    <w:rsid w:val="00DB62D4"/>
    <w:rsid w:val="00DC5B74"/>
    <w:rsid w:val="00DF1C3F"/>
    <w:rsid w:val="00E23AA1"/>
    <w:rsid w:val="00E24129"/>
    <w:rsid w:val="00E364AD"/>
    <w:rsid w:val="00E40FB3"/>
    <w:rsid w:val="00E43076"/>
    <w:rsid w:val="00E51A5B"/>
    <w:rsid w:val="00E54A37"/>
    <w:rsid w:val="00E73D9A"/>
    <w:rsid w:val="00EB3F9D"/>
    <w:rsid w:val="00EB5BB2"/>
    <w:rsid w:val="00EC2070"/>
    <w:rsid w:val="00F07C0D"/>
    <w:rsid w:val="00F124D2"/>
    <w:rsid w:val="00F16D89"/>
    <w:rsid w:val="00F2027E"/>
    <w:rsid w:val="00F25144"/>
    <w:rsid w:val="00F31608"/>
    <w:rsid w:val="00F52CD5"/>
    <w:rsid w:val="00F552BF"/>
    <w:rsid w:val="00F620C6"/>
    <w:rsid w:val="00F75886"/>
    <w:rsid w:val="00F81314"/>
    <w:rsid w:val="00F847DA"/>
    <w:rsid w:val="00F919DA"/>
    <w:rsid w:val="00FA5D57"/>
    <w:rsid w:val="00FD3173"/>
    <w:rsid w:val="00FD3E8B"/>
    <w:rsid w:val="00FD7D45"/>
    <w:rsid w:val="00FE276C"/>
    <w:rsid w:val="0115065C"/>
    <w:rsid w:val="01873FBC"/>
    <w:rsid w:val="01DF42FA"/>
    <w:rsid w:val="01F72719"/>
    <w:rsid w:val="024758F8"/>
    <w:rsid w:val="02801BA8"/>
    <w:rsid w:val="02B35ADF"/>
    <w:rsid w:val="02B56ADF"/>
    <w:rsid w:val="02BA162B"/>
    <w:rsid w:val="02D84295"/>
    <w:rsid w:val="02E9650A"/>
    <w:rsid w:val="03085DF1"/>
    <w:rsid w:val="030D4F99"/>
    <w:rsid w:val="03BD2A1A"/>
    <w:rsid w:val="03BF1326"/>
    <w:rsid w:val="03C94FF1"/>
    <w:rsid w:val="03D121E8"/>
    <w:rsid w:val="03FD5725"/>
    <w:rsid w:val="04FA6554"/>
    <w:rsid w:val="051109DE"/>
    <w:rsid w:val="051F5851"/>
    <w:rsid w:val="05557905"/>
    <w:rsid w:val="055F0F75"/>
    <w:rsid w:val="05717B93"/>
    <w:rsid w:val="058070E1"/>
    <w:rsid w:val="059A2F73"/>
    <w:rsid w:val="05BF7D3A"/>
    <w:rsid w:val="05C4398E"/>
    <w:rsid w:val="05C74530"/>
    <w:rsid w:val="05EF7AB2"/>
    <w:rsid w:val="063F355E"/>
    <w:rsid w:val="065D27E9"/>
    <w:rsid w:val="06951F60"/>
    <w:rsid w:val="06A1358A"/>
    <w:rsid w:val="06A76AC5"/>
    <w:rsid w:val="06CB4A13"/>
    <w:rsid w:val="07292118"/>
    <w:rsid w:val="075D5DBA"/>
    <w:rsid w:val="07CD585F"/>
    <w:rsid w:val="07CF75B4"/>
    <w:rsid w:val="07DD1D97"/>
    <w:rsid w:val="08112C52"/>
    <w:rsid w:val="081D7FA9"/>
    <w:rsid w:val="08422B97"/>
    <w:rsid w:val="087A186B"/>
    <w:rsid w:val="08B577EC"/>
    <w:rsid w:val="09C94B96"/>
    <w:rsid w:val="09D006F9"/>
    <w:rsid w:val="0A8C5A1C"/>
    <w:rsid w:val="0AC45ADA"/>
    <w:rsid w:val="0AE00BC8"/>
    <w:rsid w:val="0AFE6436"/>
    <w:rsid w:val="0B026759"/>
    <w:rsid w:val="0B1556CE"/>
    <w:rsid w:val="0B2C5ECF"/>
    <w:rsid w:val="0B630013"/>
    <w:rsid w:val="0B823224"/>
    <w:rsid w:val="0BB460D0"/>
    <w:rsid w:val="0BBE04DD"/>
    <w:rsid w:val="0BD31815"/>
    <w:rsid w:val="0BDA2784"/>
    <w:rsid w:val="0BF15545"/>
    <w:rsid w:val="0C275820"/>
    <w:rsid w:val="0C425833"/>
    <w:rsid w:val="0C5D744F"/>
    <w:rsid w:val="0C757B9B"/>
    <w:rsid w:val="0C91247E"/>
    <w:rsid w:val="0CC94096"/>
    <w:rsid w:val="0CCE18F2"/>
    <w:rsid w:val="0D1F2BD1"/>
    <w:rsid w:val="0D6E4AEE"/>
    <w:rsid w:val="0DA135C5"/>
    <w:rsid w:val="0DC7149B"/>
    <w:rsid w:val="0E0A290B"/>
    <w:rsid w:val="0E680926"/>
    <w:rsid w:val="0E6A7443"/>
    <w:rsid w:val="0ED45BB5"/>
    <w:rsid w:val="0EFD0426"/>
    <w:rsid w:val="0F055BA7"/>
    <w:rsid w:val="0F0A04CA"/>
    <w:rsid w:val="0F816F20"/>
    <w:rsid w:val="0F93135C"/>
    <w:rsid w:val="0F9571F8"/>
    <w:rsid w:val="0FDA6C03"/>
    <w:rsid w:val="0FF34363"/>
    <w:rsid w:val="10051402"/>
    <w:rsid w:val="1006617B"/>
    <w:rsid w:val="1027732E"/>
    <w:rsid w:val="10332D4E"/>
    <w:rsid w:val="103F63AE"/>
    <w:rsid w:val="108965B9"/>
    <w:rsid w:val="10AB3592"/>
    <w:rsid w:val="10AD08D4"/>
    <w:rsid w:val="10C02FCA"/>
    <w:rsid w:val="10F168F3"/>
    <w:rsid w:val="11016B06"/>
    <w:rsid w:val="115B6351"/>
    <w:rsid w:val="115E0DC8"/>
    <w:rsid w:val="11963A6B"/>
    <w:rsid w:val="11AB1900"/>
    <w:rsid w:val="12116CF5"/>
    <w:rsid w:val="122A2105"/>
    <w:rsid w:val="12517853"/>
    <w:rsid w:val="125B567F"/>
    <w:rsid w:val="125C71B0"/>
    <w:rsid w:val="12985556"/>
    <w:rsid w:val="12A355AC"/>
    <w:rsid w:val="12B205DB"/>
    <w:rsid w:val="12F6068C"/>
    <w:rsid w:val="134D5E27"/>
    <w:rsid w:val="13840D53"/>
    <w:rsid w:val="13E15D4F"/>
    <w:rsid w:val="14060C6C"/>
    <w:rsid w:val="14246519"/>
    <w:rsid w:val="14813515"/>
    <w:rsid w:val="14BC548B"/>
    <w:rsid w:val="14C536DE"/>
    <w:rsid w:val="15107C43"/>
    <w:rsid w:val="153E4CD6"/>
    <w:rsid w:val="154711A8"/>
    <w:rsid w:val="155C0CB5"/>
    <w:rsid w:val="15603A65"/>
    <w:rsid w:val="158B3A6D"/>
    <w:rsid w:val="15AB2D48"/>
    <w:rsid w:val="15C477F8"/>
    <w:rsid w:val="16032D20"/>
    <w:rsid w:val="160908F9"/>
    <w:rsid w:val="16624CCA"/>
    <w:rsid w:val="16700151"/>
    <w:rsid w:val="16816EC6"/>
    <w:rsid w:val="16942474"/>
    <w:rsid w:val="16C5195A"/>
    <w:rsid w:val="16D42978"/>
    <w:rsid w:val="16DB376C"/>
    <w:rsid w:val="16EA222E"/>
    <w:rsid w:val="1714344D"/>
    <w:rsid w:val="17321816"/>
    <w:rsid w:val="178E353B"/>
    <w:rsid w:val="17934E22"/>
    <w:rsid w:val="179A1350"/>
    <w:rsid w:val="17E562F3"/>
    <w:rsid w:val="18180676"/>
    <w:rsid w:val="18372402"/>
    <w:rsid w:val="18405EDA"/>
    <w:rsid w:val="18524935"/>
    <w:rsid w:val="189509C3"/>
    <w:rsid w:val="18A07CEA"/>
    <w:rsid w:val="18A544A6"/>
    <w:rsid w:val="18B12A98"/>
    <w:rsid w:val="18B251F6"/>
    <w:rsid w:val="18C43530"/>
    <w:rsid w:val="19A44506"/>
    <w:rsid w:val="19D577EF"/>
    <w:rsid w:val="19DB6AAB"/>
    <w:rsid w:val="1AE528AC"/>
    <w:rsid w:val="1B3A370C"/>
    <w:rsid w:val="1BDE25DA"/>
    <w:rsid w:val="1C117F14"/>
    <w:rsid w:val="1C303806"/>
    <w:rsid w:val="1C4117B3"/>
    <w:rsid w:val="1C526433"/>
    <w:rsid w:val="1C641BFC"/>
    <w:rsid w:val="1C8430F6"/>
    <w:rsid w:val="1C886101"/>
    <w:rsid w:val="1CCA686E"/>
    <w:rsid w:val="1CD149A3"/>
    <w:rsid w:val="1CE84432"/>
    <w:rsid w:val="1D0E3A53"/>
    <w:rsid w:val="1D305B94"/>
    <w:rsid w:val="1D757C34"/>
    <w:rsid w:val="1D8E4419"/>
    <w:rsid w:val="1D99163C"/>
    <w:rsid w:val="1D9E14A3"/>
    <w:rsid w:val="1DAC0DCE"/>
    <w:rsid w:val="1DC6750E"/>
    <w:rsid w:val="1DE91CFE"/>
    <w:rsid w:val="1DF56E00"/>
    <w:rsid w:val="1E206933"/>
    <w:rsid w:val="1ECA3C7A"/>
    <w:rsid w:val="1F155B9D"/>
    <w:rsid w:val="1F481CF3"/>
    <w:rsid w:val="1F63161F"/>
    <w:rsid w:val="1FEB0FE4"/>
    <w:rsid w:val="20306DD5"/>
    <w:rsid w:val="20453B95"/>
    <w:rsid w:val="206F0F7D"/>
    <w:rsid w:val="20795A4A"/>
    <w:rsid w:val="20BA1790"/>
    <w:rsid w:val="20C851AF"/>
    <w:rsid w:val="20E53D47"/>
    <w:rsid w:val="20EE694F"/>
    <w:rsid w:val="20FA3563"/>
    <w:rsid w:val="212130C5"/>
    <w:rsid w:val="212F12C6"/>
    <w:rsid w:val="216529A6"/>
    <w:rsid w:val="21673AAE"/>
    <w:rsid w:val="21757A3E"/>
    <w:rsid w:val="218528ED"/>
    <w:rsid w:val="21F056D4"/>
    <w:rsid w:val="22072402"/>
    <w:rsid w:val="22300922"/>
    <w:rsid w:val="22467BA5"/>
    <w:rsid w:val="22814EE0"/>
    <w:rsid w:val="229A35F2"/>
    <w:rsid w:val="22AF0F3D"/>
    <w:rsid w:val="22BC1795"/>
    <w:rsid w:val="22EE20E6"/>
    <w:rsid w:val="23605671"/>
    <w:rsid w:val="23B53106"/>
    <w:rsid w:val="23D26740"/>
    <w:rsid w:val="23E730A1"/>
    <w:rsid w:val="241B4AD6"/>
    <w:rsid w:val="24486398"/>
    <w:rsid w:val="2488321E"/>
    <w:rsid w:val="24C15DA9"/>
    <w:rsid w:val="25123D82"/>
    <w:rsid w:val="251614F9"/>
    <w:rsid w:val="255B3710"/>
    <w:rsid w:val="25A2303B"/>
    <w:rsid w:val="25A40E7D"/>
    <w:rsid w:val="25B714ED"/>
    <w:rsid w:val="25C16AB4"/>
    <w:rsid w:val="25DB10BE"/>
    <w:rsid w:val="260E6C81"/>
    <w:rsid w:val="262354A3"/>
    <w:rsid w:val="266A4DD9"/>
    <w:rsid w:val="26797AC1"/>
    <w:rsid w:val="26877902"/>
    <w:rsid w:val="26A07DE6"/>
    <w:rsid w:val="26BB0569"/>
    <w:rsid w:val="27375592"/>
    <w:rsid w:val="273F2835"/>
    <w:rsid w:val="274E13B9"/>
    <w:rsid w:val="27641A88"/>
    <w:rsid w:val="27904F0D"/>
    <w:rsid w:val="27F45FB8"/>
    <w:rsid w:val="28170256"/>
    <w:rsid w:val="286B2DB9"/>
    <w:rsid w:val="288E3409"/>
    <w:rsid w:val="28AE2808"/>
    <w:rsid w:val="28B91DEB"/>
    <w:rsid w:val="28FA5525"/>
    <w:rsid w:val="29003A89"/>
    <w:rsid w:val="295418D4"/>
    <w:rsid w:val="29765048"/>
    <w:rsid w:val="298D16C3"/>
    <w:rsid w:val="29A33B9E"/>
    <w:rsid w:val="29A967FC"/>
    <w:rsid w:val="29CB5978"/>
    <w:rsid w:val="2A227A98"/>
    <w:rsid w:val="2A2C1423"/>
    <w:rsid w:val="2A753D5F"/>
    <w:rsid w:val="2A8A418C"/>
    <w:rsid w:val="2AA30AB8"/>
    <w:rsid w:val="2AAF4A19"/>
    <w:rsid w:val="2ACB6A75"/>
    <w:rsid w:val="2ACE6D1B"/>
    <w:rsid w:val="2ADE433E"/>
    <w:rsid w:val="2ADE4A98"/>
    <w:rsid w:val="2AEA6C2D"/>
    <w:rsid w:val="2B2D4EA7"/>
    <w:rsid w:val="2B350720"/>
    <w:rsid w:val="2B3751D7"/>
    <w:rsid w:val="2B510640"/>
    <w:rsid w:val="2B57547D"/>
    <w:rsid w:val="2B6E4A1A"/>
    <w:rsid w:val="2BAE74E3"/>
    <w:rsid w:val="2BC41804"/>
    <w:rsid w:val="2C136267"/>
    <w:rsid w:val="2C4864B9"/>
    <w:rsid w:val="2C5D22DE"/>
    <w:rsid w:val="2C767537"/>
    <w:rsid w:val="2CA13E74"/>
    <w:rsid w:val="2CA40883"/>
    <w:rsid w:val="2CE42AAF"/>
    <w:rsid w:val="2CF87E78"/>
    <w:rsid w:val="2D0E42D8"/>
    <w:rsid w:val="2D0F0E67"/>
    <w:rsid w:val="2D4D6506"/>
    <w:rsid w:val="2DC91F3B"/>
    <w:rsid w:val="2DD66FD8"/>
    <w:rsid w:val="2E337C52"/>
    <w:rsid w:val="2E552C8F"/>
    <w:rsid w:val="2E6A6977"/>
    <w:rsid w:val="2E834845"/>
    <w:rsid w:val="2E894CE4"/>
    <w:rsid w:val="2E9040A3"/>
    <w:rsid w:val="2F05048D"/>
    <w:rsid w:val="2F2F1720"/>
    <w:rsid w:val="2F3805D3"/>
    <w:rsid w:val="2F605193"/>
    <w:rsid w:val="2FB61850"/>
    <w:rsid w:val="2FDA21C9"/>
    <w:rsid w:val="2FF3794E"/>
    <w:rsid w:val="301227BA"/>
    <w:rsid w:val="30A44274"/>
    <w:rsid w:val="30B515C7"/>
    <w:rsid w:val="30B6182D"/>
    <w:rsid w:val="30BE7939"/>
    <w:rsid w:val="30BF02BC"/>
    <w:rsid w:val="30C82A63"/>
    <w:rsid w:val="318E7FC4"/>
    <w:rsid w:val="31FB359A"/>
    <w:rsid w:val="320E3755"/>
    <w:rsid w:val="3222344D"/>
    <w:rsid w:val="322A52F0"/>
    <w:rsid w:val="324D4047"/>
    <w:rsid w:val="32641144"/>
    <w:rsid w:val="326F69DE"/>
    <w:rsid w:val="32A724F7"/>
    <w:rsid w:val="33933D24"/>
    <w:rsid w:val="33DD0BD9"/>
    <w:rsid w:val="33DD5BEC"/>
    <w:rsid w:val="33F643A0"/>
    <w:rsid w:val="34301E1F"/>
    <w:rsid w:val="344B53DB"/>
    <w:rsid w:val="34672D65"/>
    <w:rsid w:val="349C765D"/>
    <w:rsid w:val="34E178CF"/>
    <w:rsid w:val="34EF28C5"/>
    <w:rsid w:val="35045D6D"/>
    <w:rsid w:val="35274C83"/>
    <w:rsid w:val="35416C6E"/>
    <w:rsid w:val="35710EE2"/>
    <w:rsid w:val="359709B0"/>
    <w:rsid w:val="35C21D78"/>
    <w:rsid w:val="35C9302D"/>
    <w:rsid w:val="35C968DF"/>
    <w:rsid w:val="35FC4FAB"/>
    <w:rsid w:val="36246E8A"/>
    <w:rsid w:val="36307FC9"/>
    <w:rsid w:val="363707F1"/>
    <w:rsid w:val="36505182"/>
    <w:rsid w:val="3661655B"/>
    <w:rsid w:val="36BC14AB"/>
    <w:rsid w:val="36EC683A"/>
    <w:rsid w:val="3782390E"/>
    <w:rsid w:val="37C24B91"/>
    <w:rsid w:val="380579CA"/>
    <w:rsid w:val="38250678"/>
    <w:rsid w:val="38723749"/>
    <w:rsid w:val="38B06C76"/>
    <w:rsid w:val="38B761EC"/>
    <w:rsid w:val="38D01090"/>
    <w:rsid w:val="39364DEF"/>
    <w:rsid w:val="39B96CC3"/>
    <w:rsid w:val="39F239E4"/>
    <w:rsid w:val="3A86626A"/>
    <w:rsid w:val="3AA74822"/>
    <w:rsid w:val="3AB14285"/>
    <w:rsid w:val="3AB3114D"/>
    <w:rsid w:val="3B0D13BA"/>
    <w:rsid w:val="3B346A17"/>
    <w:rsid w:val="3B6B0985"/>
    <w:rsid w:val="3B894AF8"/>
    <w:rsid w:val="3BC94FF7"/>
    <w:rsid w:val="3BF9020B"/>
    <w:rsid w:val="3C0744A0"/>
    <w:rsid w:val="3C68433C"/>
    <w:rsid w:val="3C9830FC"/>
    <w:rsid w:val="3CA27D79"/>
    <w:rsid w:val="3CC3605F"/>
    <w:rsid w:val="3CD86F8E"/>
    <w:rsid w:val="3CDF24FD"/>
    <w:rsid w:val="3CE64E85"/>
    <w:rsid w:val="3D1A786A"/>
    <w:rsid w:val="3D342F20"/>
    <w:rsid w:val="3D593429"/>
    <w:rsid w:val="3D6F02C3"/>
    <w:rsid w:val="3D9E2EE1"/>
    <w:rsid w:val="3DA065E7"/>
    <w:rsid w:val="3DA57D94"/>
    <w:rsid w:val="3E2F7603"/>
    <w:rsid w:val="3E3E5397"/>
    <w:rsid w:val="3E795CF0"/>
    <w:rsid w:val="3E8E579A"/>
    <w:rsid w:val="3EA465AA"/>
    <w:rsid w:val="3EED12C6"/>
    <w:rsid w:val="3FD548D0"/>
    <w:rsid w:val="3FED60F5"/>
    <w:rsid w:val="40AC2E0A"/>
    <w:rsid w:val="40AD79D4"/>
    <w:rsid w:val="411F03FD"/>
    <w:rsid w:val="41666A14"/>
    <w:rsid w:val="41D26947"/>
    <w:rsid w:val="420D577D"/>
    <w:rsid w:val="42140462"/>
    <w:rsid w:val="42172F30"/>
    <w:rsid w:val="42177C01"/>
    <w:rsid w:val="422D6A78"/>
    <w:rsid w:val="42C06BCA"/>
    <w:rsid w:val="42EA50D0"/>
    <w:rsid w:val="430223AE"/>
    <w:rsid w:val="437F3ADB"/>
    <w:rsid w:val="438A0138"/>
    <w:rsid w:val="43B44EAB"/>
    <w:rsid w:val="442E1B0B"/>
    <w:rsid w:val="44356914"/>
    <w:rsid w:val="44501190"/>
    <w:rsid w:val="44692595"/>
    <w:rsid w:val="44CA4883"/>
    <w:rsid w:val="45006340"/>
    <w:rsid w:val="450166FC"/>
    <w:rsid w:val="45041B70"/>
    <w:rsid w:val="451E0702"/>
    <w:rsid w:val="456A16AD"/>
    <w:rsid w:val="45745EFE"/>
    <w:rsid w:val="45AE1E88"/>
    <w:rsid w:val="45BC102D"/>
    <w:rsid w:val="45C6386C"/>
    <w:rsid w:val="45DC4AB6"/>
    <w:rsid w:val="45E74334"/>
    <w:rsid w:val="460B7276"/>
    <w:rsid w:val="46181ED6"/>
    <w:rsid w:val="468E45FA"/>
    <w:rsid w:val="46CF32C5"/>
    <w:rsid w:val="46D766DA"/>
    <w:rsid w:val="46EA45F6"/>
    <w:rsid w:val="46F5361F"/>
    <w:rsid w:val="47AE7D34"/>
    <w:rsid w:val="47B379EF"/>
    <w:rsid w:val="48157DDD"/>
    <w:rsid w:val="4821332C"/>
    <w:rsid w:val="48277CF4"/>
    <w:rsid w:val="483F6DD6"/>
    <w:rsid w:val="48A82B51"/>
    <w:rsid w:val="48B73536"/>
    <w:rsid w:val="48C96181"/>
    <w:rsid w:val="492469AC"/>
    <w:rsid w:val="493725D7"/>
    <w:rsid w:val="49481EDB"/>
    <w:rsid w:val="497A3452"/>
    <w:rsid w:val="497C256C"/>
    <w:rsid w:val="49866167"/>
    <w:rsid w:val="499E6041"/>
    <w:rsid w:val="49EF0EA0"/>
    <w:rsid w:val="4A110DBF"/>
    <w:rsid w:val="4A6018E6"/>
    <w:rsid w:val="4A6452CB"/>
    <w:rsid w:val="4A734ABE"/>
    <w:rsid w:val="4A9D0A10"/>
    <w:rsid w:val="4AC24BA6"/>
    <w:rsid w:val="4B0A0426"/>
    <w:rsid w:val="4BA40956"/>
    <w:rsid w:val="4BF90E00"/>
    <w:rsid w:val="4BF9711D"/>
    <w:rsid w:val="4C1E23D7"/>
    <w:rsid w:val="4C4946D3"/>
    <w:rsid w:val="4C7701B1"/>
    <w:rsid w:val="4CE0240E"/>
    <w:rsid w:val="4D0E7FB6"/>
    <w:rsid w:val="4D113C13"/>
    <w:rsid w:val="4D764158"/>
    <w:rsid w:val="4D946995"/>
    <w:rsid w:val="4DA20FE6"/>
    <w:rsid w:val="4DA33D1A"/>
    <w:rsid w:val="4DB65331"/>
    <w:rsid w:val="4DDD58CC"/>
    <w:rsid w:val="4DEC12CD"/>
    <w:rsid w:val="4E025B04"/>
    <w:rsid w:val="4E4931DE"/>
    <w:rsid w:val="4E870B39"/>
    <w:rsid w:val="4F1E1098"/>
    <w:rsid w:val="4F2310A3"/>
    <w:rsid w:val="4F292DDA"/>
    <w:rsid w:val="4F3867AD"/>
    <w:rsid w:val="4F6439C3"/>
    <w:rsid w:val="4FDB312C"/>
    <w:rsid w:val="4FF710CB"/>
    <w:rsid w:val="50543991"/>
    <w:rsid w:val="505A007D"/>
    <w:rsid w:val="505E5D0C"/>
    <w:rsid w:val="50736840"/>
    <w:rsid w:val="507738B4"/>
    <w:rsid w:val="507D26F0"/>
    <w:rsid w:val="50A01A83"/>
    <w:rsid w:val="50D14F02"/>
    <w:rsid w:val="51074571"/>
    <w:rsid w:val="510B1C36"/>
    <w:rsid w:val="51183FA7"/>
    <w:rsid w:val="514E01B9"/>
    <w:rsid w:val="516375CA"/>
    <w:rsid w:val="51CF30EE"/>
    <w:rsid w:val="51F36F70"/>
    <w:rsid w:val="522F21E1"/>
    <w:rsid w:val="52783A29"/>
    <w:rsid w:val="5279633A"/>
    <w:rsid w:val="528336ED"/>
    <w:rsid w:val="52C523D7"/>
    <w:rsid w:val="53371331"/>
    <w:rsid w:val="53387A90"/>
    <w:rsid w:val="53646369"/>
    <w:rsid w:val="537C7F93"/>
    <w:rsid w:val="537E26DB"/>
    <w:rsid w:val="53C87612"/>
    <w:rsid w:val="53D12AB3"/>
    <w:rsid w:val="53DC6599"/>
    <w:rsid w:val="540F1AAF"/>
    <w:rsid w:val="544F0AA9"/>
    <w:rsid w:val="54577AE9"/>
    <w:rsid w:val="546E5A28"/>
    <w:rsid w:val="54C346A0"/>
    <w:rsid w:val="54CD58F7"/>
    <w:rsid w:val="54DC36A3"/>
    <w:rsid w:val="55637ED4"/>
    <w:rsid w:val="55822B8C"/>
    <w:rsid w:val="55921102"/>
    <w:rsid w:val="55AF0ACD"/>
    <w:rsid w:val="55C12295"/>
    <w:rsid w:val="55E84F0A"/>
    <w:rsid w:val="561F048A"/>
    <w:rsid w:val="5685733F"/>
    <w:rsid w:val="56A30D86"/>
    <w:rsid w:val="57385DC9"/>
    <w:rsid w:val="574771F4"/>
    <w:rsid w:val="5754222A"/>
    <w:rsid w:val="575E553F"/>
    <w:rsid w:val="57764AFC"/>
    <w:rsid w:val="579D0C3A"/>
    <w:rsid w:val="57F227C1"/>
    <w:rsid w:val="58010DBF"/>
    <w:rsid w:val="584E7013"/>
    <w:rsid w:val="592900AF"/>
    <w:rsid w:val="5930687A"/>
    <w:rsid w:val="59B51E3B"/>
    <w:rsid w:val="59D55AC8"/>
    <w:rsid w:val="59EB787F"/>
    <w:rsid w:val="59F12436"/>
    <w:rsid w:val="5A1D17D8"/>
    <w:rsid w:val="5A200AD5"/>
    <w:rsid w:val="5A5B2520"/>
    <w:rsid w:val="5A76275E"/>
    <w:rsid w:val="5A7A0F24"/>
    <w:rsid w:val="5A9F29EB"/>
    <w:rsid w:val="5AA74620"/>
    <w:rsid w:val="5AEA0132"/>
    <w:rsid w:val="5B082961"/>
    <w:rsid w:val="5B0A0F3F"/>
    <w:rsid w:val="5B560229"/>
    <w:rsid w:val="5B80366A"/>
    <w:rsid w:val="5B895E39"/>
    <w:rsid w:val="5B8D532F"/>
    <w:rsid w:val="5B964E0A"/>
    <w:rsid w:val="5B9762EB"/>
    <w:rsid w:val="5B986967"/>
    <w:rsid w:val="5BC403DB"/>
    <w:rsid w:val="5BCA0480"/>
    <w:rsid w:val="5BEC52F1"/>
    <w:rsid w:val="5BF447D6"/>
    <w:rsid w:val="5C086449"/>
    <w:rsid w:val="5C122881"/>
    <w:rsid w:val="5C1C7827"/>
    <w:rsid w:val="5C2905D4"/>
    <w:rsid w:val="5C494CD3"/>
    <w:rsid w:val="5C851165"/>
    <w:rsid w:val="5C974BDA"/>
    <w:rsid w:val="5C9C727F"/>
    <w:rsid w:val="5CAD6DB2"/>
    <w:rsid w:val="5CBD6D0D"/>
    <w:rsid w:val="5CD91E7E"/>
    <w:rsid w:val="5CF5417B"/>
    <w:rsid w:val="5D125496"/>
    <w:rsid w:val="5D142E3A"/>
    <w:rsid w:val="5D191648"/>
    <w:rsid w:val="5D8426B2"/>
    <w:rsid w:val="5DB36737"/>
    <w:rsid w:val="5DBC4F9A"/>
    <w:rsid w:val="5DC65223"/>
    <w:rsid w:val="5E08413C"/>
    <w:rsid w:val="5E1E7AA4"/>
    <w:rsid w:val="5E5E476B"/>
    <w:rsid w:val="5E602FE0"/>
    <w:rsid w:val="5E7D081B"/>
    <w:rsid w:val="5E834FCF"/>
    <w:rsid w:val="5F0F04B1"/>
    <w:rsid w:val="5F112445"/>
    <w:rsid w:val="5F9F436E"/>
    <w:rsid w:val="5FA21376"/>
    <w:rsid w:val="5FA27331"/>
    <w:rsid w:val="5FD513B4"/>
    <w:rsid w:val="5FD94F72"/>
    <w:rsid w:val="602E7496"/>
    <w:rsid w:val="60684880"/>
    <w:rsid w:val="610C3195"/>
    <w:rsid w:val="61255307"/>
    <w:rsid w:val="6137158E"/>
    <w:rsid w:val="613B54B4"/>
    <w:rsid w:val="61D24557"/>
    <w:rsid w:val="61D74FCE"/>
    <w:rsid w:val="61D75265"/>
    <w:rsid w:val="62066162"/>
    <w:rsid w:val="62070461"/>
    <w:rsid w:val="62084DD3"/>
    <w:rsid w:val="62244D2D"/>
    <w:rsid w:val="62312FF8"/>
    <w:rsid w:val="626C6061"/>
    <w:rsid w:val="62803516"/>
    <w:rsid w:val="62CE2F94"/>
    <w:rsid w:val="62E7075E"/>
    <w:rsid w:val="63034AA9"/>
    <w:rsid w:val="6305298D"/>
    <w:rsid w:val="63052B47"/>
    <w:rsid w:val="6307788B"/>
    <w:rsid w:val="6332194F"/>
    <w:rsid w:val="634464EB"/>
    <w:rsid w:val="636A4E74"/>
    <w:rsid w:val="6416365B"/>
    <w:rsid w:val="64B16087"/>
    <w:rsid w:val="64B43ACD"/>
    <w:rsid w:val="65281737"/>
    <w:rsid w:val="65635310"/>
    <w:rsid w:val="657C0323"/>
    <w:rsid w:val="659521A5"/>
    <w:rsid w:val="6607320A"/>
    <w:rsid w:val="660930D1"/>
    <w:rsid w:val="66755928"/>
    <w:rsid w:val="668750DD"/>
    <w:rsid w:val="66C35A60"/>
    <w:rsid w:val="67DD33BA"/>
    <w:rsid w:val="682517F2"/>
    <w:rsid w:val="683F6B42"/>
    <w:rsid w:val="68426149"/>
    <w:rsid w:val="6886739C"/>
    <w:rsid w:val="68D258F2"/>
    <w:rsid w:val="68E362D2"/>
    <w:rsid w:val="68F82C5A"/>
    <w:rsid w:val="69115685"/>
    <w:rsid w:val="694568B2"/>
    <w:rsid w:val="6977160B"/>
    <w:rsid w:val="69AB37A4"/>
    <w:rsid w:val="69C07F00"/>
    <w:rsid w:val="69D845A9"/>
    <w:rsid w:val="6A1F1DCE"/>
    <w:rsid w:val="6A24680B"/>
    <w:rsid w:val="6A34700B"/>
    <w:rsid w:val="6A35099F"/>
    <w:rsid w:val="6A6C274D"/>
    <w:rsid w:val="6A870693"/>
    <w:rsid w:val="6A881BC4"/>
    <w:rsid w:val="6AC2049E"/>
    <w:rsid w:val="6AC52E82"/>
    <w:rsid w:val="6AE40649"/>
    <w:rsid w:val="6AF07AA0"/>
    <w:rsid w:val="6B0863B8"/>
    <w:rsid w:val="6B210905"/>
    <w:rsid w:val="6B3429CC"/>
    <w:rsid w:val="6B4216B7"/>
    <w:rsid w:val="6B806E40"/>
    <w:rsid w:val="6B96098E"/>
    <w:rsid w:val="6B990934"/>
    <w:rsid w:val="6B9962BF"/>
    <w:rsid w:val="6BA757D3"/>
    <w:rsid w:val="6BC67A3E"/>
    <w:rsid w:val="6BD31665"/>
    <w:rsid w:val="6BDF4F70"/>
    <w:rsid w:val="6C0B28AC"/>
    <w:rsid w:val="6C1174CD"/>
    <w:rsid w:val="6C6421C5"/>
    <w:rsid w:val="6D2828CF"/>
    <w:rsid w:val="6D2E5E0B"/>
    <w:rsid w:val="6D892F8A"/>
    <w:rsid w:val="6DB067F8"/>
    <w:rsid w:val="6DCF3A40"/>
    <w:rsid w:val="6E493106"/>
    <w:rsid w:val="6EB47833"/>
    <w:rsid w:val="6ED645B3"/>
    <w:rsid w:val="6EE741E3"/>
    <w:rsid w:val="6F105A73"/>
    <w:rsid w:val="6F1116E2"/>
    <w:rsid w:val="6F246836"/>
    <w:rsid w:val="6F7955F4"/>
    <w:rsid w:val="6FA943CE"/>
    <w:rsid w:val="6FE70489"/>
    <w:rsid w:val="6FFA5889"/>
    <w:rsid w:val="7025319F"/>
    <w:rsid w:val="708031CA"/>
    <w:rsid w:val="70A4391D"/>
    <w:rsid w:val="70CA619E"/>
    <w:rsid w:val="70CE4924"/>
    <w:rsid w:val="70EE3274"/>
    <w:rsid w:val="70F50F31"/>
    <w:rsid w:val="7125489A"/>
    <w:rsid w:val="713A387F"/>
    <w:rsid w:val="715058B1"/>
    <w:rsid w:val="71CC59C1"/>
    <w:rsid w:val="721B0BB0"/>
    <w:rsid w:val="72292A73"/>
    <w:rsid w:val="726D31EB"/>
    <w:rsid w:val="728A72A8"/>
    <w:rsid w:val="72B25FCE"/>
    <w:rsid w:val="72B9756C"/>
    <w:rsid w:val="72F24568"/>
    <w:rsid w:val="72F80732"/>
    <w:rsid w:val="73044F1B"/>
    <w:rsid w:val="73072836"/>
    <w:rsid w:val="73111093"/>
    <w:rsid w:val="734E61BF"/>
    <w:rsid w:val="73B52DB2"/>
    <w:rsid w:val="73CF0918"/>
    <w:rsid w:val="747B36FA"/>
    <w:rsid w:val="74A81262"/>
    <w:rsid w:val="74A87D66"/>
    <w:rsid w:val="74C85902"/>
    <w:rsid w:val="74E66D34"/>
    <w:rsid w:val="74E90082"/>
    <w:rsid w:val="750637F0"/>
    <w:rsid w:val="75542E9D"/>
    <w:rsid w:val="75654176"/>
    <w:rsid w:val="75891023"/>
    <w:rsid w:val="759608A8"/>
    <w:rsid w:val="759B492C"/>
    <w:rsid w:val="75DA7911"/>
    <w:rsid w:val="760E40B5"/>
    <w:rsid w:val="76697649"/>
    <w:rsid w:val="76A64F47"/>
    <w:rsid w:val="76D44FD5"/>
    <w:rsid w:val="77154656"/>
    <w:rsid w:val="77207870"/>
    <w:rsid w:val="7748202B"/>
    <w:rsid w:val="77733156"/>
    <w:rsid w:val="7796460A"/>
    <w:rsid w:val="779967F0"/>
    <w:rsid w:val="77C86B5E"/>
    <w:rsid w:val="77EC56A9"/>
    <w:rsid w:val="77FC2216"/>
    <w:rsid w:val="785D1EBF"/>
    <w:rsid w:val="78607772"/>
    <w:rsid w:val="78F26179"/>
    <w:rsid w:val="790D2B37"/>
    <w:rsid w:val="7917776A"/>
    <w:rsid w:val="791C00AD"/>
    <w:rsid w:val="79295367"/>
    <w:rsid w:val="794E4160"/>
    <w:rsid w:val="794F3E2F"/>
    <w:rsid w:val="7952267D"/>
    <w:rsid w:val="795278C9"/>
    <w:rsid w:val="797669EC"/>
    <w:rsid w:val="7A430373"/>
    <w:rsid w:val="7A4805B8"/>
    <w:rsid w:val="7A504395"/>
    <w:rsid w:val="7AA2176F"/>
    <w:rsid w:val="7AD80BB2"/>
    <w:rsid w:val="7ADE30AA"/>
    <w:rsid w:val="7B1068AE"/>
    <w:rsid w:val="7BD400D4"/>
    <w:rsid w:val="7BD72B78"/>
    <w:rsid w:val="7BDE019B"/>
    <w:rsid w:val="7BF9401E"/>
    <w:rsid w:val="7C367CCE"/>
    <w:rsid w:val="7C3C2F29"/>
    <w:rsid w:val="7C4A2CE0"/>
    <w:rsid w:val="7C4B1DF3"/>
    <w:rsid w:val="7C682145"/>
    <w:rsid w:val="7C8A2FFC"/>
    <w:rsid w:val="7CCD48A5"/>
    <w:rsid w:val="7CF53CB4"/>
    <w:rsid w:val="7D895DA2"/>
    <w:rsid w:val="7DAC0D04"/>
    <w:rsid w:val="7DB9154A"/>
    <w:rsid w:val="7E295A9B"/>
    <w:rsid w:val="7E324E80"/>
    <w:rsid w:val="7E8D289D"/>
    <w:rsid w:val="7ED47C49"/>
    <w:rsid w:val="7F301A67"/>
    <w:rsid w:val="7F880762"/>
    <w:rsid w:val="7FA70AF1"/>
    <w:rsid w:val="7FD7265C"/>
    <w:rsid w:val="7FF932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paragraph" w:styleId="2">
    <w:name w:val="heading 1"/>
    <w:basedOn w:val="1"/>
    <w:next w:val="1"/>
    <w:qFormat/>
    <w:uiPriority w:val="9"/>
    <w:pPr>
      <w:spacing w:beforeAutospacing="1" w:afterAutospacing="1"/>
      <w:outlineLvl w:val="0"/>
    </w:pPr>
    <w:rPr>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Date"/>
    <w:basedOn w:val="1"/>
    <w:next w:val="1"/>
    <w:link w:val="16"/>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8">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themeColor="hyperlink"/>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widowControl/>
      <w:autoSpaceDE/>
      <w:autoSpaceDN/>
      <w:adjustRightInd/>
      <w:ind w:firstLine="420" w:firstLineChars="200"/>
    </w:pPr>
    <w:rPr>
      <w:rFonts w:hint="default" w:cs="宋体"/>
      <w:szCs w:val="24"/>
    </w:rPr>
  </w:style>
  <w:style w:type="character" w:customStyle="1" w:styleId="16">
    <w:name w:val="日期 Char"/>
    <w:basedOn w:val="10"/>
    <w:link w:val="4"/>
    <w:semiHidden/>
    <w:qFormat/>
    <w:uiPriority w:val="99"/>
    <w:rPr>
      <w:rFonts w:ascii="宋体" w:hAnsi="宋体" w:eastAsia="宋体" w:cs="Times New Roman"/>
      <w:kern w:val="0"/>
      <w:sz w:val="24"/>
      <w:szCs w:val="20"/>
    </w:rPr>
  </w:style>
  <w:style w:type="paragraph" w:customStyle="1" w:styleId="17">
    <w:name w:val="列出段落1"/>
    <w:basedOn w:val="1"/>
    <w:qFormat/>
    <w:uiPriority w:val="99"/>
    <w:pPr>
      <w:ind w:firstLine="420" w:firstLineChars="200"/>
    </w:pPr>
    <w:rPr>
      <w:szCs w:val="22"/>
    </w:rPr>
  </w:style>
  <w:style w:type="character" w:customStyle="1" w:styleId="18">
    <w:name w:val="标题 Char"/>
    <w:basedOn w:val="10"/>
    <w:link w:val="8"/>
    <w:qFormat/>
    <w:uiPriority w:val="1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E3454-9A71-4DCF-A045-526B7DF17D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556</Words>
  <Characters>3170</Characters>
  <Lines>26</Lines>
  <Paragraphs>7</Paragraphs>
  <TotalTime>1</TotalTime>
  <ScaleCrop>false</ScaleCrop>
  <LinksUpToDate>false</LinksUpToDate>
  <CharactersWithSpaces>3719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2021-02-07T07:13:00Z</cp:lastPrinted>
  <dcterms:modified xsi:type="dcterms:W3CDTF">2021-08-27T07:56:08Z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DFB2BF03E677481B8289BE87A40DD3D4</vt:lpwstr>
  </property>
</Properties>
</file>