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hint="eastAsia" w:ascii="宋体" w:hAnsi="宋体" w:cs="宋体"/>
          <w:b/>
          <w:color w:val="FF0000"/>
          <w:w w:val="95"/>
          <w:sz w:val="84"/>
          <w:szCs w:val="84"/>
        </w:rPr>
      </w:pPr>
      <w:r>
        <w:rPr>
          <w:rFonts w:hint="eastAsia" w:ascii="宋体" w:hAnsi="宋体" w:cs="宋体"/>
          <w:b/>
          <w:color w:val="FF0000"/>
          <w:w w:val="95"/>
          <w:sz w:val="84"/>
          <w:szCs w:val="84"/>
        </w:rPr>
        <w:t>中国国际工程咨询协会</w:t>
      </w:r>
    </w:p>
    <w:p>
      <w:pPr>
        <w:adjustRightInd w:val="0"/>
        <w:snapToGrid w:val="0"/>
        <w:spacing w:line="300" w:lineRule="exact"/>
        <w:jc w:val="center"/>
        <w:rPr>
          <w:rFonts w:hint="eastAsia" w:ascii="宋体" w:hAnsi="宋体" w:cs="宋体"/>
          <w:color w:val="000000"/>
          <w:spacing w:val="-12"/>
          <w:sz w:val="28"/>
          <w:szCs w:val="28"/>
        </w:rPr>
      </w:pPr>
    </w:p>
    <w:p>
      <w:pPr>
        <w:adjustRightInd w:val="0"/>
        <w:snapToGrid w:val="0"/>
        <w:spacing w:line="300" w:lineRule="exact"/>
        <w:jc w:val="center"/>
        <w:rPr>
          <w:rFonts w:hint="eastAsia" w:ascii="宋体" w:hAnsi="宋体" w:cs="宋体"/>
          <w:color w:val="000000"/>
          <w:spacing w:val="-12"/>
          <w:sz w:val="28"/>
          <w:szCs w:val="28"/>
        </w:rPr>
      </w:pPr>
      <w:r>
        <w:rPr>
          <w:rFonts w:hint="eastAsia" w:ascii="宋体" w:hAnsi="宋体" w:cs="宋体"/>
          <w:color w:val="000000"/>
          <w:spacing w:val="-12"/>
          <w:sz w:val="28"/>
          <w:szCs w:val="28"/>
        </w:rPr>
        <w:t>商咨协字[202</w:t>
      </w:r>
      <w:r>
        <w:rPr>
          <w:rFonts w:hint="eastAsia" w:ascii="宋体" w:hAnsi="宋体" w:cs="宋体"/>
          <w:color w:val="000000"/>
          <w:spacing w:val="-12"/>
          <w:sz w:val="28"/>
          <w:szCs w:val="28"/>
          <w:lang w:val="en-US" w:eastAsia="zh-CN"/>
        </w:rPr>
        <w:t>1</w:t>
      </w:r>
      <w:r>
        <w:rPr>
          <w:rFonts w:hint="eastAsia" w:ascii="宋体" w:hAnsi="宋体" w:cs="宋体"/>
          <w:color w:val="000000"/>
          <w:spacing w:val="-12"/>
          <w:sz w:val="28"/>
          <w:szCs w:val="28"/>
        </w:rPr>
        <w:t xml:space="preserve">] </w:t>
      </w:r>
      <w:r>
        <w:rPr>
          <w:rFonts w:hint="eastAsia" w:ascii="宋体" w:hAnsi="宋体" w:cs="宋体"/>
          <w:color w:val="000000"/>
          <w:spacing w:val="-12"/>
          <w:sz w:val="28"/>
          <w:szCs w:val="28"/>
          <w:lang w:val="en-US" w:eastAsia="zh-CN"/>
        </w:rPr>
        <w:t xml:space="preserve">090 </w:t>
      </w:r>
      <w:r>
        <w:rPr>
          <w:rFonts w:hint="eastAsia" w:ascii="宋体" w:hAnsi="宋体" w:cs="宋体"/>
          <w:color w:val="000000"/>
          <w:spacing w:val="-12"/>
          <w:sz w:val="28"/>
          <w:szCs w:val="28"/>
        </w:rPr>
        <w:t>号</w:t>
      </w:r>
    </w:p>
    <w:p>
      <w:pPr>
        <w:ind w:right="600"/>
        <w:rPr>
          <w:rFonts w:ascii="仿宋_GB2312" w:eastAsia="仿宋_GB2312" w:cs="仿宋_GB2312"/>
          <w:sz w:val="30"/>
          <w:szCs w:val="30"/>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paragraph">
                  <wp:posOffset>92075</wp:posOffset>
                </wp:positionV>
                <wp:extent cx="6191250" cy="0"/>
                <wp:effectExtent l="0" t="0" r="19050" b="19050"/>
                <wp:wrapNone/>
                <wp:docPr id="2" name="直线 2"/>
                <wp:cNvGraphicFramePr/>
                <a:graphic xmlns:a="http://schemas.openxmlformats.org/drawingml/2006/main">
                  <a:graphicData uri="http://schemas.microsoft.com/office/word/2010/wordprocessingShape">
                    <wps:wsp>
                      <wps:cNvCnPr/>
                      <wps:spPr>
                        <a:xfrm>
                          <a:off x="0" y="0"/>
                          <a:ext cx="619125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6.85pt;margin-top:7.25pt;height:0pt;width:487.5pt;z-index:251659264;mso-width-relative:page;mso-height-relative:page;" filled="f" stroked="t" coordsize="21600,21600" o:gfxdata="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737gtgAAAAJAQAADwAAAAAAAAABACAAAAAiAAAAZHJzL2Rvd25y&#10;ZXYueG1sUEsBAhQAFAAAAAgAh07iQPj5HITFAQAAggMAAA4AAAAAAAAAAQAgAAAAJwEAAGRycy9l&#10;Mm9Eb2MueG1sUEsFBgAAAAAGAAYAWQEAAF4FAAAAAA==&#10;">
                <v:fill on="f" focussize="0,0"/>
                <v:stroke weight="1.5pt" color="#FF0000" joinstyle="round"/>
                <v:imagedata o:title=""/>
                <o:lock v:ext="edit" aspectratio="f"/>
              </v:line>
            </w:pict>
          </mc:Fallback>
        </mc:AlternateContent>
      </w:r>
    </w:p>
    <w:p>
      <w:pPr>
        <w:jc w:val="center"/>
        <w:rPr>
          <w:rFonts w:ascii="方正小标宋简体" w:hAnsi="方正小标宋简体" w:eastAsia="方正小标宋简体" w:cs="方正小标宋简体"/>
          <w:b/>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关于举办金税四期以数治税背景下</w:t>
      </w:r>
    </w:p>
    <w:p>
      <w:pPr>
        <w:jc w:val="center"/>
        <w:rPr>
          <w:rFonts w:ascii="方正小标宋简体" w:hAnsi="方正小标宋简体" w:eastAsia="方正小标宋简体" w:cs="方正小标宋简体"/>
          <w:b/>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建筑业税务风险安全管控与人力成本规划之道</w:t>
      </w:r>
    </w:p>
    <w:p>
      <w:pPr>
        <w:jc w:val="center"/>
        <w:rPr>
          <w:rFonts w:ascii="方正小标宋简体" w:hAnsi="方正小标宋简体" w:eastAsia="方正小标宋简体" w:cs="方正小标宋简体"/>
          <w:b/>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培训的通知</w:t>
      </w:r>
    </w:p>
    <w:p>
      <w:pPr>
        <w:spacing w:line="480" w:lineRule="exact"/>
        <w:jc w:val="center"/>
        <w:rPr>
          <w:rFonts w:ascii="方正小标宋简体" w:hAnsi="方正小标宋简体" w:eastAsia="方正小标宋简体" w:cs="方正小标宋简体"/>
          <w:b/>
          <w:color w:val="000000" w:themeColor="text1"/>
          <w:sz w:val="36"/>
          <w:szCs w:val="36"/>
          <w14:textFill>
            <w14:solidFill>
              <w14:schemeClr w14:val="tx1"/>
            </w14:solidFill>
          </w14:textFill>
        </w:rPr>
      </w:pPr>
    </w:p>
    <w:p>
      <w:pPr>
        <w:tabs>
          <w:tab w:val="left" w:pos="709"/>
        </w:tabs>
        <w:spacing w:line="500" w:lineRule="exact"/>
        <w:jc w:val="left"/>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各有关单位：</w:t>
      </w:r>
    </w:p>
    <w:p>
      <w:pPr>
        <w:tabs>
          <w:tab w:val="left" w:pos="709"/>
        </w:tabs>
        <w:spacing w:line="500" w:lineRule="exact"/>
        <w:jc w:val="left"/>
        <w:rPr>
          <w:rFonts w:hint="eastAsia" w:ascii="仿宋" w:hAnsi="仿宋" w:eastAsia="仿宋" w:cs="仿宋"/>
          <w:b/>
          <w:color w:val="000000" w:themeColor="text1"/>
          <w:kern w:val="0"/>
          <w:sz w:val="32"/>
          <w:szCs w:val="32"/>
          <w14:textFill>
            <w14:solidFill>
              <w14:schemeClr w14:val="tx1"/>
            </w14:solidFill>
          </w14:textFill>
        </w:rPr>
      </w:pPr>
    </w:p>
    <w:p>
      <w:pPr>
        <w:widowControl/>
        <w:ind w:firstLine="680" w:firstLineChars="200"/>
        <w:jc w:val="left"/>
        <w:rPr>
          <w:rFonts w:hint="eastAsia" w:ascii="仿宋" w:hAnsi="仿宋" w:eastAsia="仿宋" w:cs="仿宋"/>
          <w:color w:val="000000"/>
          <w:spacing w:val="10"/>
          <w:sz w:val="32"/>
          <w:szCs w:val="32"/>
        </w:rPr>
      </w:pPr>
      <w:r>
        <w:rPr>
          <w:rFonts w:hint="eastAsia" w:ascii="仿宋" w:hAnsi="仿宋" w:eastAsia="仿宋" w:cs="仿宋"/>
          <w:color w:val="000000"/>
          <w:spacing w:val="10"/>
          <w:sz w:val="32"/>
          <w:szCs w:val="32"/>
        </w:rPr>
        <w:t>2021年9月15日，王军在金砖国家税务局长会议上的发言指出，我们正在以发票全领域、全环节、全要素电子化改革为突破口，启动实施金税工程四期建设，持续拓展税收大数据资源，深入推进内外部涉税数据汇聚联通、线上线下数据有机贯通。</w:t>
      </w:r>
    </w:p>
    <w:p>
      <w:pPr>
        <w:widowControl/>
        <w:ind w:firstLine="680" w:firstLineChars="200"/>
        <w:jc w:val="left"/>
        <w:rPr>
          <w:rFonts w:hint="eastAsia" w:ascii="仿宋" w:hAnsi="仿宋" w:eastAsia="仿宋" w:cs="仿宋"/>
          <w:color w:val="000000"/>
          <w:spacing w:val="10"/>
          <w:sz w:val="32"/>
          <w:szCs w:val="32"/>
        </w:rPr>
      </w:pPr>
      <w:r>
        <w:rPr>
          <w:rFonts w:hint="eastAsia" w:ascii="仿宋" w:hAnsi="仿宋" w:eastAsia="仿宋" w:cs="仿宋"/>
          <w:color w:val="000000"/>
          <w:spacing w:val="10"/>
          <w:sz w:val="32"/>
          <w:szCs w:val="32"/>
        </w:rPr>
        <w:t>随着金税四期的上线，税务监管的 “AI，算法，大数据，金税天网时代”到来了，2021年建筑业面临一个前所未有的严监管环境，税收贯穿生产经营全流程，纳税风险与税收相伴而生！业务决定税务，税务影响业务。智能化时代无法逃避，企业只能走升级观念，迭代技术之路！</w:t>
      </w:r>
    </w:p>
    <w:p>
      <w:pPr>
        <w:widowControl/>
        <w:ind w:firstLine="680" w:firstLineChars="200"/>
        <w:jc w:val="left"/>
        <w:rPr>
          <w:rFonts w:hint="eastAsia" w:ascii="仿宋" w:hAnsi="仿宋" w:eastAsia="仿宋" w:cs="仿宋"/>
          <w:color w:val="000000"/>
          <w:spacing w:val="10"/>
          <w:sz w:val="32"/>
          <w:szCs w:val="32"/>
        </w:rPr>
      </w:pPr>
      <w:r>
        <w:rPr>
          <w:rFonts w:hint="eastAsia" w:ascii="仿宋" w:hAnsi="仿宋" w:eastAsia="仿宋" w:cs="仿宋"/>
          <w:color w:val="000000"/>
          <w:spacing w:val="10"/>
          <w:sz w:val="32"/>
          <w:szCs w:val="32"/>
        </w:rPr>
        <w:t>另外在2019年个人所得税改革、2020年11月国家全面推行社保入税、金税四期上线等政策背景下，政府全方位的监管体系已经建立，建筑企业用工政策已经发生重大变化。社保入税，以降低社保基数为主的人力成本筹划必将翻盘，未来社保合规化，乃至建安企业全面合规化为大势所趋，如何在社保合规的前提下，进行有效的人力成本筹划，也是建安企业的头等要事。在减税降费和全面合规双重背景下，建安企业如何在新挑战面前打好组合拳？社保、人工成本、组织变革将何去何从？建安企业是否需要新的用工模式来支撑？如何降低用工风险，减少企业隐性成本的支出？ 也是建安企业同样面临的问题。</w:t>
      </w:r>
    </w:p>
    <w:p>
      <w:pPr>
        <w:widowControl/>
        <w:ind w:firstLine="680" w:firstLineChars="200"/>
        <w:jc w:val="left"/>
        <w:rPr>
          <w:rFonts w:hint="eastAsia" w:ascii="仿宋" w:hAnsi="仿宋" w:eastAsia="仿宋" w:cs="仿宋"/>
          <w:color w:val="000000"/>
          <w:spacing w:val="10"/>
          <w:sz w:val="32"/>
          <w:szCs w:val="32"/>
        </w:rPr>
      </w:pPr>
      <w:r>
        <w:rPr>
          <w:rFonts w:hint="eastAsia" w:ascii="仿宋" w:hAnsi="仿宋" w:eastAsia="仿宋" w:cs="仿宋"/>
          <w:color w:val="000000"/>
          <w:spacing w:val="10"/>
          <w:sz w:val="32"/>
          <w:szCs w:val="32"/>
        </w:rPr>
        <w:t>您需要的,不再是星星点灯式的、治标不治本的“术”、“器”之策,应当是天罗地网式、多税种联动的 “道”、“法”谋略。</w:t>
      </w:r>
    </w:p>
    <w:p>
      <w:pPr>
        <w:widowControl/>
        <w:ind w:firstLine="680" w:firstLineChars="200"/>
        <w:jc w:val="left"/>
        <w:rPr>
          <w:rFonts w:hint="eastAsia" w:ascii="仿宋" w:hAnsi="仿宋" w:eastAsia="仿宋" w:cs="仿宋"/>
          <w:color w:val="000000"/>
          <w:spacing w:val="10"/>
          <w:sz w:val="32"/>
          <w:szCs w:val="32"/>
        </w:rPr>
      </w:pPr>
      <w:r>
        <w:rPr>
          <w:rFonts w:hint="eastAsia" w:ascii="仿宋" w:hAnsi="仿宋" w:eastAsia="仿宋" w:cs="仿宋"/>
          <w:color w:val="000000"/>
          <w:spacing w:val="10"/>
          <w:sz w:val="32"/>
          <w:szCs w:val="32"/>
        </w:rPr>
        <w:t>本课程系统介绍税务监管系统的底层逻辑和企业内控方法，用大量建筑业案例来阐述税务监管的重点内容，优化的建筑业顶层架构，引导建筑企业管理者将公司的业务置于安全的环境中。运用各种工具方法，来实现建筑企业的降本增效，防范和规避建筑企业各类财税风险。</w:t>
      </w:r>
      <w:r>
        <w:rPr>
          <w:rFonts w:hint="eastAsia" w:ascii="仿宋" w:hAnsi="仿宋" w:eastAsia="仿宋" w:cs="仿宋"/>
          <w:color w:val="000000"/>
          <w:spacing w:val="10"/>
          <w:sz w:val="32"/>
          <w:szCs w:val="32"/>
          <w:lang w:val="en-US" w:eastAsia="zh-CN"/>
        </w:rPr>
        <w:t>我会</w:t>
      </w:r>
      <w:r>
        <w:rPr>
          <w:rFonts w:hint="eastAsia" w:ascii="仿宋" w:hAnsi="仿宋" w:eastAsia="仿宋" w:cs="仿宋"/>
          <w:color w:val="000000"/>
          <w:spacing w:val="10"/>
          <w:sz w:val="32"/>
          <w:szCs w:val="32"/>
        </w:rPr>
        <w:t>特定于1</w:t>
      </w:r>
      <w:r>
        <w:rPr>
          <w:rFonts w:hint="eastAsia" w:ascii="仿宋" w:hAnsi="仿宋" w:eastAsia="仿宋" w:cs="仿宋"/>
          <w:color w:val="000000"/>
          <w:spacing w:val="10"/>
          <w:sz w:val="32"/>
          <w:szCs w:val="32"/>
          <w:lang w:val="en-US" w:eastAsia="zh-CN"/>
        </w:rPr>
        <w:t>1</w:t>
      </w:r>
      <w:r>
        <w:rPr>
          <w:rFonts w:hint="eastAsia" w:ascii="仿宋" w:hAnsi="仿宋" w:eastAsia="仿宋" w:cs="仿宋"/>
          <w:color w:val="000000"/>
          <w:spacing w:val="10"/>
          <w:sz w:val="32"/>
          <w:szCs w:val="32"/>
        </w:rPr>
        <w:t>月</w:t>
      </w:r>
      <w:r>
        <w:rPr>
          <w:rFonts w:hint="eastAsia" w:ascii="仿宋" w:hAnsi="仿宋" w:eastAsia="仿宋" w:cs="仿宋"/>
          <w:color w:val="000000"/>
          <w:spacing w:val="10"/>
          <w:sz w:val="32"/>
          <w:szCs w:val="32"/>
          <w:lang w:val="en-US" w:eastAsia="zh-CN"/>
        </w:rPr>
        <w:t>和12月分别在杭州</w:t>
      </w:r>
      <w:r>
        <w:rPr>
          <w:rFonts w:hint="eastAsia" w:ascii="仿宋" w:hAnsi="仿宋" w:eastAsia="仿宋" w:cs="仿宋"/>
          <w:color w:val="000000"/>
          <w:spacing w:val="10"/>
          <w:sz w:val="32"/>
          <w:szCs w:val="32"/>
        </w:rPr>
        <w:t>市</w:t>
      </w:r>
      <w:r>
        <w:rPr>
          <w:rFonts w:hint="eastAsia" w:ascii="仿宋" w:hAnsi="仿宋" w:eastAsia="仿宋" w:cs="仿宋"/>
          <w:color w:val="000000"/>
          <w:spacing w:val="10"/>
          <w:sz w:val="32"/>
          <w:szCs w:val="32"/>
          <w:lang w:val="en-US" w:eastAsia="zh-CN"/>
        </w:rPr>
        <w:t>和成都市</w:t>
      </w:r>
      <w:r>
        <w:rPr>
          <w:rFonts w:hint="eastAsia" w:ascii="仿宋" w:hAnsi="仿宋" w:eastAsia="仿宋" w:cs="仿宋"/>
          <w:color w:val="000000"/>
          <w:spacing w:val="10"/>
          <w:sz w:val="32"/>
          <w:szCs w:val="32"/>
        </w:rPr>
        <w:t>举办“金税四期以数治税背景下建筑业税务风险安全管控与人力成本规划之道”课程培训，现将有关事项通知如下：</w:t>
      </w:r>
    </w:p>
    <w:p>
      <w:pPr>
        <w:tabs>
          <w:tab w:val="left" w:pos="584"/>
          <w:tab w:val="left" w:pos="709"/>
        </w:tabs>
        <w:spacing w:line="500" w:lineRule="exact"/>
        <w:jc w:val="left"/>
        <w:rPr>
          <w:rFonts w:ascii="仿宋" w:hAnsi="仿宋" w:eastAsia="仿宋" w:cs="仿宋"/>
          <w:color w:val="181717" w:themeColor="background2" w:themeShade="1A"/>
          <w:kern w:val="0"/>
          <w:sz w:val="32"/>
          <w:szCs w:val="32"/>
          <w:highlight w:val="none"/>
        </w:rPr>
      </w:pPr>
      <w:r>
        <w:rPr>
          <w:rFonts w:hint="eastAsia" w:ascii="仿宋" w:hAnsi="仿宋" w:eastAsia="仿宋" w:cs="仿宋"/>
          <w:b/>
          <w:color w:val="181717" w:themeColor="background2" w:themeShade="1A"/>
          <w:spacing w:val="8"/>
          <w:sz w:val="32"/>
          <w:szCs w:val="32"/>
          <w:highlight w:val="none"/>
          <w:shd w:val="clear" w:color="auto" w:fill="FFFFFF"/>
          <w:lang w:val="en-US" w:eastAsia="zh-CN"/>
        </w:rPr>
        <w:t>一、</w:t>
      </w:r>
      <w:r>
        <w:rPr>
          <w:rFonts w:hint="eastAsia" w:ascii="仿宋" w:hAnsi="仿宋" w:eastAsia="仿宋" w:cs="仿宋"/>
          <w:b/>
          <w:color w:val="181717" w:themeColor="background2" w:themeShade="1A"/>
          <w:spacing w:val="8"/>
          <w:sz w:val="32"/>
          <w:szCs w:val="32"/>
          <w:highlight w:val="none"/>
          <w:shd w:val="clear" w:color="auto" w:fill="FFFFFF"/>
        </w:rPr>
        <w:t>【培训收益】</w:t>
      </w:r>
    </w:p>
    <w:p>
      <w:pPr>
        <w:pStyle w:val="14"/>
        <w:numPr>
          <w:ilvl w:val="0"/>
          <w:numId w:val="1"/>
        </w:numPr>
        <w:tabs>
          <w:tab w:val="left" w:pos="584"/>
          <w:tab w:val="left" w:pos="709"/>
        </w:tabs>
        <w:spacing w:line="500" w:lineRule="exact"/>
        <w:ind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精准把控金税四期对建筑企业的影响</w:t>
      </w:r>
    </w:p>
    <w:p>
      <w:pPr>
        <w:pStyle w:val="14"/>
        <w:numPr>
          <w:ilvl w:val="0"/>
          <w:numId w:val="1"/>
        </w:numPr>
        <w:tabs>
          <w:tab w:val="left" w:pos="584"/>
          <w:tab w:val="left" w:pos="709"/>
        </w:tabs>
        <w:spacing w:line="500" w:lineRule="exact"/>
        <w:ind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掌握建筑企业人力规划方法方法</w:t>
      </w:r>
    </w:p>
    <w:p>
      <w:pPr>
        <w:pStyle w:val="14"/>
        <w:numPr>
          <w:ilvl w:val="0"/>
          <w:numId w:val="1"/>
        </w:numPr>
        <w:tabs>
          <w:tab w:val="left" w:pos="584"/>
          <w:tab w:val="left" w:pos="709"/>
        </w:tabs>
        <w:spacing w:line="500" w:lineRule="exact"/>
        <w:ind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学会多种化解财税难题的工具落地方案</w:t>
      </w:r>
    </w:p>
    <w:p>
      <w:pPr>
        <w:tabs>
          <w:tab w:val="left" w:pos="584"/>
          <w:tab w:val="left" w:pos="709"/>
        </w:tabs>
        <w:spacing w:line="500" w:lineRule="exact"/>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181717" w:themeColor="background2" w:themeShade="1A"/>
          <w:spacing w:val="8"/>
          <w:sz w:val="32"/>
          <w:szCs w:val="32"/>
          <w:shd w:val="clear" w:color="auto" w:fill="FFFFFF"/>
          <w:lang w:val="en-US" w:eastAsia="zh-CN"/>
        </w:rPr>
        <w:t>二</w:t>
      </w:r>
      <w:r>
        <w:rPr>
          <w:rFonts w:hint="eastAsia" w:ascii="仿宋" w:hAnsi="仿宋" w:eastAsia="仿宋" w:cs="仿宋"/>
          <w:b/>
          <w:color w:val="000000" w:themeColor="text1"/>
          <w:spacing w:val="8"/>
          <w:sz w:val="32"/>
          <w:szCs w:val="32"/>
          <w:shd w:val="clear" w:color="auto" w:fill="FFFFFF"/>
          <w:lang w:val="en-US" w:eastAsia="zh-CN"/>
          <w14:textFill>
            <w14:solidFill>
              <w14:schemeClr w14:val="tx1"/>
            </w14:solidFill>
          </w14:textFill>
        </w:rPr>
        <w:t>、</w:t>
      </w:r>
      <w:r>
        <w:rPr>
          <w:rFonts w:hint="eastAsia" w:ascii="仿宋" w:hAnsi="仿宋" w:eastAsia="仿宋" w:cs="仿宋"/>
          <w:b/>
          <w:color w:val="000000" w:themeColor="text1"/>
          <w:spacing w:val="8"/>
          <w:sz w:val="32"/>
          <w:szCs w:val="32"/>
          <w:shd w:val="clear" w:color="auto" w:fill="FFFFFF"/>
          <w14:textFill>
            <w14:solidFill>
              <w14:schemeClr w14:val="tx1"/>
            </w14:solidFill>
          </w14:textFill>
        </w:rPr>
        <w:t>【培训内容】</w:t>
      </w:r>
    </w:p>
    <w:p>
      <w:pPr>
        <w:tabs>
          <w:tab w:val="left" w:pos="709"/>
        </w:tabs>
        <w:spacing w:line="500" w:lineRule="exact"/>
        <w:ind w:firstLine="640" w:firstLineChars="200"/>
        <w:jc w:val="left"/>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第一天内容</w:t>
      </w:r>
    </w:p>
    <w:p>
      <w:pPr>
        <w:tabs>
          <w:tab w:val="left" w:pos="709"/>
        </w:tabs>
        <w:spacing w:line="500" w:lineRule="exact"/>
        <w:ind w:firstLine="640" w:firstLineChars="200"/>
        <w:jc w:val="left"/>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模块一 中国财税环境变化对建筑行业的冲击</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1.1 深度解读9月15日金砖国家税务局长会议传达的信号</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1.2 总局端指挥台——金税四期</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1.3 智能稽查——智慧案件办理系统</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1.4 发票穿透——反洗票系统</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1.5 票款合一——区块链管理系统</w:t>
      </w:r>
    </w:p>
    <w:p>
      <w:pPr>
        <w:tabs>
          <w:tab w:val="left" w:pos="709"/>
        </w:tabs>
        <w:spacing w:line="500" w:lineRule="exact"/>
        <w:ind w:firstLine="640" w:firstLineChars="200"/>
        <w:jc w:val="left"/>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模块二 建筑业风险梳理及安全应对</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2.1 收入侧风险梳理及安全应对</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收入确认与完工进度不匹配存在晚纳税的风险</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税率选择与税务认定存在偏差</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2.2 成本侧风险梳理及安全应对</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设备租赁无票处理</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辅料无票处理</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农民工工资社保的处理</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资质共享项目利润的处理</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2.3 股权架构与财富传承</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股东借款的风险</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不同持股人不同分红税</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信托的应用与财富管理</w:t>
      </w:r>
    </w:p>
    <w:p>
      <w:pPr>
        <w:tabs>
          <w:tab w:val="left" w:pos="709"/>
        </w:tabs>
        <w:spacing w:line="500" w:lineRule="exact"/>
        <w:ind w:firstLine="640" w:firstLineChars="200"/>
        <w:jc w:val="left"/>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模块三 金税四期预警规则与预警指标</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3.1 增值税预警规则与预警指标</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3.2 企业所得税预警规则与预警指标</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3.3 个人所得税预警规则与预警指标</w:t>
      </w:r>
    </w:p>
    <w:p>
      <w:pPr>
        <w:tabs>
          <w:tab w:val="left" w:pos="709"/>
        </w:tabs>
        <w:spacing w:line="500" w:lineRule="exact"/>
        <w:ind w:firstLine="640" w:firstLineChars="200"/>
        <w:jc w:val="left"/>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模块四 案例分享</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4.1 案例讲解顶层架构设计与税收安全</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4.2 案例讲解业务流程设计与税收安全</w:t>
      </w:r>
    </w:p>
    <w:p>
      <w:pPr>
        <w:tabs>
          <w:tab w:val="left" w:pos="709"/>
        </w:tabs>
        <w:spacing w:line="5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第二天内容</w:t>
      </w:r>
    </w:p>
    <w:p>
      <w:pPr>
        <w:widowControl/>
        <w:spacing w:line="420" w:lineRule="exact"/>
        <w:ind w:right="-191" w:rightChars="-91" w:firstLine="640" w:firstLineChars="200"/>
        <w:rPr>
          <w:rFonts w:ascii="仿宋" w:hAnsi="仿宋" w:eastAsia="仿宋" w:cs="仿宋"/>
          <w:b/>
          <w:color w:val="000000" w:themeColor="text1"/>
          <w:kern w:val="0"/>
          <w:sz w:val="32"/>
          <w:szCs w:val="32"/>
          <w14:textFill>
            <w14:solidFill>
              <w14:schemeClr w14:val="tx1"/>
            </w14:solidFill>
          </w14:textFill>
        </w:rPr>
      </w:pPr>
      <w:bookmarkStart w:id="0" w:name="_Hlk85527820"/>
      <w:r>
        <w:rPr>
          <w:rFonts w:hint="eastAsia" w:ascii="仿宋" w:hAnsi="仿宋" w:eastAsia="仿宋" w:cs="仿宋"/>
          <w:b/>
          <w:color w:val="000000" w:themeColor="text1"/>
          <w:kern w:val="0"/>
          <w:sz w:val="32"/>
          <w:szCs w:val="32"/>
          <w14:textFill>
            <w14:solidFill>
              <w14:schemeClr w14:val="tx1"/>
            </w14:solidFill>
          </w14:textFill>
        </w:rPr>
        <w:t>模块一 企业人工成本</w:t>
      </w:r>
    </w:p>
    <w:p>
      <w:pPr>
        <w:pStyle w:val="14"/>
        <w:numPr>
          <w:ilvl w:val="1"/>
          <w:numId w:val="2"/>
        </w:numPr>
        <w:tabs>
          <w:tab w:val="left" w:pos="709"/>
        </w:tabs>
        <w:spacing w:line="50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什么是人工成本？</w:t>
      </w:r>
    </w:p>
    <w:p>
      <w:pPr>
        <w:pStyle w:val="14"/>
        <w:widowControl/>
        <w:numPr>
          <w:ilvl w:val="1"/>
          <w:numId w:val="2"/>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人工成本的构成和分类</w:t>
      </w:r>
    </w:p>
    <w:p>
      <w:pPr>
        <w:widowControl/>
        <w:spacing w:line="420" w:lineRule="exact"/>
        <w:ind w:right="-191" w:rightChars="-91" w:firstLine="640" w:firstLineChars="200"/>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模块二 建安企业面临的用工风险</w:t>
      </w:r>
    </w:p>
    <w:p>
      <w:pPr>
        <w:pStyle w:val="14"/>
        <w:widowControl/>
        <w:numPr>
          <w:ilvl w:val="1"/>
          <w:numId w:val="3"/>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建安企业面临的用工风险分析</w:t>
      </w:r>
    </w:p>
    <w:p>
      <w:pPr>
        <w:pStyle w:val="14"/>
        <w:widowControl/>
        <w:numPr>
          <w:ilvl w:val="2"/>
          <w:numId w:val="3"/>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建安企业普遍采用降本的方法</w:t>
      </w:r>
    </w:p>
    <w:p>
      <w:pPr>
        <w:pStyle w:val="14"/>
        <w:widowControl/>
        <w:numPr>
          <w:ilvl w:val="2"/>
          <w:numId w:val="3"/>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公司制度不合法，将面临哪些风险</w:t>
      </w:r>
    </w:p>
    <w:p>
      <w:pPr>
        <w:pStyle w:val="14"/>
        <w:widowControl/>
        <w:numPr>
          <w:ilvl w:val="2"/>
          <w:numId w:val="3"/>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多元化用工，建安企业面临的风险</w:t>
      </w:r>
    </w:p>
    <w:p>
      <w:pPr>
        <w:pStyle w:val="14"/>
        <w:widowControl/>
        <w:numPr>
          <w:ilvl w:val="2"/>
          <w:numId w:val="3"/>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劳务分包、资质挂靠，建安企业面临的风险</w:t>
      </w:r>
    </w:p>
    <w:bookmarkEnd w:id="0"/>
    <w:p>
      <w:pPr>
        <w:widowControl/>
        <w:spacing w:line="420" w:lineRule="exact"/>
        <w:ind w:right="-191" w:rightChars="-91"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w:t>
      </w:r>
      <w:r>
        <w:rPr>
          <w:rFonts w:ascii="仿宋" w:hAnsi="仿宋" w:eastAsia="仿宋" w:cs="仿宋"/>
          <w:color w:val="000000" w:themeColor="text1"/>
          <w:kern w:val="0"/>
          <w:sz w:val="32"/>
          <w:szCs w:val="32"/>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社保“改嫁”税务给企业带来的影响</w:t>
      </w:r>
    </w:p>
    <w:p>
      <w:pPr>
        <w:widowControl/>
        <w:spacing w:line="420" w:lineRule="exact"/>
        <w:ind w:right="-191" w:rightChars="-91" w:firstLine="1280" w:firstLineChars="4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2.2.1</w:t>
      </w:r>
      <w:r>
        <w:rPr>
          <w:rFonts w:hint="eastAsia" w:ascii="仿宋" w:hAnsi="仿宋" w:eastAsia="仿宋" w:cs="仿宋"/>
          <w:color w:val="000000" w:themeColor="text1"/>
          <w:kern w:val="0"/>
          <w:sz w:val="32"/>
          <w:szCs w:val="32"/>
          <w14:textFill>
            <w14:solidFill>
              <w14:schemeClr w14:val="tx1"/>
            </w14:solidFill>
          </w14:textFill>
        </w:rPr>
        <w:t>“社保入税”政策及其背景</w:t>
      </w:r>
    </w:p>
    <w:p>
      <w:pPr>
        <w:pStyle w:val="14"/>
        <w:widowControl/>
        <w:numPr>
          <w:ilvl w:val="2"/>
          <w:numId w:val="4"/>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社保统一征管代表社保改革的方向</w:t>
      </w:r>
    </w:p>
    <w:p>
      <w:pPr>
        <w:pStyle w:val="14"/>
        <w:widowControl/>
        <w:numPr>
          <w:ilvl w:val="2"/>
          <w:numId w:val="4"/>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税务征收社保与人社征收口径是否有差异？</w:t>
      </w:r>
    </w:p>
    <w:p>
      <w:pPr>
        <w:pStyle w:val="14"/>
        <w:widowControl/>
        <w:numPr>
          <w:ilvl w:val="2"/>
          <w:numId w:val="4"/>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社保由税务局统征对企业的影响及趋势分析</w:t>
      </w:r>
    </w:p>
    <w:p>
      <w:pPr>
        <w:widowControl/>
        <w:spacing w:line="420" w:lineRule="exact"/>
        <w:ind w:right="-191" w:rightChars="-91"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w:t>
      </w:r>
      <w:r>
        <w:rPr>
          <w:rFonts w:ascii="仿宋" w:hAnsi="仿宋" w:eastAsia="仿宋" w:cs="仿宋"/>
          <w:color w:val="000000" w:themeColor="text1"/>
          <w:kern w:val="0"/>
          <w:sz w:val="32"/>
          <w:szCs w:val="32"/>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社保“改嫁”税务给企业带来的挑战</w:t>
      </w:r>
    </w:p>
    <w:p>
      <w:pPr>
        <w:widowControl/>
        <w:spacing w:line="420" w:lineRule="exact"/>
        <w:ind w:right="-191" w:rightChars="-91" w:firstLine="1280" w:firstLineChars="4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2.3.1</w:t>
      </w:r>
      <w:r>
        <w:rPr>
          <w:rFonts w:hint="eastAsia" w:ascii="仿宋" w:hAnsi="仿宋" w:eastAsia="仿宋" w:cs="仿宋"/>
          <w:color w:val="000000" w:themeColor="text1"/>
          <w:kern w:val="0"/>
          <w:sz w:val="32"/>
          <w:szCs w:val="32"/>
          <w14:textFill>
            <w14:solidFill>
              <w14:schemeClr w14:val="tx1"/>
            </w14:solidFill>
          </w14:textFill>
        </w:rPr>
        <w:t>社保基数大起底，您的企业是否足额缴纳社保？</w:t>
      </w:r>
    </w:p>
    <w:p>
      <w:pPr>
        <w:widowControl/>
        <w:spacing w:line="420" w:lineRule="exact"/>
        <w:ind w:right="-191" w:rightChars="-91" w:firstLine="1280" w:firstLineChars="4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w:t>
      </w:r>
      <w:r>
        <w:rPr>
          <w:rFonts w:ascii="仿宋" w:hAnsi="仿宋" w:eastAsia="仿宋" w:cs="仿宋"/>
          <w:color w:val="000000" w:themeColor="text1"/>
          <w:kern w:val="0"/>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现阶段，企业社保缴纳现状</w:t>
      </w:r>
    </w:p>
    <w:p>
      <w:pPr>
        <w:widowControl/>
        <w:spacing w:line="420" w:lineRule="exact"/>
        <w:ind w:right="-191" w:rightChars="-91" w:firstLine="1280" w:firstLineChars="4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2.3.3</w:t>
      </w:r>
      <w:r>
        <w:rPr>
          <w:rFonts w:hint="eastAsia" w:ascii="仿宋" w:hAnsi="仿宋" w:eastAsia="仿宋" w:cs="仿宋"/>
          <w:color w:val="000000" w:themeColor="text1"/>
          <w:kern w:val="0"/>
          <w:sz w:val="32"/>
          <w:szCs w:val="32"/>
          <w14:textFill>
            <w14:solidFill>
              <w14:schemeClr w14:val="tx1"/>
            </w14:solidFill>
          </w14:textFill>
        </w:rPr>
        <w:t>未合规缴纳社保，对员工切身利益的影响</w:t>
      </w:r>
    </w:p>
    <w:p>
      <w:pPr>
        <w:widowControl/>
        <w:spacing w:line="420" w:lineRule="exact"/>
        <w:ind w:right="-191" w:rightChars="-91" w:firstLine="1280" w:firstLineChars="4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2.3.4</w:t>
      </w:r>
      <w:r>
        <w:rPr>
          <w:rFonts w:hint="eastAsia" w:ascii="仿宋" w:hAnsi="仿宋" w:eastAsia="仿宋" w:cs="仿宋"/>
          <w:color w:val="000000" w:themeColor="text1"/>
          <w:kern w:val="0"/>
          <w:sz w:val="32"/>
          <w:szCs w:val="32"/>
          <w14:textFill>
            <w14:solidFill>
              <w14:schemeClr w14:val="tx1"/>
            </w14:solidFill>
          </w14:textFill>
        </w:rPr>
        <w:t>如何避免企业被列为社保稽查重点企业？</w:t>
      </w:r>
    </w:p>
    <w:p>
      <w:pPr>
        <w:widowControl/>
        <w:spacing w:line="420" w:lineRule="exact"/>
        <w:ind w:right="-191" w:rightChars="-91" w:firstLine="1280" w:firstLineChars="400"/>
        <w:rPr>
          <w:rFonts w:ascii="仿宋" w:hAnsi="仿宋" w:eastAsia="仿宋" w:cs="仿宋"/>
          <w:b/>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2.3.5</w:t>
      </w:r>
      <w:r>
        <w:rPr>
          <w:rFonts w:hint="eastAsia" w:ascii="仿宋" w:hAnsi="仿宋" w:eastAsia="仿宋" w:cs="仿宋"/>
          <w:color w:val="000000" w:themeColor="text1"/>
          <w:kern w:val="0"/>
          <w:sz w:val="32"/>
          <w:szCs w:val="32"/>
          <w14:textFill>
            <w14:solidFill>
              <w14:schemeClr w14:val="tx1"/>
            </w14:solidFill>
          </w14:textFill>
        </w:rPr>
        <w:t>未依法缴纳社保，企业需要承担哪些风险？</w:t>
      </w:r>
    </w:p>
    <w:p>
      <w:pPr>
        <w:widowControl/>
        <w:spacing w:line="420" w:lineRule="exact"/>
        <w:ind w:right="-191" w:rightChars="-91" w:firstLine="640" w:firstLineChars="200"/>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模块三 新业态下，人工成本筹划思路</w:t>
      </w:r>
    </w:p>
    <w:p>
      <w:pPr>
        <w:ind w:firstLine="640" w:firstLineChars="2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3.1</w:t>
      </w:r>
      <w:r>
        <w:rPr>
          <w:rFonts w:hint="eastAsia" w:ascii="仿宋" w:hAnsi="仿宋" w:eastAsia="仿宋" w:cs="仿宋"/>
          <w:color w:val="000000" w:themeColor="text1"/>
          <w:kern w:val="0"/>
          <w:sz w:val="32"/>
          <w:szCs w:val="32"/>
          <w14:textFill>
            <w14:solidFill>
              <w14:schemeClr w14:val="tx1"/>
            </w14:solidFill>
          </w14:textFill>
        </w:rPr>
        <w:t>多元化用工的用工风险防范与案例解析</w:t>
      </w:r>
    </w:p>
    <w:p>
      <w:pPr>
        <w:pStyle w:val="14"/>
        <w:widowControl/>
        <w:numPr>
          <w:ilvl w:val="2"/>
          <w:numId w:val="5"/>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劳动关系与劳务关系</w:t>
      </w:r>
    </w:p>
    <w:p>
      <w:pPr>
        <w:pStyle w:val="14"/>
        <w:widowControl/>
        <w:numPr>
          <w:ilvl w:val="2"/>
          <w:numId w:val="5"/>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非全日制用工管理合规性与劳动关系判定</w:t>
      </w:r>
    </w:p>
    <w:p>
      <w:pPr>
        <w:pStyle w:val="14"/>
        <w:widowControl/>
        <w:numPr>
          <w:ilvl w:val="2"/>
          <w:numId w:val="5"/>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临时工、季节工、实习生、离退休返聘人员的用工管理合规性</w:t>
      </w:r>
    </w:p>
    <w:p>
      <w:pPr>
        <w:pStyle w:val="14"/>
        <w:widowControl/>
        <w:numPr>
          <w:ilvl w:val="2"/>
          <w:numId w:val="5"/>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劳务派遣、外包用工模式与劳动关系判定</w:t>
      </w:r>
    </w:p>
    <w:p>
      <w:pPr>
        <w:pStyle w:val="14"/>
        <w:widowControl/>
        <w:numPr>
          <w:ilvl w:val="2"/>
          <w:numId w:val="5"/>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合伙平台的搭建</w:t>
      </w:r>
    </w:p>
    <w:p>
      <w:pPr>
        <w:widowControl/>
        <w:spacing w:line="420" w:lineRule="exact"/>
        <w:ind w:right="-191" w:rightChars="-91" w:firstLine="640" w:firstLineChars="2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3.2“工资薪酬”</w:t>
      </w:r>
      <w:r>
        <w:rPr>
          <w:rFonts w:hint="eastAsia" w:ascii="仿宋" w:hAnsi="仿宋" w:eastAsia="仿宋" w:cs="仿宋"/>
          <w:color w:val="000000" w:themeColor="text1"/>
          <w:kern w:val="0"/>
          <w:sz w:val="32"/>
          <w:szCs w:val="32"/>
          <w14:textFill>
            <w14:solidFill>
              <w14:schemeClr w14:val="tx1"/>
            </w14:solidFill>
          </w14:textFill>
        </w:rPr>
        <w:t>向</w:t>
      </w:r>
      <w:r>
        <w:rPr>
          <w:rFonts w:ascii="仿宋" w:hAnsi="仿宋" w:eastAsia="仿宋" w:cs="仿宋"/>
          <w:color w:val="000000" w:themeColor="text1"/>
          <w:kern w:val="0"/>
          <w:sz w:val="32"/>
          <w:szCs w:val="32"/>
          <w14:textFill>
            <w14:solidFill>
              <w14:schemeClr w14:val="tx1"/>
            </w14:solidFill>
          </w14:textFill>
        </w:rPr>
        <w:t>“福利</w:t>
      </w:r>
      <w:r>
        <w:rPr>
          <w:rFonts w:hint="eastAsia" w:ascii="仿宋" w:hAnsi="仿宋" w:eastAsia="仿宋" w:cs="仿宋"/>
          <w:color w:val="000000" w:themeColor="text1"/>
          <w:kern w:val="0"/>
          <w:sz w:val="32"/>
          <w:szCs w:val="32"/>
          <w14:textFill>
            <w14:solidFill>
              <w14:schemeClr w14:val="tx1"/>
            </w14:solidFill>
          </w14:textFill>
        </w:rPr>
        <w:t>费用</w:t>
      </w:r>
      <w:r>
        <w:rPr>
          <w:rFonts w:ascii="仿宋" w:hAnsi="仿宋" w:eastAsia="仿宋" w:cs="仿宋"/>
          <w:color w:val="000000" w:themeColor="text1"/>
          <w:kern w:val="0"/>
          <w:sz w:val="32"/>
          <w:szCs w:val="32"/>
          <w14:textFill>
            <w14:solidFill>
              <w14:schemeClr w14:val="tx1"/>
            </w14:solidFill>
          </w14:textFill>
        </w:rPr>
        <w:t>”转化</w:t>
      </w:r>
    </w:p>
    <w:p>
      <w:pPr>
        <w:pStyle w:val="14"/>
        <w:widowControl/>
        <w:numPr>
          <w:ilvl w:val="2"/>
          <w:numId w:val="1"/>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不列入缴费基数的项目包含哪些？</w:t>
      </w:r>
    </w:p>
    <w:p>
      <w:pPr>
        <w:pStyle w:val="14"/>
        <w:widowControl/>
        <w:numPr>
          <w:ilvl w:val="2"/>
          <w:numId w:val="1"/>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福利</w:t>
      </w:r>
      <w:r>
        <w:rPr>
          <w:rFonts w:ascii="仿宋" w:hAnsi="仿宋" w:eastAsia="仿宋" w:cs="仿宋"/>
          <w:color w:val="000000" w:themeColor="text1"/>
          <w:kern w:val="0"/>
          <w:sz w:val="32"/>
          <w:szCs w:val="32"/>
          <w14:textFill>
            <w14:solidFill>
              <w14:schemeClr w14:val="tx1"/>
            </w14:solidFill>
          </w14:textFill>
        </w:rPr>
        <w:t>费用转化的操作要点与实际应用</w:t>
      </w:r>
    </w:p>
    <w:p>
      <w:pPr>
        <w:widowControl/>
        <w:spacing w:line="420" w:lineRule="exact"/>
        <w:ind w:right="-191" w:rightChars="-91" w:firstLine="640" w:firstLineChars="2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3.3</w:t>
      </w:r>
      <w:r>
        <w:rPr>
          <w:rFonts w:hint="eastAsia" w:ascii="仿宋" w:hAnsi="仿宋" w:eastAsia="仿宋" w:cs="仿宋"/>
          <w:color w:val="000000" w:themeColor="text1"/>
          <w:kern w:val="0"/>
          <w:sz w:val="32"/>
          <w:szCs w:val="32"/>
          <w14:textFill>
            <w14:solidFill>
              <w14:schemeClr w14:val="tx1"/>
            </w14:solidFill>
          </w14:textFill>
        </w:rPr>
        <w:t>“工资薪酬”向“</w:t>
      </w:r>
      <w:r>
        <w:rPr>
          <w:rFonts w:ascii="仿宋" w:hAnsi="仿宋" w:eastAsia="仿宋" w:cs="仿宋"/>
          <w:color w:val="000000" w:themeColor="text1"/>
          <w:kern w:val="0"/>
          <w:sz w:val="32"/>
          <w:szCs w:val="32"/>
          <w14:textFill>
            <w14:solidFill>
              <w14:schemeClr w14:val="tx1"/>
            </w14:solidFill>
          </w14:textFill>
        </w:rPr>
        <w:t>合作</w:t>
      </w:r>
      <w:r>
        <w:rPr>
          <w:rFonts w:hint="eastAsia" w:ascii="仿宋" w:hAnsi="仿宋" w:eastAsia="仿宋" w:cs="仿宋"/>
          <w:color w:val="000000" w:themeColor="text1"/>
          <w:kern w:val="0"/>
          <w:sz w:val="32"/>
          <w:szCs w:val="32"/>
          <w14:textFill>
            <w14:solidFill>
              <w14:schemeClr w14:val="tx1"/>
            </w14:solidFill>
          </w14:textFill>
        </w:rPr>
        <w:t>模式”转化</w:t>
      </w:r>
    </w:p>
    <w:p>
      <w:pPr>
        <w:pStyle w:val="14"/>
        <w:widowControl/>
        <w:numPr>
          <w:ilvl w:val="2"/>
          <w:numId w:val="6"/>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人员外包在用工管理合规性分析及劳动关系判定</w:t>
      </w:r>
    </w:p>
    <w:p>
      <w:pPr>
        <w:pStyle w:val="14"/>
        <w:widowControl/>
        <w:numPr>
          <w:ilvl w:val="2"/>
          <w:numId w:val="6"/>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项目外</w:t>
      </w:r>
      <w:r>
        <w:rPr>
          <w:rFonts w:ascii="仿宋" w:hAnsi="仿宋" w:eastAsia="仿宋" w:cs="仿宋"/>
          <w:color w:val="000000" w:themeColor="text1"/>
          <w:kern w:val="0"/>
          <w:sz w:val="32"/>
          <w:szCs w:val="32"/>
          <w14:textFill>
            <w14:solidFill>
              <w14:schemeClr w14:val="tx1"/>
            </w14:solidFill>
          </w14:textFill>
        </w:rPr>
        <w:t>包</w:t>
      </w:r>
      <w:r>
        <w:rPr>
          <w:rFonts w:hint="eastAsia" w:ascii="仿宋" w:hAnsi="仿宋" w:eastAsia="仿宋" w:cs="仿宋"/>
          <w:color w:val="000000" w:themeColor="text1"/>
          <w:kern w:val="0"/>
          <w:sz w:val="32"/>
          <w:szCs w:val="32"/>
          <w14:textFill>
            <w14:solidFill>
              <w14:schemeClr w14:val="tx1"/>
            </w14:solidFill>
          </w14:textFill>
        </w:rPr>
        <w:t>在</w:t>
      </w:r>
      <w:r>
        <w:rPr>
          <w:rFonts w:ascii="仿宋" w:hAnsi="仿宋" w:eastAsia="仿宋" w:cs="仿宋"/>
          <w:color w:val="000000" w:themeColor="text1"/>
          <w:kern w:val="0"/>
          <w:sz w:val="32"/>
          <w:szCs w:val="32"/>
          <w14:textFill>
            <w14:solidFill>
              <w14:schemeClr w14:val="tx1"/>
            </w14:solidFill>
          </w14:textFill>
        </w:rPr>
        <w:t>人员管理上的优劣</w:t>
      </w:r>
      <w:r>
        <w:rPr>
          <w:rFonts w:hint="eastAsia" w:ascii="仿宋" w:hAnsi="仿宋" w:eastAsia="仿宋" w:cs="仿宋"/>
          <w:color w:val="000000" w:themeColor="text1"/>
          <w:kern w:val="0"/>
          <w:sz w:val="32"/>
          <w:szCs w:val="32"/>
          <w14:textFill>
            <w14:solidFill>
              <w14:schemeClr w14:val="tx1"/>
            </w14:solidFill>
          </w14:textFill>
        </w:rPr>
        <w:t>势分</w:t>
      </w:r>
      <w:r>
        <w:rPr>
          <w:rFonts w:ascii="仿宋" w:hAnsi="仿宋" w:eastAsia="仿宋" w:cs="仿宋"/>
          <w:color w:val="000000" w:themeColor="text1"/>
          <w:kern w:val="0"/>
          <w:sz w:val="32"/>
          <w:szCs w:val="32"/>
          <w14:textFill>
            <w14:solidFill>
              <w14:schemeClr w14:val="tx1"/>
            </w14:solidFill>
          </w14:textFill>
        </w:rPr>
        <w:t>析</w:t>
      </w:r>
    </w:p>
    <w:p>
      <w:pPr>
        <w:pStyle w:val="14"/>
        <w:widowControl/>
        <w:numPr>
          <w:ilvl w:val="1"/>
          <w:numId w:val="6"/>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“工资薪酬”向“经营所得”转化操作</w:t>
      </w:r>
      <w:r>
        <w:rPr>
          <w:rFonts w:ascii="仿宋" w:hAnsi="仿宋" w:eastAsia="仿宋" w:cs="仿宋"/>
          <w:color w:val="000000" w:themeColor="text1"/>
          <w:kern w:val="0"/>
          <w:sz w:val="32"/>
          <w:szCs w:val="32"/>
          <w14:textFill>
            <w14:solidFill>
              <w14:schemeClr w14:val="tx1"/>
            </w14:solidFill>
          </w14:textFill>
        </w:rPr>
        <w:t>要</w:t>
      </w:r>
      <w:r>
        <w:rPr>
          <w:rFonts w:hint="eastAsia" w:ascii="仿宋" w:hAnsi="仿宋" w:eastAsia="仿宋" w:cs="仿宋"/>
          <w:color w:val="000000" w:themeColor="text1"/>
          <w:kern w:val="0"/>
          <w:sz w:val="32"/>
          <w:szCs w:val="32"/>
          <w14:textFill>
            <w14:solidFill>
              <w14:schemeClr w14:val="tx1"/>
            </w14:solidFill>
          </w14:textFill>
        </w:rPr>
        <w:t>点</w:t>
      </w:r>
      <w:r>
        <w:rPr>
          <w:rFonts w:ascii="仿宋" w:hAnsi="仿宋" w:eastAsia="仿宋" w:cs="仿宋"/>
          <w:color w:val="000000" w:themeColor="text1"/>
          <w:kern w:val="0"/>
          <w:sz w:val="32"/>
          <w:szCs w:val="32"/>
          <w14:textFill>
            <w14:solidFill>
              <w14:schemeClr w14:val="tx1"/>
            </w14:solidFill>
          </w14:textFill>
        </w:rPr>
        <w:t>与实际应用</w:t>
      </w:r>
    </w:p>
    <w:p>
      <w:pPr>
        <w:pStyle w:val="14"/>
        <w:widowControl/>
        <w:numPr>
          <w:ilvl w:val="2"/>
          <w:numId w:val="6"/>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公司注册有哪些类型、区别及各自优势</w:t>
      </w:r>
    </w:p>
    <w:p>
      <w:pPr>
        <w:pStyle w:val="14"/>
        <w:widowControl/>
        <w:numPr>
          <w:ilvl w:val="2"/>
          <w:numId w:val="6"/>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企业经营模式设计思路</w:t>
      </w:r>
    </w:p>
    <w:p>
      <w:pPr>
        <w:widowControl/>
        <w:spacing w:line="420" w:lineRule="exact"/>
        <w:ind w:right="-191" w:rightChars="-91"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w:t>
      </w:r>
      <w:r>
        <w:rPr>
          <w:rFonts w:ascii="仿宋" w:hAnsi="仿宋" w:eastAsia="仿宋" w:cs="仿宋"/>
          <w:color w:val="000000" w:themeColor="text1"/>
          <w:kern w:val="0"/>
          <w:sz w:val="32"/>
          <w:szCs w:val="32"/>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“工资薪酬”向“股权模式”转化</w:t>
      </w:r>
    </w:p>
    <w:p>
      <w:pPr>
        <w:pStyle w:val="14"/>
        <w:widowControl/>
        <w:numPr>
          <w:ilvl w:val="2"/>
          <w:numId w:val="7"/>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利用股权激励员工，实现员工自我驱动效应</w:t>
      </w:r>
    </w:p>
    <w:p>
      <w:pPr>
        <w:pStyle w:val="14"/>
        <w:widowControl/>
        <w:numPr>
          <w:ilvl w:val="2"/>
          <w:numId w:val="7"/>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员工持股的企业股权架构设计</w:t>
      </w:r>
    </w:p>
    <w:p>
      <w:pPr>
        <w:pStyle w:val="14"/>
        <w:widowControl/>
        <w:numPr>
          <w:ilvl w:val="2"/>
          <w:numId w:val="7"/>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不同持股架构下的股权分红税收政策</w:t>
      </w:r>
    </w:p>
    <w:p>
      <w:pPr>
        <w:pStyle w:val="14"/>
        <w:widowControl/>
        <w:numPr>
          <w:ilvl w:val="1"/>
          <w:numId w:val="7"/>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降低用工成本，中央和地方的支持政策</w:t>
      </w:r>
    </w:p>
    <w:p>
      <w:pPr>
        <w:widowControl/>
        <w:spacing w:line="420" w:lineRule="exact"/>
        <w:ind w:right="-191" w:rightChars="-91" w:firstLine="640" w:firstLineChars="200"/>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模块四 规范用工管理，防范用工风险</w:t>
      </w:r>
    </w:p>
    <w:p>
      <w:pPr>
        <w:widowControl/>
        <w:spacing w:line="420" w:lineRule="exact"/>
        <w:ind w:right="-191" w:rightChars="-91"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了解国家相关政策，制定合法合理的规章制度及案例分享</w:t>
      </w:r>
    </w:p>
    <w:p>
      <w:pPr>
        <w:pStyle w:val="14"/>
        <w:widowControl/>
        <w:numPr>
          <w:ilvl w:val="1"/>
          <w:numId w:val="8"/>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民法典对企业用工的影响</w:t>
      </w:r>
    </w:p>
    <w:p>
      <w:pPr>
        <w:pStyle w:val="14"/>
        <w:widowControl/>
        <w:numPr>
          <w:ilvl w:val="1"/>
          <w:numId w:val="8"/>
        </w:numPr>
        <w:spacing w:line="420" w:lineRule="exact"/>
        <w:ind w:right="-191" w:rightChars="-91"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企业如何规避“社保纠纷”</w:t>
      </w:r>
    </w:p>
    <w:p>
      <w:pPr>
        <w:pStyle w:val="14"/>
        <w:widowControl/>
        <w:spacing w:line="420" w:lineRule="exact"/>
        <w:ind w:left="1260" w:right="-191" w:rightChars="-91" w:firstLine="0"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ascii="仿宋" w:hAnsi="仿宋" w:eastAsia="仿宋" w:cs="仿宋"/>
          <w:color w:val="000000" w:themeColor="text1"/>
          <w:kern w:val="0"/>
          <w:sz w:val="32"/>
          <w:szCs w:val="32"/>
          <w14:textFill>
            <w14:solidFill>
              <w14:schemeClr w14:val="tx1"/>
            </w14:solidFill>
          </w14:textFill>
        </w:rPr>
        <w:t>.3.1</w:t>
      </w:r>
      <w:r>
        <w:rPr>
          <w:rFonts w:hint="eastAsia" w:ascii="仿宋" w:hAnsi="仿宋" w:eastAsia="仿宋" w:cs="仿宋"/>
          <w:color w:val="000000" w:themeColor="text1"/>
          <w:kern w:val="0"/>
          <w:sz w:val="32"/>
          <w:szCs w:val="32"/>
          <w14:textFill>
            <w14:solidFill>
              <w14:schemeClr w14:val="tx1"/>
            </w14:solidFill>
          </w14:textFill>
        </w:rPr>
        <w:t>劳动者通过仲裁或者诉讼途径主张社保权利，裁判机关如何处理？</w:t>
      </w:r>
    </w:p>
    <w:p>
      <w:pPr>
        <w:pStyle w:val="14"/>
        <w:widowControl/>
        <w:spacing w:line="420" w:lineRule="exact"/>
        <w:ind w:left="1260" w:right="-191" w:rightChars="-91" w:firstLine="0"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ascii="仿宋" w:hAnsi="仿宋" w:eastAsia="仿宋" w:cs="仿宋"/>
          <w:color w:val="000000" w:themeColor="text1"/>
          <w:kern w:val="0"/>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社会保险争议是否具有时效性？</w:t>
      </w:r>
    </w:p>
    <w:p>
      <w:pPr>
        <w:pStyle w:val="14"/>
        <w:widowControl/>
        <w:spacing w:line="420" w:lineRule="exact"/>
        <w:ind w:left="1260" w:right="-191" w:rightChars="-91" w:firstLine="0"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ascii="仿宋" w:hAnsi="仿宋" w:eastAsia="仿宋" w:cs="仿宋"/>
          <w:color w:val="000000" w:themeColor="text1"/>
          <w:kern w:val="0"/>
          <w:sz w:val="32"/>
          <w:szCs w:val="32"/>
          <w14:textFill>
            <w14:solidFill>
              <w14:schemeClr w14:val="tx1"/>
            </w14:solidFill>
          </w14:textFill>
        </w:rPr>
        <w:t>.3.3</w:t>
      </w:r>
      <w:r>
        <w:rPr>
          <w:rFonts w:hint="eastAsia" w:ascii="仿宋" w:hAnsi="仿宋" w:eastAsia="仿宋" w:cs="仿宋"/>
          <w:color w:val="000000" w:themeColor="text1"/>
          <w:kern w:val="0"/>
          <w:sz w:val="32"/>
          <w:szCs w:val="32"/>
          <w14:textFill>
            <w14:solidFill>
              <w14:schemeClr w14:val="tx1"/>
            </w14:solidFill>
          </w14:textFill>
        </w:rPr>
        <w:t>企业未缴社保，员工能否要求经济补偿？</w:t>
      </w:r>
    </w:p>
    <w:p>
      <w:pPr>
        <w:pStyle w:val="14"/>
        <w:widowControl/>
        <w:spacing w:line="420" w:lineRule="exact"/>
        <w:ind w:left="1260" w:right="-191" w:rightChars="-91" w:firstLine="0" w:firstLineChars="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ascii="仿宋" w:hAnsi="仿宋" w:eastAsia="仿宋" w:cs="仿宋"/>
          <w:color w:val="000000" w:themeColor="text1"/>
          <w:kern w:val="0"/>
          <w:sz w:val="32"/>
          <w:szCs w:val="32"/>
          <w14:textFill>
            <w14:solidFill>
              <w14:schemeClr w14:val="tx1"/>
            </w14:solidFill>
          </w14:textFill>
        </w:rPr>
        <w:t>.3.4</w:t>
      </w:r>
      <w:r>
        <w:rPr>
          <w:rFonts w:hint="eastAsia" w:ascii="仿宋" w:hAnsi="仿宋" w:eastAsia="仿宋" w:cs="仿宋"/>
          <w:color w:val="000000" w:themeColor="text1"/>
          <w:kern w:val="0"/>
          <w:sz w:val="32"/>
          <w:szCs w:val="32"/>
          <w14:textFill>
            <w14:solidFill>
              <w14:schemeClr w14:val="tx1"/>
            </w14:solidFill>
          </w14:textFill>
        </w:rPr>
        <w:t>企业如何正确用工，规避“社保纠纷”</w:t>
      </w:r>
    </w:p>
    <w:p>
      <w:pPr>
        <w:widowControl/>
        <w:spacing w:line="420" w:lineRule="exact"/>
        <w:ind w:right="-191" w:rightChars="-91" w:firstLine="640" w:firstLineChars="200"/>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模块五 社保重点问题解析</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农民工有新农保、新农合还需要缴纳社保吗？</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城乡居民基本养老保险向企业职工基本养老保险转移时，个人账户及缴费年限如何计算？</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同一时间在异地（包括省里和市里）都缴纳社保如何计算？</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个人在户口所在地缴纳社保企业报销，个所得税和企业所得税如何扣除？</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母公司签合同缴纳社保在其他或分/子公司工作，或在母公司发工资在其他单位缴纳社保怎样处理？</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员工社保跨地区缴费及转移如何办理？异地缴纳的养老、医疗保险年限是否可以累计？</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养老保险未缴够1</w:t>
      </w:r>
      <w:r>
        <w:rPr>
          <w:rFonts w:ascii="仿宋" w:hAnsi="仿宋" w:eastAsia="仿宋" w:cs="仿宋"/>
          <w:color w:val="000000" w:themeColor="text1"/>
          <w:kern w:val="0"/>
          <w:sz w:val="32"/>
          <w:szCs w:val="32"/>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年，退休时是否可以领取养老金？</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现阶段医疗门诊费用跨省直接结算包含哪些地区？</w:t>
      </w:r>
    </w:p>
    <w:p>
      <w:pPr>
        <w:pStyle w:val="14"/>
        <w:widowControl/>
        <w:numPr>
          <w:ilvl w:val="0"/>
          <w:numId w:val="9"/>
        </w:numPr>
        <w:spacing w:line="420" w:lineRule="exact"/>
        <w:ind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城镇职工基本医疗保险个人账户的支付范围有哪些？</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三、</w:t>
      </w:r>
      <w:r>
        <w:rPr>
          <w:rFonts w:hint="eastAsia" w:ascii="仿宋" w:hAnsi="仿宋" w:eastAsia="仿宋" w:cs="仿宋"/>
          <w:color w:val="000000" w:themeColor="text1"/>
          <w:kern w:val="0"/>
          <w:sz w:val="32"/>
          <w:szCs w:val="32"/>
          <w:lang w:val="zh-CN" w:eastAsia="zh-CN" w:bidi="ar-SA"/>
          <w14:textFill>
            <w14:solidFill>
              <w14:schemeClr w14:val="tx1"/>
            </w14:solidFill>
          </w14:textFill>
        </w:rPr>
        <w:t>【</w:t>
      </w:r>
      <w:r>
        <w:rPr>
          <w:rFonts w:hint="eastAsia" w:ascii="仿宋" w:hAnsi="仿宋" w:eastAsia="仿宋" w:cs="仿宋"/>
          <w:b/>
          <w:bCs/>
          <w:color w:val="000000" w:themeColor="text1"/>
          <w:kern w:val="0"/>
          <w:sz w:val="32"/>
          <w:szCs w:val="32"/>
          <w:lang w:val="en-US" w:eastAsia="zh-CN" w:bidi="ar-SA"/>
          <w14:textFill>
            <w14:solidFill>
              <w14:schemeClr w14:val="tx1"/>
            </w14:solidFill>
          </w14:textFill>
        </w:rPr>
        <w:t>时间地点</w:t>
      </w:r>
      <w:r>
        <w:rPr>
          <w:rFonts w:hint="eastAsia" w:ascii="仿宋" w:hAnsi="仿宋" w:eastAsia="仿宋" w:cs="仿宋"/>
          <w:color w:val="000000" w:themeColor="text1"/>
          <w:kern w:val="0"/>
          <w:sz w:val="32"/>
          <w:szCs w:val="32"/>
          <w:lang w:val="zh-CN" w:eastAsia="zh-CN" w:bidi="ar-SA"/>
          <w14:textFill>
            <w14:solidFill>
              <w14:schemeClr w14:val="tx1"/>
            </w14:solidFill>
          </w14:textFill>
        </w:rPr>
        <w:t>】</w:t>
      </w:r>
    </w:p>
    <w:p>
      <w:pPr>
        <w:tabs>
          <w:tab w:val="left" w:pos="709"/>
        </w:tabs>
        <w:spacing w:line="500" w:lineRule="exact"/>
        <w:ind w:firstLine="640" w:firstLineChars="200"/>
        <w:jc w:val="left"/>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2021年11月25日-11月28日（25日为报到日） 杭州市</w:t>
      </w:r>
    </w:p>
    <w:p>
      <w:pPr>
        <w:tabs>
          <w:tab w:val="left" w:pos="709"/>
        </w:tabs>
        <w:spacing w:line="500" w:lineRule="exact"/>
        <w:ind w:firstLine="640" w:firstLineChars="200"/>
        <w:jc w:val="left"/>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2021年12月17日-12月20日（17日为报到日） 成都市</w:t>
      </w:r>
    </w:p>
    <w:p>
      <w:pPr>
        <w:tabs>
          <w:tab w:val="left" w:pos="584"/>
          <w:tab w:val="left" w:pos="709"/>
        </w:tabs>
        <w:spacing w:line="500" w:lineRule="exact"/>
        <w:jc w:val="left"/>
        <w:rPr>
          <w:rFonts w:ascii="仿宋" w:hAnsi="仿宋" w:eastAsia="仿宋" w:cs="仿宋"/>
          <w:b/>
          <w:color w:val="181717" w:themeColor="background2" w:themeShade="1A"/>
          <w:spacing w:val="8"/>
          <w:sz w:val="32"/>
          <w:szCs w:val="32"/>
          <w:shd w:val="clear" w:color="auto" w:fill="FFFFFF"/>
          <w:lang w:val="zh-CN"/>
        </w:rPr>
      </w:pPr>
      <w:r>
        <w:rPr>
          <w:rFonts w:hint="eastAsia" w:ascii="仿宋" w:hAnsi="仿宋" w:eastAsia="仿宋" w:cs="仿宋"/>
          <w:b/>
          <w:color w:val="181717" w:themeColor="background2" w:themeShade="1A"/>
          <w:spacing w:val="8"/>
          <w:sz w:val="32"/>
          <w:szCs w:val="32"/>
          <w:shd w:val="clear" w:color="auto" w:fill="FFFFFF"/>
          <w:lang w:val="en-US" w:eastAsia="zh-CN"/>
        </w:rPr>
        <w:t>四、</w:t>
      </w:r>
      <w:r>
        <w:rPr>
          <w:rFonts w:hint="eastAsia" w:ascii="仿宋" w:hAnsi="仿宋" w:eastAsia="仿宋" w:cs="仿宋"/>
          <w:b/>
          <w:color w:val="181717" w:themeColor="background2" w:themeShade="1A"/>
          <w:spacing w:val="8"/>
          <w:sz w:val="32"/>
          <w:szCs w:val="32"/>
          <w:shd w:val="clear" w:color="auto" w:fill="FFFFFF"/>
          <w:lang w:val="zh-CN"/>
        </w:rPr>
        <w:t>【授课师资】</w:t>
      </w:r>
    </w:p>
    <w:p>
      <w:pPr>
        <w:pStyle w:val="5"/>
        <w:widowControl/>
        <w:shd w:val="clear" w:color="auto" w:fill="FFFFFF"/>
        <w:spacing w:line="500" w:lineRule="exact"/>
        <w:ind w:firstLine="420"/>
        <w:rPr>
          <w:rFonts w:ascii="仿宋" w:hAnsi="仿宋" w:eastAsia="仿宋" w:cs="仿宋"/>
          <w:b/>
          <w:bCs/>
          <w:color w:val="000000" w:themeColor="text1"/>
          <w:kern w:val="0"/>
          <w:sz w:val="32"/>
          <w:szCs w:val="32"/>
          <w:lang w:val="zh-CN"/>
          <w14:textFill>
            <w14:solidFill>
              <w14:schemeClr w14:val="tx1"/>
            </w14:solidFill>
          </w14:textFill>
        </w:rPr>
      </w:pPr>
      <w:r>
        <w:rPr>
          <w:rFonts w:hint="eastAsia" w:ascii="仿宋" w:hAnsi="仿宋" w:eastAsia="仿宋" w:cs="仿宋"/>
          <w:b/>
          <w:bCs/>
          <w:color w:val="000000" w:themeColor="text1"/>
          <w:kern w:val="0"/>
          <w:sz w:val="32"/>
          <w:szCs w:val="32"/>
          <w:lang w:val="zh-CN"/>
          <w14:textFill>
            <w14:solidFill>
              <w14:schemeClr w14:val="tx1"/>
            </w14:solidFill>
          </w14:textFill>
        </w:rPr>
        <w:t>郑老师：</w:t>
      </w:r>
      <w:r>
        <w:rPr>
          <w:rFonts w:hint="eastAsia" w:ascii="仿宋" w:hAnsi="仿宋" w:eastAsia="仿宋" w:cs="仿宋"/>
          <w:color w:val="000000" w:themeColor="text1"/>
          <w:kern w:val="0"/>
          <w:sz w:val="32"/>
          <w:szCs w:val="32"/>
          <w:lang w:val="zh-CN"/>
          <w14:textFill>
            <w14:solidFill>
              <w14:schemeClr w14:val="tx1"/>
            </w14:solidFill>
          </w14:textFill>
        </w:rPr>
        <w:t>营改增节税工程落地专家；高级会计师、税务咨询师、ACCA会员；教育部财税考试专家委员会特聘专家；中国人民大学会计专业本科、北航MBA；</w:t>
      </w:r>
      <w:r>
        <w:rPr>
          <w:rFonts w:ascii="仿宋" w:hAnsi="仿宋" w:eastAsia="仿宋" w:cs="仿宋"/>
          <w:color w:val="000000" w:themeColor="text1"/>
          <w:kern w:val="0"/>
          <w:sz w:val="32"/>
          <w:szCs w:val="32"/>
          <w:lang w:val="zh-CN"/>
          <w14:textFill>
            <w14:solidFill>
              <w14:schemeClr w14:val="tx1"/>
            </w14:solidFill>
          </w14:textFill>
        </w:rPr>
        <w:t>20</w:t>
      </w:r>
      <w:r>
        <w:rPr>
          <w:rFonts w:hint="eastAsia" w:ascii="仿宋" w:hAnsi="仿宋" w:eastAsia="仿宋" w:cs="仿宋"/>
          <w:color w:val="000000" w:themeColor="text1"/>
          <w:kern w:val="0"/>
          <w:sz w:val="32"/>
          <w:szCs w:val="32"/>
          <w:lang w:val="zh-CN"/>
          <w14:textFill>
            <w14:solidFill>
              <w14:schemeClr w14:val="tx1"/>
            </w14:solidFill>
          </w14:textFill>
        </w:rPr>
        <w:t>余年财税管理工作实战经验，兼任多家企业的常年财务顾问，为多家企业做建筑业营改增培训和咨询服务</w:t>
      </w:r>
      <w:r>
        <w:rPr>
          <w:rFonts w:hint="eastAsia" w:ascii="仿宋" w:hAnsi="仿宋" w:eastAsia="仿宋" w:cs="仿宋"/>
          <w:b/>
          <w:bCs/>
          <w:color w:val="000000" w:themeColor="text1"/>
          <w:kern w:val="0"/>
          <w:sz w:val="32"/>
          <w:szCs w:val="32"/>
          <w:lang w:val="zh-CN"/>
          <w14:textFill>
            <w14:solidFill>
              <w14:schemeClr w14:val="tx1"/>
            </w14:solidFill>
          </w14:textFill>
        </w:rPr>
        <w:t>。</w:t>
      </w:r>
    </w:p>
    <w:p>
      <w:pPr>
        <w:pStyle w:val="5"/>
        <w:widowControl/>
        <w:shd w:val="clear" w:color="auto" w:fill="FFFFFF"/>
        <w:spacing w:line="500" w:lineRule="exact"/>
        <w:ind w:firstLine="420"/>
        <w:rPr>
          <w:rFonts w:ascii="仿宋" w:hAnsi="仿宋" w:eastAsia="仿宋" w:cs="仿宋"/>
          <w:b/>
          <w:bCs/>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财税类著作：清华大学出版社出版《会计 出纳 做账 纳税岗位实战宝典》、中国铁路出版社出版《企业纳税实操从新手到高手》、北京邮电大学出版社出版《会计思维》</w:t>
      </w:r>
    </w:p>
    <w:p>
      <w:pPr>
        <w:pStyle w:val="5"/>
        <w:widowControl/>
        <w:shd w:val="clear" w:color="auto" w:fill="FFFFFF"/>
        <w:spacing w:line="500" w:lineRule="exact"/>
        <w:ind w:firstLine="420"/>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b/>
          <w:color w:val="000000" w:themeColor="text1"/>
          <w:kern w:val="0"/>
          <w:sz w:val="32"/>
          <w:szCs w:val="32"/>
          <w:lang w:val="zh-CN"/>
          <w14:textFill>
            <w14:solidFill>
              <w14:schemeClr w14:val="tx1"/>
            </w14:solidFill>
          </w14:textFill>
        </w:rPr>
        <w:t>孟老师：</w:t>
      </w:r>
      <w:r>
        <w:rPr>
          <w:rFonts w:hint="eastAsia" w:ascii="仿宋" w:hAnsi="仿宋" w:eastAsia="仿宋"/>
          <w:sz w:val="32"/>
          <w:szCs w:val="32"/>
        </w:rPr>
        <w:t>现为中华会计网校、北京软件协会人力资源特聘讲师，近</w:t>
      </w:r>
      <w:r>
        <w:rPr>
          <w:rFonts w:ascii="仿宋" w:hAnsi="仿宋" w:eastAsia="仿宋"/>
          <w:sz w:val="32"/>
          <w:szCs w:val="32"/>
        </w:rPr>
        <w:t>20</w:t>
      </w:r>
      <w:r>
        <w:rPr>
          <w:rFonts w:hint="eastAsia" w:ascii="仿宋" w:hAnsi="仿宋" w:eastAsia="仿宋"/>
          <w:sz w:val="32"/>
          <w:szCs w:val="32"/>
        </w:rPr>
        <w:t>年人力资源管理工作经验。</w:t>
      </w:r>
      <w:r>
        <w:rPr>
          <w:rFonts w:ascii="仿宋" w:hAnsi="仿宋" w:eastAsia="仿宋"/>
          <w:sz w:val="32"/>
          <w:szCs w:val="32"/>
        </w:rPr>
        <w:t>毕业于北京师范大学，曾就职于上市公司、外企、建安企业人力资源总监，致力于建立、完善企业薪酬体系、绩效管理、股权激励，搭建企业股权架构，并对企业如何合理规划用工成本、如何营造良好的企业文化有着深刻的理解及实际运用。多次主导建安</w:t>
      </w:r>
      <w:r>
        <w:rPr>
          <w:rFonts w:hint="eastAsia" w:ascii="仿宋" w:hAnsi="仿宋" w:eastAsia="仿宋"/>
          <w:sz w:val="32"/>
          <w:szCs w:val="32"/>
        </w:rPr>
        <w:t>行</w:t>
      </w:r>
      <w:r>
        <w:rPr>
          <w:rFonts w:ascii="仿宋" w:hAnsi="仿宋" w:eastAsia="仿宋"/>
          <w:sz w:val="32"/>
          <w:szCs w:val="32"/>
        </w:rPr>
        <w:t>业的薪酬体系搭建、股权激励等项目，同时为各类企业提供人力资源咨询服务。</w:t>
      </w:r>
    </w:p>
    <w:p>
      <w:pPr>
        <w:tabs>
          <w:tab w:val="left" w:pos="584"/>
          <w:tab w:val="left" w:pos="709"/>
        </w:tabs>
        <w:spacing w:line="500" w:lineRule="exact"/>
        <w:jc w:val="left"/>
        <w:rPr>
          <w:rFonts w:ascii="仿宋" w:hAnsi="仿宋" w:eastAsia="仿宋" w:cs="仿宋"/>
          <w:b/>
          <w:color w:val="181717" w:themeColor="background2" w:themeShade="1A"/>
          <w:spacing w:val="8"/>
          <w:sz w:val="32"/>
          <w:szCs w:val="32"/>
          <w:shd w:val="clear" w:color="auto" w:fill="FFFFFF"/>
          <w:lang w:val="zh-CN"/>
        </w:rPr>
      </w:pPr>
      <w:r>
        <w:rPr>
          <w:rFonts w:hint="eastAsia" w:ascii="仿宋" w:hAnsi="仿宋" w:eastAsia="仿宋" w:cs="仿宋"/>
          <w:b/>
          <w:color w:val="181717" w:themeColor="background2" w:themeShade="1A"/>
          <w:spacing w:val="8"/>
          <w:sz w:val="32"/>
          <w:szCs w:val="32"/>
          <w:shd w:val="clear" w:color="auto" w:fill="FFFFFF"/>
          <w:lang w:val="en-US" w:eastAsia="zh-CN"/>
        </w:rPr>
        <w:t>五、</w:t>
      </w:r>
      <w:r>
        <w:rPr>
          <w:rFonts w:hint="eastAsia" w:ascii="仿宋" w:hAnsi="仿宋" w:eastAsia="仿宋" w:cs="仿宋"/>
          <w:b/>
          <w:color w:val="181717" w:themeColor="background2" w:themeShade="1A"/>
          <w:spacing w:val="8"/>
          <w:sz w:val="32"/>
          <w:szCs w:val="32"/>
          <w:shd w:val="clear" w:color="auto" w:fill="FFFFFF"/>
          <w:lang w:val="zh-CN"/>
        </w:rPr>
        <w:t>【参会对象】</w:t>
      </w:r>
    </w:p>
    <w:p>
      <w:pPr>
        <w:widowControl/>
        <w:spacing w:line="500" w:lineRule="exact"/>
        <w:ind w:right="-191" w:rightChars="-91" w:firstLine="646"/>
        <w:outlineLvl w:val="0"/>
        <w:rPr>
          <w:rFonts w:ascii="仿宋" w:hAnsi="仿宋" w:eastAsia="仿宋" w:cs="仿宋"/>
          <w:sz w:val="32"/>
          <w:szCs w:val="32"/>
          <w:lang w:val="zh-CN"/>
        </w:rPr>
      </w:pPr>
      <w:r>
        <w:rPr>
          <w:rFonts w:hint="eastAsia" w:ascii="仿宋" w:hAnsi="仿宋" w:eastAsia="仿宋" w:cs="仿宋"/>
          <w:sz w:val="32"/>
          <w:szCs w:val="32"/>
        </w:rPr>
        <w:t>1.</w:t>
      </w:r>
      <w:r>
        <w:rPr>
          <w:rFonts w:hint="eastAsia" w:ascii="仿宋" w:hAnsi="仿宋" w:eastAsia="仿宋" w:cs="仿宋"/>
          <w:sz w:val="32"/>
          <w:szCs w:val="32"/>
          <w:lang w:val="zh-CN"/>
        </w:rPr>
        <w:t>各建设行业主管部门领导和行业协会负责人；</w:t>
      </w:r>
    </w:p>
    <w:p>
      <w:pPr>
        <w:widowControl/>
        <w:spacing w:line="500" w:lineRule="exact"/>
        <w:ind w:right="-191" w:rightChars="-91" w:firstLine="646"/>
        <w:outlineLvl w:val="0"/>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各建筑业企业总经理、经营副总、总经济师、总会计师、工程副总等高管层领导；</w:t>
      </w:r>
    </w:p>
    <w:p>
      <w:pPr>
        <w:widowControl/>
        <w:spacing w:line="500" w:lineRule="exact"/>
        <w:ind w:right="-191" w:rightChars="-91" w:firstLine="646"/>
        <w:outlineLvl w:val="0"/>
        <w:rPr>
          <w:rFonts w:ascii="仿宋" w:hAnsi="仿宋" w:eastAsia="仿宋" w:cs="仿宋"/>
          <w:sz w:val="32"/>
          <w:szCs w:val="32"/>
          <w:lang w:val="zh-CN"/>
        </w:rPr>
      </w:pPr>
      <w:r>
        <w:rPr>
          <w:rFonts w:hint="eastAsia" w:ascii="仿宋" w:hAnsi="仿宋" w:eastAsia="仿宋" w:cs="仿宋"/>
          <w:sz w:val="32"/>
          <w:szCs w:val="32"/>
        </w:rPr>
        <w:t>3.各建筑业企业财务部、</w:t>
      </w:r>
      <w:r>
        <w:rPr>
          <w:rFonts w:hint="eastAsia" w:ascii="仿宋" w:hAnsi="仿宋" w:eastAsia="仿宋" w:cs="仿宋"/>
          <w:sz w:val="32"/>
          <w:szCs w:val="32"/>
          <w:lang w:val="zh-CN"/>
        </w:rPr>
        <w:t>市场部、经营部、工程部、项目管理部、合同造价部、法务部、人力资源部等部门经理及核心骨干人员；</w:t>
      </w:r>
    </w:p>
    <w:p>
      <w:pPr>
        <w:widowControl/>
        <w:spacing w:line="500" w:lineRule="exact"/>
        <w:ind w:right="-191" w:rightChars="-91" w:firstLine="646"/>
        <w:outlineLvl w:val="0"/>
        <w:rPr>
          <w:rFonts w:hint="eastAsia" w:ascii="仿宋" w:hAnsi="仿宋" w:eastAsia="仿宋" w:cs="仿宋"/>
          <w:sz w:val="32"/>
          <w:szCs w:val="32"/>
          <w:lang w:val="zh-CN"/>
        </w:rPr>
      </w:pPr>
      <w:r>
        <w:rPr>
          <w:rFonts w:hint="eastAsia" w:ascii="仿宋" w:hAnsi="仿宋" w:eastAsia="仿宋" w:cs="仿宋"/>
          <w:sz w:val="32"/>
          <w:szCs w:val="32"/>
        </w:rPr>
        <w:t>4.各建筑业企业</w:t>
      </w:r>
      <w:r>
        <w:rPr>
          <w:rFonts w:hint="eastAsia" w:ascii="仿宋" w:hAnsi="仿宋" w:eastAsia="仿宋" w:cs="仿宋"/>
          <w:sz w:val="32"/>
          <w:szCs w:val="32"/>
          <w:lang w:val="zh-CN"/>
        </w:rPr>
        <w:t>项目经理、施工队长及会计师事务所、税务师事务所相关人员等。</w:t>
      </w:r>
    </w:p>
    <w:p>
      <w:pPr>
        <w:tabs>
          <w:tab w:val="left" w:pos="584"/>
          <w:tab w:val="left" w:pos="709"/>
        </w:tabs>
        <w:spacing w:line="500" w:lineRule="exact"/>
        <w:jc w:val="left"/>
        <w:rPr>
          <w:rFonts w:hint="eastAsia" w:ascii="仿宋" w:hAnsi="仿宋" w:eastAsia="仿宋" w:cs="仿宋"/>
          <w:sz w:val="32"/>
          <w:szCs w:val="32"/>
          <w:lang w:val="zh-CN"/>
        </w:rPr>
      </w:pPr>
      <w:r>
        <w:rPr>
          <w:rFonts w:hint="eastAsia" w:ascii="仿宋" w:hAnsi="仿宋" w:eastAsia="仿宋" w:cs="仿宋"/>
          <w:b/>
          <w:color w:val="181717" w:themeColor="background2" w:themeShade="1A"/>
          <w:spacing w:val="8"/>
          <w:sz w:val="32"/>
          <w:szCs w:val="32"/>
          <w:shd w:val="clear" w:color="auto" w:fill="FFFFFF"/>
          <w:lang w:val="en-US" w:eastAsia="zh-CN"/>
        </w:rPr>
        <w:t>六、</w:t>
      </w:r>
      <w:r>
        <w:rPr>
          <w:rFonts w:hint="eastAsia" w:ascii="仿宋" w:hAnsi="仿宋" w:eastAsia="仿宋" w:cs="仿宋"/>
          <w:b/>
          <w:color w:val="181717" w:themeColor="background2" w:themeShade="1A"/>
          <w:spacing w:val="8"/>
          <w:sz w:val="32"/>
          <w:szCs w:val="32"/>
          <w:shd w:val="clear" w:color="auto" w:fill="FFFFFF"/>
          <w:lang w:val="zh-CN"/>
        </w:rPr>
        <w:t>【</w:t>
      </w:r>
      <w:r>
        <w:rPr>
          <w:rFonts w:hint="eastAsia" w:ascii="仿宋" w:hAnsi="仿宋" w:eastAsia="仿宋" w:cs="仿宋"/>
          <w:b/>
          <w:color w:val="181717" w:themeColor="background2" w:themeShade="1A"/>
          <w:spacing w:val="8"/>
          <w:sz w:val="32"/>
          <w:szCs w:val="32"/>
          <w:shd w:val="clear" w:color="auto" w:fill="FFFFFF"/>
          <w:lang w:val="en-US" w:eastAsia="zh-CN"/>
        </w:rPr>
        <w:t>收费标准</w:t>
      </w:r>
      <w:r>
        <w:rPr>
          <w:rFonts w:hint="eastAsia" w:ascii="仿宋" w:hAnsi="仿宋" w:eastAsia="仿宋" w:cs="仿宋"/>
          <w:b/>
          <w:color w:val="181717" w:themeColor="background2" w:themeShade="1A"/>
          <w:spacing w:val="8"/>
          <w:sz w:val="32"/>
          <w:szCs w:val="32"/>
          <w:shd w:val="clear" w:color="auto" w:fill="FFFFFF"/>
          <w:lang w:val="zh-CN"/>
        </w:rPr>
        <w:t>】</w:t>
      </w:r>
    </w:p>
    <w:p>
      <w:pPr>
        <w:widowControl/>
        <w:spacing w:line="500" w:lineRule="exact"/>
        <w:ind w:right="-191" w:rightChars="-91" w:firstLine="646"/>
        <w:outlineLvl w:val="0"/>
        <w:rPr>
          <w:rFonts w:hint="eastAsia" w:ascii="仿宋" w:hAnsi="仿宋" w:eastAsia="仿宋" w:cs="仿宋"/>
          <w:sz w:val="32"/>
          <w:szCs w:val="32"/>
          <w:lang w:val="zh-CN"/>
        </w:rPr>
      </w:pPr>
      <w:r>
        <w:rPr>
          <w:rFonts w:hint="eastAsia" w:ascii="仿宋" w:hAnsi="仿宋" w:eastAsia="仿宋" w:cs="仿宋"/>
          <w:sz w:val="32"/>
          <w:szCs w:val="32"/>
          <w:lang w:val="zh-CN"/>
        </w:rPr>
        <w:t>A.</w:t>
      </w:r>
      <w:r>
        <w:rPr>
          <w:rFonts w:hint="eastAsia" w:ascii="仿宋" w:hAnsi="仿宋" w:eastAsia="仿宋" w:cs="仿宋"/>
          <w:sz w:val="32"/>
          <w:szCs w:val="32"/>
          <w:lang w:val="en-US" w:eastAsia="zh-CN"/>
        </w:rPr>
        <w:t>3600</w:t>
      </w:r>
      <w:r>
        <w:rPr>
          <w:rFonts w:hint="eastAsia" w:ascii="仿宋" w:hAnsi="仿宋" w:eastAsia="仿宋" w:cs="仿宋"/>
          <w:sz w:val="32"/>
          <w:szCs w:val="32"/>
          <w:lang w:val="zh-CN"/>
        </w:rPr>
        <w:t>元/人（含培训费、资料费、电子课件、场地、培训期间午餐），住宿统一安排，费用自理。</w:t>
      </w:r>
    </w:p>
    <w:p>
      <w:pPr>
        <w:tabs>
          <w:tab w:val="left" w:pos="584"/>
          <w:tab w:val="left" w:pos="709"/>
        </w:tabs>
        <w:spacing w:line="500" w:lineRule="exact"/>
        <w:jc w:val="left"/>
        <w:rPr>
          <w:rFonts w:hint="eastAsia" w:ascii="仿宋" w:hAnsi="仿宋" w:eastAsia="仿宋" w:cs="仿宋"/>
          <w:sz w:val="32"/>
          <w:szCs w:val="32"/>
          <w:lang w:val="zh-CN"/>
        </w:rPr>
      </w:pPr>
      <w:r>
        <w:rPr>
          <w:rFonts w:hint="eastAsia" w:ascii="仿宋" w:hAnsi="仿宋" w:eastAsia="仿宋" w:cs="仿宋"/>
          <w:b/>
          <w:color w:val="181717" w:themeColor="background2" w:themeShade="1A"/>
          <w:spacing w:val="8"/>
          <w:sz w:val="32"/>
          <w:szCs w:val="32"/>
          <w:shd w:val="clear" w:color="auto" w:fill="FFFFFF"/>
          <w:lang w:val="en-US" w:eastAsia="zh-CN"/>
        </w:rPr>
        <w:t>七、</w:t>
      </w:r>
      <w:r>
        <w:rPr>
          <w:rFonts w:hint="eastAsia" w:ascii="仿宋" w:hAnsi="仿宋" w:eastAsia="仿宋" w:cs="仿宋"/>
          <w:b/>
          <w:color w:val="181717" w:themeColor="background2" w:themeShade="1A"/>
          <w:spacing w:val="8"/>
          <w:sz w:val="32"/>
          <w:szCs w:val="32"/>
          <w:shd w:val="clear" w:color="auto" w:fill="FFFFFF"/>
          <w:lang w:val="zh-CN"/>
        </w:rPr>
        <w:t>【</w:t>
      </w:r>
      <w:r>
        <w:rPr>
          <w:rFonts w:hint="eastAsia" w:ascii="仿宋" w:hAnsi="仿宋" w:eastAsia="仿宋" w:cs="仿宋"/>
          <w:b/>
          <w:color w:val="181717" w:themeColor="background2" w:themeShade="1A"/>
          <w:spacing w:val="8"/>
          <w:sz w:val="32"/>
          <w:szCs w:val="32"/>
          <w:shd w:val="clear" w:color="auto" w:fill="FFFFFF"/>
          <w:lang w:val="en-US" w:eastAsia="zh-CN"/>
        </w:rPr>
        <w:t>报名办法</w:t>
      </w:r>
      <w:r>
        <w:rPr>
          <w:rFonts w:hint="eastAsia" w:ascii="仿宋" w:hAnsi="仿宋" w:eastAsia="仿宋" w:cs="仿宋"/>
          <w:b/>
          <w:color w:val="181717" w:themeColor="background2" w:themeShade="1A"/>
          <w:spacing w:val="8"/>
          <w:sz w:val="32"/>
          <w:szCs w:val="32"/>
          <w:shd w:val="clear" w:color="auto" w:fill="FFFFFF"/>
          <w:lang w:val="zh-CN"/>
        </w:rPr>
        <w:t>】</w:t>
      </w:r>
    </w:p>
    <w:p>
      <w:pPr>
        <w:ind w:firstLine="320" w:firstLineChars="100"/>
        <w:rPr>
          <w:rFonts w:hint="eastAsia" w:ascii="仿宋" w:hAnsi="仿宋" w:eastAsia="仿宋"/>
          <w:sz w:val="32"/>
          <w:szCs w:val="32"/>
        </w:rPr>
      </w:pPr>
      <w:r>
        <w:rPr>
          <w:rFonts w:hint="eastAsia" w:ascii="仿宋" w:hAnsi="仿宋" w:eastAsia="仿宋"/>
          <w:sz w:val="32"/>
          <w:szCs w:val="32"/>
        </w:rPr>
        <w:t xml:space="preserve">报名负责人：聂红军 主任18211071700（微信）   </w:t>
      </w:r>
    </w:p>
    <w:p>
      <w:pPr>
        <w:ind w:firstLine="320" w:firstLineChars="100"/>
        <w:rPr>
          <w:rFonts w:hint="eastAsia" w:ascii="仿宋" w:hAnsi="仿宋" w:eastAsia="仿宋"/>
          <w:sz w:val="32"/>
          <w:szCs w:val="32"/>
        </w:rPr>
      </w:pPr>
      <w:r>
        <w:rPr>
          <w:rFonts w:hint="eastAsia" w:ascii="仿宋" w:hAnsi="仿宋" w:eastAsia="仿宋"/>
          <w:sz w:val="32"/>
          <w:szCs w:val="32"/>
        </w:rPr>
        <w:t xml:space="preserve">电  话：010-87697580   邮    箱：zqgphwz@126.com  </w:t>
      </w:r>
    </w:p>
    <w:p>
      <w:pPr>
        <w:ind w:firstLine="320" w:firstLineChars="100"/>
        <w:rPr>
          <w:rFonts w:ascii="仿宋" w:hAnsi="仿宋" w:eastAsia="仿宋"/>
          <w:sz w:val="32"/>
          <w:szCs w:val="32"/>
        </w:rPr>
      </w:pPr>
      <w:r>
        <w:rPr>
          <w:rFonts w:hint="eastAsia" w:ascii="仿宋" w:hAnsi="仿宋" w:eastAsia="仿宋"/>
          <w:sz w:val="32"/>
          <w:szCs w:val="32"/>
        </w:rPr>
        <w:t>qq咨询：317752402</w:t>
      </w:r>
      <w:r>
        <w:rPr>
          <w:rFonts w:hint="eastAsia" w:ascii="仿宋" w:hAnsi="仿宋" w:eastAsia="仿宋"/>
          <w:sz w:val="32"/>
          <w:szCs w:val="32"/>
          <w:lang w:val="en-US" w:eastAsia="zh-CN"/>
        </w:rPr>
        <w:t>0</w:t>
      </w:r>
      <w:r>
        <w:rPr>
          <w:rFonts w:hint="eastAsia" w:ascii="仿宋" w:hAnsi="仿宋" w:eastAsia="仿宋"/>
          <w:sz w:val="32"/>
          <w:szCs w:val="32"/>
        </w:rPr>
        <w:t>网址查询：http://www.zqgpchina.cn/</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宋体"/>
          <w:bCs/>
          <w:snapToGrid w:val="0"/>
          <w:color w:val="000000"/>
          <w:kern w:val="20"/>
          <w:position w:val="-4"/>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color w:val="000000"/>
          <w:sz w:val="28"/>
          <w:szCs w:val="28"/>
          <w:lang w:val="en-US" w:eastAsia="zh-CN"/>
        </w:rPr>
      </w:pPr>
      <w:r>
        <w:rPr>
          <w:rFonts w:hint="eastAsia" w:ascii="仿宋" w:hAnsi="仿宋" w:eastAsia="仿宋" w:cs="宋体"/>
          <w:bCs/>
          <w:snapToGrid w:val="0"/>
          <w:color w:val="000000"/>
          <w:kern w:val="20"/>
          <w:position w:val="-4"/>
          <w:sz w:val="32"/>
          <w:szCs w:val="32"/>
        </w:rPr>
        <w:t>附件：</w:t>
      </w:r>
      <w:r>
        <w:rPr>
          <w:rFonts w:hint="eastAsia" w:ascii="仿宋" w:hAnsi="仿宋" w:eastAsia="仿宋" w:cs="宋体"/>
          <w:bCs/>
          <w:snapToGrid w:val="0"/>
          <w:color w:val="000000"/>
          <w:kern w:val="20"/>
          <w:position w:val="-4"/>
          <w:sz w:val="32"/>
          <w:szCs w:val="32"/>
          <w:lang w:eastAsia="zh-CN"/>
        </w:rPr>
        <w:t>报名表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color w:val="000000"/>
          <w:sz w:val="28"/>
          <w:szCs w:val="28"/>
          <w:lang w:val="en-US" w:eastAsia="zh-CN"/>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3658235</wp:posOffset>
            </wp:positionH>
            <wp:positionV relativeFrom="paragraph">
              <wp:posOffset>287655</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4">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color w:val="000000"/>
          <w:sz w:val="28"/>
          <w:szCs w:val="28"/>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r>
        <w:rPr>
          <w:rFonts w:hint="eastAsia" w:ascii="仿宋" w:hAnsi="仿宋" w:eastAsia="仿宋" w:cs="仿宋_GB2312"/>
          <w:b/>
          <w:color w:val="000000"/>
          <w:sz w:val="28"/>
          <w:szCs w:val="28"/>
          <w:lang w:val="en-US" w:eastAsia="zh-CN"/>
        </w:rPr>
        <w:t xml:space="preserve">                            </w:t>
      </w:r>
      <w:r>
        <w:rPr>
          <w:rFonts w:hint="eastAsia" w:ascii="仿宋" w:hAnsi="仿宋" w:eastAsia="仿宋" w:cs="仿宋_GB2312"/>
          <w:b/>
          <w:color w:val="000000"/>
          <w:sz w:val="32"/>
          <w:szCs w:val="32"/>
          <w:lang w:val="en-US" w:eastAsia="zh-CN"/>
        </w:rPr>
        <w:t xml:space="preserve"> </w:t>
      </w:r>
      <w:r>
        <w:rPr>
          <w:rFonts w:hint="eastAsia" w:ascii="仿宋" w:hAnsi="仿宋" w:eastAsia="仿宋" w:cs="仿宋"/>
          <w:sz w:val="32"/>
          <w:szCs w:val="32"/>
          <w:lang w:val="en-US" w:eastAsia="zh-CN"/>
        </w:rPr>
        <w:t xml:space="preserve">  中国国际工程咨询协会</w:t>
      </w:r>
    </w:p>
    <w:p>
      <w:pPr>
        <w:widowControl/>
        <w:spacing w:line="500" w:lineRule="exact"/>
        <w:ind w:right="-191" w:rightChars="-91" w:firstLine="646"/>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2021年10月22日</w:t>
      </w: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widowControl/>
        <w:spacing w:line="500" w:lineRule="exact"/>
        <w:ind w:right="-191" w:rightChars="-91" w:firstLine="646"/>
        <w:outlineLvl w:val="0"/>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color w:val="000000"/>
          <w:sz w:val="32"/>
          <w:szCs w:val="32"/>
          <w:lang w:val="zh-CN" w:eastAsia="zh-CN"/>
        </w:rPr>
      </w:pPr>
    </w:p>
    <w:p>
      <w:pPr>
        <w:widowControl/>
        <w:spacing w:line="500" w:lineRule="exact"/>
        <w:ind w:right="-191" w:rightChars="-91" w:firstLine="646"/>
        <w:outlineLvl w:val="0"/>
        <w:rPr>
          <w:rFonts w:hint="eastAsia" w:ascii="仿宋" w:hAnsi="仿宋" w:eastAsia="仿宋" w:cs="仿宋"/>
          <w:sz w:val="32"/>
          <w:szCs w:val="32"/>
          <w:lang w:val="zh-CN"/>
        </w:rPr>
      </w:pPr>
    </w:p>
    <w:p>
      <w:pPr>
        <w:spacing w:line="480" w:lineRule="exact"/>
        <w:jc w:val="center"/>
        <w:rPr>
          <w:rFonts w:hint="default" w:ascii="仿宋" w:hAnsi="仿宋" w:eastAsia="仿宋" w:cs="仿宋_GB2312"/>
          <w:b/>
          <w:color w:val="2F2F2F"/>
          <w:sz w:val="32"/>
          <w:szCs w:val="32"/>
          <w:shd w:val="clear" w:color="auto" w:fill="FFFFFF"/>
          <w:lang w:val="en-US" w:eastAsia="zh-CN"/>
        </w:rPr>
      </w:pPr>
      <w:r>
        <w:rPr>
          <w:rFonts w:hint="eastAsia" w:ascii="仿宋" w:hAnsi="仿宋" w:eastAsia="仿宋" w:cs="仿宋_GB2312"/>
          <w:b/>
          <w:color w:val="2F2F2F"/>
          <w:sz w:val="32"/>
          <w:szCs w:val="32"/>
          <w:shd w:val="clear" w:color="auto" w:fill="FFFFFF"/>
          <w:lang w:val="en-US" w:eastAsia="zh-CN"/>
        </w:rPr>
        <w:t>金税四期以数治税背景下建筑业税务风险安全管控与人力成本规划之道培训回执表</w:t>
      </w:r>
    </w:p>
    <w:tbl>
      <w:tblPr>
        <w:tblStyle w:val="6"/>
        <w:tblpPr w:leftFromText="180" w:rightFromText="180" w:vertAnchor="page" w:horzAnchor="page" w:tblpX="1182" w:tblpY="2788"/>
        <w:tblW w:w="974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849"/>
        <w:gridCol w:w="1282"/>
        <w:gridCol w:w="1984"/>
        <w:gridCol w:w="157"/>
        <w:gridCol w:w="687"/>
        <w:gridCol w:w="161"/>
        <w:gridCol w:w="689"/>
        <w:gridCol w:w="291"/>
        <w:gridCol w:w="19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6"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单位名称</w:t>
            </w:r>
          </w:p>
        </w:tc>
        <w:tc>
          <w:tcPr>
            <w:tcW w:w="4959" w:type="dxa"/>
            <w:gridSpan w:val="5"/>
            <w:noWrap w:val="0"/>
            <w:vAlign w:val="center"/>
          </w:tcPr>
          <w:p>
            <w:pPr>
              <w:spacing w:line="360" w:lineRule="exact"/>
              <w:ind w:right="-147" w:rightChars="-70"/>
              <w:jc w:val="center"/>
              <w:rPr>
                <w:rFonts w:ascii="仿宋_GB2312" w:eastAsia="仿宋_GB2312"/>
                <w:sz w:val="24"/>
                <w:szCs w:val="22"/>
              </w:rPr>
            </w:pPr>
          </w:p>
        </w:tc>
        <w:tc>
          <w:tcPr>
            <w:tcW w:w="850" w:type="dxa"/>
            <w:gridSpan w:val="2"/>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邮编</w:t>
            </w:r>
          </w:p>
        </w:tc>
        <w:tc>
          <w:tcPr>
            <w:tcW w:w="2275" w:type="dxa"/>
            <w:gridSpan w:val="2"/>
            <w:noWrap w:val="0"/>
            <w:vAlign w:val="center"/>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1"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单位地址</w:t>
            </w:r>
          </w:p>
        </w:tc>
        <w:tc>
          <w:tcPr>
            <w:tcW w:w="8084" w:type="dxa"/>
            <w:gridSpan w:val="9"/>
            <w:noWrap w:val="0"/>
            <w:vAlign w:val="center"/>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5"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联系人</w:t>
            </w:r>
          </w:p>
        </w:tc>
        <w:tc>
          <w:tcPr>
            <w:tcW w:w="2131" w:type="dxa"/>
            <w:gridSpan w:val="2"/>
            <w:noWrap w:val="0"/>
            <w:vAlign w:val="center"/>
          </w:tcPr>
          <w:p>
            <w:pPr>
              <w:spacing w:line="360" w:lineRule="exact"/>
              <w:ind w:right="-147" w:rightChars="-70" w:firstLine="960"/>
              <w:jc w:val="center"/>
              <w:rPr>
                <w:rFonts w:ascii="仿宋_GB2312" w:eastAsia="仿宋_GB2312"/>
                <w:sz w:val="24"/>
                <w:szCs w:val="22"/>
              </w:rPr>
            </w:pPr>
          </w:p>
        </w:tc>
        <w:tc>
          <w:tcPr>
            <w:tcW w:w="2989" w:type="dxa"/>
            <w:gridSpan w:val="4"/>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职位/岗位</w:t>
            </w:r>
          </w:p>
        </w:tc>
        <w:tc>
          <w:tcPr>
            <w:tcW w:w="2964" w:type="dxa"/>
            <w:gridSpan w:val="3"/>
            <w:noWrap w:val="0"/>
            <w:vAlign w:val="center"/>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7"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办公电话</w:t>
            </w:r>
          </w:p>
        </w:tc>
        <w:tc>
          <w:tcPr>
            <w:tcW w:w="2131" w:type="dxa"/>
            <w:gridSpan w:val="2"/>
            <w:noWrap w:val="0"/>
            <w:vAlign w:val="center"/>
          </w:tcPr>
          <w:p>
            <w:pPr>
              <w:spacing w:line="360" w:lineRule="exact"/>
              <w:ind w:right="-147" w:rightChars="-70"/>
              <w:jc w:val="center"/>
              <w:rPr>
                <w:rFonts w:ascii="仿宋_GB2312" w:eastAsia="仿宋_GB2312"/>
                <w:sz w:val="24"/>
                <w:szCs w:val="22"/>
              </w:rPr>
            </w:pPr>
          </w:p>
        </w:tc>
        <w:tc>
          <w:tcPr>
            <w:tcW w:w="2989" w:type="dxa"/>
            <w:gridSpan w:val="4"/>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手    机</w:t>
            </w:r>
          </w:p>
        </w:tc>
        <w:tc>
          <w:tcPr>
            <w:tcW w:w="2964" w:type="dxa"/>
            <w:gridSpan w:val="3"/>
            <w:noWrap w:val="0"/>
            <w:vAlign w:val="center"/>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5"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传   真</w:t>
            </w:r>
          </w:p>
        </w:tc>
        <w:tc>
          <w:tcPr>
            <w:tcW w:w="2131" w:type="dxa"/>
            <w:gridSpan w:val="2"/>
            <w:noWrap w:val="0"/>
            <w:vAlign w:val="center"/>
          </w:tcPr>
          <w:p>
            <w:pPr>
              <w:spacing w:line="360" w:lineRule="exact"/>
              <w:ind w:right="-147" w:rightChars="-70"/>
              <w:jc w:val="center"/>
              <w:rPr>
                <w:rFonts w:ascii="仿宋_GB2312" w:eastAsia="仿宋_GB2312"/>
                <w:sz w:val="24"/>
                <w:szCs w:val="22"/>
              </w:rPr>
            </w:pPr>
          </w:p>
        </w:tc>
        <w:tc>
          <w:tcPr>
            <w:tcW w:w="2989" w:type="dxa"/>
            <w:gridSpan w:val="4"/>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电子信箱</w:t>
            </w:r>
          </w:p>
        </w:tc>
        <w:tc>
          <w:tcPr>
            <w:tcW w:w="2964" w:type="dxa"/>
            <w:gridSpan w:val="3"/>
            <w:noWrap w:val="0"/>
            <w:vAlign w:val="center"/>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9"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参加培训人员</w:t>
            </w:r>
          </w:p>
        </w:tc>
        <w:tc>
          <w:tcPr>
            <w:tcW w:w="849"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性别</w:t>
            </w:r>
          </w:p>
        </w:tc>
        <w:tc>
          <w:tcPr>
            <w:tcW w:w="1282"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职务</w:t>
            </w:r>
          </w:p>
        </w:tc>
        <w:tc>
          <w:tcPr>
            <w:tcW w:w="1984"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电话</w:t>
            </w:r>
          </w:p>
        </w:tc>
        <w:tc>
          <w:tcPr>
            <w:tcW w:w="1985" w:type="dxa"/>
            <w:gridSpan w:val="5"/>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手机</w:t>
            </w:r>
          </w:p>
        </w:tc>
        <w:tc>
          <w:tcPr>
            <w:tcW w:w="1984"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邮箱</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rPr>
        <w:tc>
          <w:tcPr>
            <w:tcW w:w="1663" w:type="dxa"/>
            <w:noWrap w:val="0"/>
            <w:vAlign w:val="center"/>
          </w:tcPr>
          <w:p>
            <w:pPr>
              <w:spacing w:line="360" w:lineRule="exact"/>
              <w:ind w:right="-147" w:rightChars="-70"/>
              <w:jc w:val="center"/>
              <w:rPr>
                <w:rFonts w:ascii="仿宋_GB2312" w:eastAsia="仿宋_GB2312"/>
                <w:sz w:val="24"/>
                <w:szCs w:val="22"/>
              </w:rPr>
            </w:pPr>
          </w:p>
        </w:tc>
        <w:tc>
          <w:tcPr>
            <w:tcW w:w="849" w:type="dxa"/>
            <w:noWrap w:val="0"/>
            <w:vAlign w:val="center"/>
          </w:tcPr>
          <w:p>
            <w:pPr>
              <w:spacing w:line="360" w:lineRule="exact"/>
              <w:ind w:right="-147" w:rightChars="-70"/>
              <w:jc w:val="center"/>
              <w:rPr>
                <w:rFonts w:ascii="仿宋_GB2312" w:eastAsia="仿宋_GB2312"/>
                <w:sz w:val="24"/>
                <w:szCs w:val="22"/>
              </w:rPr>
            </w:pPr>
          </w:p>
        </w:tc>
        <w:tc>
          <w:tcPr>
            <w:tcW w:w="1282" w:type="dxa"/>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c>
          <w:tcPr>
            <w:tcW w:w="1985" w:type="dxa"/>
            <w:gridSpan w:val="5"/>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rPr>
        <w:tc>
          <w:tcPr>
            <w:tcW w:w="1663" w:type="dxa"/>
            <w:noWrap w:val="0"/>
            <w:vAlign w:val="center"/>
          </w:tcPr>
          <w:p>
            <w:pPr>
              <w:spacing w:line="360" w:lineRule="exact"/>
              <w:ind w:right="-147" w:rightChars="-70"/>
              <w:jc w:val="center"/>
              <w:rPr>
                <w:rFonts w:ascii="仿宋_GB2312" w:eastAsia="仿宋_GB2312"/>
                <w:sz w:val="24"/>
                <w:szCs w:val="22"/>
              </w:rPr>
            </w:pPr>
          </w:p>
        </w:tc>
        <w:tc>
          <w:tcPr>
            <w:tcW w:w="849" w:type="dxa"/>
            <w:noWrap w:val="0"/>
            <w:vAlign w:val="center"/>
          </w:tcPr>
          <w:p>
            <w:pPr>
              <w:spacing w:line="360" w:lineRule="exact"/>
              <w:ind w:right="-147" w:rightChars="-70"/>
              <w:jc w:val="center"/>
              <w:rPr>
                <w:rFonts w:ascii="仿宋_GB2312" w:eastAsia="仿宋_GB2312"/>
                <w:sz w:val="24"/>
                <w:szCs w:val="22"/>
              </w:rPr>
            </w:pPr>
          </w:p>
        </w:tc>
        <w:tc>
          <w:tcPr>
            <w:tcW w:w="1282" w:type="dxa"/>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c>
          <w:tcPr>
            <w:tcW w:w="1985" w:type="dxa"/>
            <w:gridSpan w:val="5"/>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rPr>
        <w:tc>
          <w:tcPr>
            <w:tcW w:w="1663" w:type="dxa"/>
            <w:noWrap w:val="0"/>
            <w:vAlign w:val="center"/>
          </w:tcPr>
          <w:p>
            <w:pPr>
              <w:spacing w:line="360" w:lineRule="exact"/>
              <w:ind w:right="-147" w:rightChars="-70"/>
              <w:jc w:val="center"/>
              <w:rPr>
                <w:rFonts w:ascii="仿宋_GB2312" w:eastAsia="仿宋_GB2312"/>
                <w:sz w:val="24"/>
                <w:szCs w:val="22"/>
              </w:rPr>
            </w:pPr>
          </w:p>
        </w:tc>
        <w:tc>
          <w:tcPr>
            <w:tcW w:w="849" w:type="dxa"/>
            <w:noWrap w:val="0"/>
            <w:vAlign w:val="center"/>
          </w:tcPr>
          <w:p>
            <w:pPr>
              <w:spacing w:line="360" w:lineRule="exact"/>
              <w:ind w:right="-147" w:rightChars="-70"/>
              <w:jc w:val="center"/>
              <w:rPr>
                <w:rFonts w:ascii="仿宋_GB2312" w:eastAsia="仿宋_GB2312"/>
                <w:sz w:val="24"/>
                <w:szCs w:val="22"/>
              </w:rPr>
            </w:pPr>
          </w:p>
        </w:tc>
        <w:tc>
          <w:tcPr>
            <w:tcW w:w="1282" w:type="dxa"/>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c>
          <w:tcPr>
            <w:tcW w:w="1985" w:type="dxa"/>
            <w:gridSpan w:val="5"/>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rPr>
        <w:tc>
          <w:tcPr>
            <w:tcW w:w="1663" w:type="dxa"/>
            <w:noWrap w:val="0"/>
            <w:vAlign w:val="center"/>
          </w:tcPr>
          <w:p>
            <w:pPr>
              <w:spacing w:line="360" w:lineRule="exact"/>
              <w:ind w:right="-147" w:rightChars="-70"/>
              <w:jc w:val="center"/>
              <w:rPr>
                <w:rFonts w:ascii="仿宋_GB2312" w:eastAsia="仿宋_GB2312"/>
                <w:sz w:val="24"/>
                <w:szCs w:val="22"/>
              </w:rPr>
            </w:pPr>
          </w:p>
        </w:tc>
        <w:tc>
          <w:tcPr>
            <w:tcW w:w="849" w:type="dxa"/>
            <w:noWrap w:val="0"/>
            <w:vAlign w:val="center"/>
          </w:tcPr>
          <w:p>
            <w:pPr>
              <w:spacing w:line="360" w:lineRule="exact"/>
              <w:ind w:right="-147" w:rightChars="-70"/>
              <w:jc w:val="center"/>
              <w:rPr>
                <w:rFonts w:ascii="仿宋_GB2312" w:eastAsia="仿宋_GB2312"/>
                <w:sz w:val="24"/>
                <w:szCs w:val="22"/>
              </w:rPr>
            </w:pPr>
          </w:p>
        </w:tc>
        <w:tc>
          <w:tcPr>
            <w:tcW w:w="1282" w:type="dxa"/>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c>
          <w:tcPr>
            <w:tcW w:w="1985" w:type="dxa"/>
            <w:gridSpan w:val="5"/>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rPr>
        <w:tc>
          <w:tcPr>
            <w:tcW w:w="1663" w:type="dxa"/>
            <w:noWrap w:val="0"/>
            <w:vAlign w:val="center"/>
          </w:tcPr>
          <w:p>
            <w:pPr>
              <w:spacing w:line="360" w:lineRule="exact"/>
              <w:ind w:right="-147" w:rightChars="-70"/>
              <w:jc w:val="center"/>
              <w:rPr>
                <w:rFonts w:ascii="仿宋_GB2312" w:eastAsia="仿宋_GB2312"/>
                <w:sz w:val="24"/>
                <w:szCs w:val="22"/>
              </w:rPr>
            </w:pPr>
          </w:p>
        </w:tc>
        <w:tc>
          <w:tcPr>
            <w:tcW w:w="849" w:type="dxa"/>
            <w:noWrap w:val="0"/>
            <w:vAlign w:val="center"/>
          </w:tcPr>
          <w:p>
            <w:pPr>
              <w:spacing w:line="360" w:lineRule="exact"/>
              <w:ind w:right="-147" w:rightChars="-70"/>
              <w:jc w:val="center"/>
              <w:rPr>
                <w:rFonts w:ascii="仿宋_GB2312" w:eastAsia="仿宋_GB2312"/>
                <w:sz w:val="24"/>
                <w:szCs w:val="22"/>
              </w:rPr>
            </w:pPr>
          </w:p>
        </w:tc>
        <w:tc>
          <w:tcPr>
            <w:tcW w:w="1282" w:type="dxa"/>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c>
          <w:tcPr>
            <w:tcW w:w="1985" w:type="dxa"/>
            <w:gridSpan w:val="5"/>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rPr>
        <w:tc>
          <w:tcPr>
            <w:tcW w:w="1663" w:type="dxa"/>
            <w:noWrap w:val="0"/>
            <w:vAlign w:val="center"/>
          </w:tcPr>
          <w:p>
            <w:pPr>
              <w:spacing w:line="360" w:lineRule="exact"/>
              <w:ind w:right="-147" w:rightChars="-70"/>
              <w:jc w:val="center"/>
              <w:rPr>
                <w:rFonts w:ascii="仿宋_GB2312" w:eastAsia="仿宋_GB2312"/>
                <w:sz w:val="24"/>
                <w:szCs w:val="22"/>
              </w:rPr>
            </w:pPr>
          </w:p>
        </w:tc>
        <w:tc>
          <w:tcPr>
            <w:tcW w:w="849" w:type="dxa"/>
            <w:noWrap w:val="0"/>
            <w:vAlign w:val="center"/>
          </w:tcPr>
          <w:p>
            <w:pPr>
              <w:spacing w:line="360" w:lineRule="exact"/>
              <w:ind w:right="-147" w:rightChars="-70"/>
              <w:jc w:val="center"/>
              <w:rPr>
                <w:rFonts w:ascii="仿宋_GB2312" w:eastAsia="仿宋_GB2312"/>
                <w:sz w:val="24"/>
                <w:szCs w:val="22"/>
              </w:rPr>
            </w:pPr>
          </w:p>
        </w:tc>
        <w:tc>
          <w:tcPr>
            <w:tcW w:w="1282" w:type="dxa"/>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c>
          <w:tcPr>
            <w:tcW w:w="1985" w:type="dxa"/>
            <w:gridSpan w:val="5"/>
            <w:noWrap w:val="0"/>
            <w:vAlign w:val="center"/>
          </w:tcPr>
          <w:p>
            <w:pPr>
              <w:spacing w:line="360" w:lineRule="exact"/>
              <w:ind w:right="-147" w:rightChars="-70"/>
              <w:jc w:val="center"/>
              <w:rPr>
                <w:rFonts w:ascii="仿宋_GB2312" w:eastAsia="仿宋_GB2312"/>
                <w:sz w:val="24"/>
                <w:szCs w:val="22"/>
              </w:rPr>
            </w:pPr>
          </w:p>
        </w:tc>
        <w:tc>
          <w:tcPr>
            <w:tcW w:w="1984" w:type="dxa"/>
            <w:noWrap w:val="0"/>
            <w:vAlign w:val="center"/>
          </w:tcPr>
          <w:p>
            <w:pPr>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9" w:hRule="atLeast"/>
        </w:trPr>
        <w:tc>
          <w:tcPr>
            <w:tcW w:w="1663" w:type="dxa"/>
            <w:noWrap w:val="0"/>
            <w:vAlign w:val="center"/>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是否住宿</w:t>
            </w:r>
          </w:p>
        </w:tc>
        <w:tc>
          <w:tcPr>
            <w:tcW w:w="2131" w:type="dxa"/>
            <w:gridSpan w:val="2"/>
            <w:noWrap w:val="0"/>
            <w:vAlign w:val="center"/>
          </w:tcPr>
          <w:p>
            <w:pPr>
              <w:widowControl/>
              <w:spacing w:line="360" w:lineRule="exact"/>
              <w:ind w:right="-147" w:rightChars="-70"/>
              <w:jc w:val="center"/>
              <w:rPr>
                <w:rFonts w:ascii="仿宋_GB2312" w:eastAsia="仿宋_GB2312"/>
                <w:sz w:val="24"/>
                <w:szCs w:val="22"/>
              </w:rPr>
            </w:pPr>
            <w:r>
              <w:rPr>
                <w:rFonts w:hint="eastAsia" w:ascii="仿宋" w:hAnsi="仿宋" w:eastAsia="仿宋" w:cs="仿宋"/>
                <w:bCs/>
                <w:sz w:val="24"/>
              </w:rPr>
              <w:t>□</w:t>
            </w:r>
            <w:r>
              <w:rPr>
                <w:rFonts w:ascii="仿宋_GB2312" w:eastAsia="仿宋_GB2312"/>
                <w:sz w:val="24"/>
                <w:szCs w:val="22"/>
              </w:rPr>
              <w:t xml:space="preserve">是     </w:t>
            </w:r>
            <w:r>
              <w:rPr>
                <w:rFonts w:hint="eastAsia" w:ascii="仿宋_GB2312" w:eastAsia="仿宋_GB2312"/>
                <w:sz w:val="24"/>
                <w:szCs w:val="22"/>
              </w:rPr>
              <w:t>□</w:t>
            </w:r>
            <w:r>
              <w:rPr>
                <w:rFonts w:ascii="仿宋_GB2312" w:eastAsia="仿宋_GB2312"/>
                <w:sz w:val="24"/>
                <w:szCs w:val="22"/>
              </w:rPr>
              <w:t>否</w:t>
            </w:r>
          </w:p>
        </w:tc>
        <w:tc>
          <w:tcPr>
            <w:tcW w:w="1984" w:type="dxa"/>
            <w:noWrap w:val="0"/>
            <w:vAlign w:val="center"/>
          </w:tcPr>
          <w:p>
            <w:pPr>
              <w:widowControl/>
              <w:spacing w:line="360" w:lineRule="exact"/>
              <w:ind w:right="-147" w:rightChars="-70" w:firstLine="240" w:firstLineChars="100"/>
              <w:jc w:val="center"/>
              <w:rPr>
                <w:rFonts w:ascii="仿宋_GB2312" w:eastAsia="仿宋_GB2312"/>
                <w:sz w:val="24"/>
                <w:szCs w:val="22"/>
              </w:rPr>
            </w:pPr>
            <w:r>
              <w:rPr>
                <w:rFonts w:ascii="仿宋_GB2312" w:eastAsia="仿宋_GB2312"/>
                <w:sz w:val="24"/>
                <w:szCs w:val="22"/>
              </w:rPr>
              <w:t>住宿标准</w:t>
            </w:r>
          </w:p>
        </w:tc>
        <w:tc>
          <w:tcPr>
            <w:tcW w:w="3969" w:type="dxa"/>
            <w:gridSpan w:val="6"/>
            <w:noWrap w:val="0"/>
            <w:vAlign w:val="center"/>
          </w:tcPr>
          <w:p>
            <w:pPr>
              <w:widowControl/>
              <w:spacing w:line="360" w:lineRule="exact"/>
              <w:ind w:right="-147" w:rightChars="-70"/>
              <w:rPr>
                <w:szCs w:val="22"/>
              </w:rPr>
            </w:pPr>
            <w:r>
              <w:rPr>
                <w:rFonts w:hint="eastAsia" w:ascii="仿宋" w:hAnsi="仿宋" w:eastAsia="仿宋" w:cs="仿宋"/>
                <w:bCs/>
                <w:sz w:val="24"/>
              </w:rPr>
              <w:t>□</w:t>
            </w:r>
            <w:r>
              <w:rPr>
                <w:rFonts w:ascii="仿宋_GB2312" w:eastAsia="仿宋_GB2312"/>
                <w:sz w:val="24"/>
                <w:szCs w:val="22"/>
              </w:rPr>
              <w:t>单住(需另补床位费)</w:t>
            </w:r>
            <w:r>
              <w:rPr>
                <w:rFonts w:hint="eastAsia" w:ascii="仿宋_GB2312" w:eastAsia="仿宋_GB2312"/>
                <w:sz w:val="24"/>
                <w:szCs w:val="22"/>
              </w:rPr>
              <w:t xml:space="preserve"> </w:t>
            </w:r>
            <w:r>
              <w:rPr>
                <w:rFonts w:ascii="仿宋_GB2312" w:eastAsia="仿宋_GB2312"/>
                <w:sz w:val="24"/>
                <w:szCs w:val="22"/>
              </w:rPr>
              <w:t xml:space="preserve"> </w:t>
            </w:r>
            <w:r>
              <w:rPr>
                <w:rFonts w:hint="eastAsia" w:ascii="仿宋" w:hAnsi="仿宋" w:eastAsia="仿宋" w:cs="仿宋"/>
                <w:bCs/>
                <w:sz w:val="24"/>
              </w:rPr>
              <w:t>□</w:t>
            </w:r>
            <w:r>
              <w:rPr>
                <w:rFonts w:ascii="仿宋_GB2312" w:eastAsia="仿宋_GB2312"/>
                <w:sz w:val="24"/>
                <w:szCs w:val="22"/>
              </w:rPr>
              <w:t>合住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1663" w:type="dxa"/>
            <w:noWrap w:val="0"/>
            <w:vAlign w:val="center"/>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参会地点</w:t>
            </w:r>
          </w:p>
        </w:tc>
        <w:tc>
          <w:tcPr>
            <w:tcW w:w="8084" w:type="dxa"/>
            <w:gridSpan w:val="9"/>
            <w:noWrap w:val="0"/>
            <w:vAlign w:val="center"/>
          </w:tcPr>
          <w:p>
            <w:pPr>
              <w:spacing w:line="360" w:lineRule="exact"/>
              <w:ind w:right="-147" w:rightChars="-70" w:firstLine="240" w:firstLineChars="100"/>
              <w:jc w:val="center"/>
              <w:rPr>
                <w:rFonts w:ascii="仿宋_GB2312" w:eastAsia="仿宋_GB2312"/>
                <w:color w:val="FF0000"/>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3" w:hRule="atLeast"/>
        </w:trPr>
        <w:tc>
          <w:tcPr>
            <w:tcW w:w="1663" w:type="dxa"/>
            <w:noWrap w:val="0"/>
            <w:vAlign w:val="center"/>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付款方式</w:t>
            </w:r>
          </w:p>
        </w:tc>
        <w:tc>
          <w:tcPr>
            <w:tcW w:w="4272" w:type="dxa"/>
            <w:gridSpan w:val="4"/>
            <w:noWrap w:val="0"/>
            <w:vAlign w:val="center"/>
          </w:tcPr>
          <w:p>
            <w:pPr>
              <w:widowControl/>
              <w:spacing w:line="360" w:lineRule="exact"/>
              <w:ind w:right="-147" w:rightChars="-70"/>
              <w:jc w:val="center"/>
              <w:rPr>
                <w:rFonts w:ascii="仿宋_GB2312" w:eastAsia="仿宋_GB2312"/>
                <w:sz w:val="24"/>
                <w:szCs w:val="22"/>
              </w:rPr>
            </w:pPr>
            <w:r>
              <w:rPr>
                <w:rFonts w:hint="eastAsia" w:ascii="仿宋" w:hAnsi="仿宋" w:eastAsia="仿宋" w:cs="仿宋"/>
                <w:bCs/>
                <w:sz w:val="24"/>
              </w:rPr>
              <w:t>□</w:t>
            </w:r>
            <w:r>
              <w:rPr>
                <w:rFonts w:ascii="仿宋_GB2312" w:eastAsia="仿宋_GB2312"/>
                <w:sz w:val="24"/>
                <w:szCs w:val="22"/>
              </w:rPr>
              <w:t xml:space="preserve">通过银行    </w:t>
            </w:r>
            <w:r>
              <w:rPr>
                <w:rFonts w:hint="eastAsia" w:ascii="仿宋" w:hAnsi="仿宋" w:eastAsia="仿宋" w:cs="仿宋"/>
                <w:bCs/>
                <w:sz w:val="24"/>
              </w:rPr>
              <w:t>□</w:t>
            </w:r>
            <w:r>
              <w:rPr>
                <w:rFonts w:ascii="仿宋_GB2312" w:eastAsia="仿宋_GB2312"/>
                <w:sz w:val="24"/>
                <w:szCs w:val="22"/>
              </w:rPr>
              <w:t>通过网银</w:t>
            </w:r>
          </w:p>
        </w:tc>
        <w:tc>
          <w:tcPr>
            <w:tcW w:w="848" w:type="dxa"/>
            <w:gridSpan w:val="2"/>
            <w:noWrap w:val="0"/>
            <w:vAlign w:val="center"/>
          </w:tcPr>
          <w:p>
            <w:pPr>
              <w:widowControl/>
              <w:spacing w:line="360" w:lineRule="exact"/>
              <w:ind w:right="-147" w:rightChars="-70"/>
              <w:jc w:val="center"/>
              <w:rPr>
                <w:rFonts w:ascii="仿宋_GB2312" w:eastAsia="仿宋_GB2312"/>
                <w:sz w:val="24"/>
                <w:szCs w:val="22"/>
              </w:rPr>
            </w:pPr>
            <w:r>
              <w:rPr>
                <w:rFonts w:ascii="仿宋_GB2312" w:eastAsia="仿宋_GB2312"/>
                <w:sz w:val="24"/>
                <w:szCs w:val="22"/>
              </w:rPr>
              <w:t>金额</w:t>
            </w:r>
          </w:p>
        </w:tc>
        <w:tc>
          <w:tcPr>
            <w:tcW w:w="2964" w:type="dxa"/>
            <w:gridSpan w:val="3"/>
            <w:noWrap w:val="0"/>
            <w:vAlign w:val="center"/>
          </w:tcPr>
          <w:p>
            <w:pPr>
              <w:widowControl/>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409"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b/>
                <w:bCs/>
                <w:sz w:val="24"/>
                <w:szCs w:val="22"/>
              </w:rPr>
              <w:t>指定收款帐户</w:t>
            </w:r>
          </w:p>
        </w:tc>
        <w:tc>
          <w:tcPr>
            <w:tcW w:w="8084" w:type="dxa"/>
            <w:gridSpan w:val="9"/>
            <w:noWrap w:val="0"/>
            <w:vAlign w:val="center"/>
          </w:tcPr>
          <w:p>
            <w:pPr>
              <w:spacing w:line="360" w:lineRule="exact"/>
              <w:ind w:right="-147" w:rightChars="-70"/>
              <w:jc w:val="left"/>
              <w:rPr>
                <w:rFonts w:hint="eastAsia" w:ascii="仿宋_GB2312" w:eastAsia="仿宋_GB2312"/>
                <w:b/>
                <w:bCs/>
                <w:sz w:val="28"/>
                <w:szCs w:val="28"/>
              </w:rPr>
            </w:pPr>
            <w:r>
              <w:rPr>
                <w:rFonts w:hint="eastAsia" w:ascii="仿宋_GB2312" w:eastAsia="仿宋_GB2312"/>
                <w:b/>
                <w:bCs/>
                <w:sz w:val="28"/>
                <w:szCs w:val="28"/>
              </w:rPr>
              <w:t xml:space="preserve">单位名称：北京中建科信管理咨询集团有限公司 </w:t>
            </w:r>
          </w:p>
          <w:p>
            <w:pPr>
              <w:spacing w:line="360" w:lineRule="exact"/>
              <w:ind w:right="-147" w:rightChars="-70"/>
              <w:jc w:val="left"/>
              <w:rPr>
                <w:rFonts w:hint="eastAsia" w:ascii="仿宋_GB2312" w:eastAsia="仿宋_GB2312"/>
                <w:b/>
                <w:bCs/>
                <w:sz w:val="28"/>
                <w:szCs w:val="28"/>
              </w:rPr>
            </w:pPr>
            <w:r>
              <w:rPr>
                <w:rFonts w:hint="eastAsia" w:ascii="仿宋_GB2312" w:eastAsia="仿宋_GB2312"/>
                <w:b/>
                <w:bCs/>
                <w:sz w:val="28"/>
                <w:szCs w:val="28"/>
              </w:rPr>
              <w:t>开 户 行：中国工商银行股份有限公司北京</w:t>
            </w:r>
            <w:r>
              <w:rPr>
                <w:rFonts w:hint="eastAsia" w:ascii="仿宋_GB2312" w:eastAsia="仿宋_GB2312"/>
                <w:b/>
                <w:bCs/>
                <w:sz w:val="28"/>
                <w:szCs w:val="28"/>
                <w:lang w:val="en-US" w:eastAsia="zh-CN"/>
              </w:rPr>
              <w:t>翠微路</w:t>
            </w:r>
            <w:r>
              <w:rPr>
                <w:rFonts w:hint="eastAsia" w:ascii="仿宋_GB2312" w:eastAsia="仿宋_GB2312"/>
                <w:b/>
                <w:bCs/>
                <w:sz w:val="28"/>
                <w:szCs w:val="28"/>
              </w:rPr>
              <w:t xml:space="preserve">支行 </w:t>
            </w:r>
          </w:p>
          <w:p>
            <w:pPr>
              <w:spacing w:line="360" w:lineRule="exact"/>
              <w:ind w:right="-147" w:rightChars="-70"/>
              <w:jc w:val="left"/>
              <w:rPr>
                <w:rFonts w:ascii="仿宋_GB2312" w:eastAsia="仿宋_GB2312"/>
                <w:b/>
                <w:bCs/>
                <w:sz w:val="28"/>
                <w:szCs w:val="28"/>
              </w:rPr>
            </w:pPr>
            <w:r>
              <w:rPr>
                <w:rFonts w:hint="eastAsia" w:ascii="仿宋_GB2312" w:eastAsia="仿宋_GB2312"/>
                <w:b/>
                <w:bCs/>
                <w:sz w:val="28"/>
                <w:szCs w:val="28"/>
              </w:rPr>
              <w:t>账    号： 0200247009200068235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696" w:hRule="atLeast"/>
        </w:trPr>
        <w:tc>
          <w:tcPr>
            <w:tcW w:w="1663" w:type="dxa"/>
            <w:noWrap w:val="0"/>
            <w:vAlign w:val="center"/>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备注</w:t>
            </w:r>
          </w:p>
        </w:tc>
        <w:tc>
          <w:tcPr>
            <w:tcW w:w="5120" w:type="dxa"/>
            <w:gridSpan w:val="6"/>
            <w:noWrap w:val="0"/>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2964" w:type="dxa"/>
            <w:gridSpan w:val="3"/>
            <w:noWrap w:val="0"/>
            <w:vAlign w:val="center"/>
          </w:tcPr>
          <w:p>
            <w:pPr>
              <w:spacing w:line="360" w:lineRule="exact"/>
              <w:ind w:right="-147" w:rightChars="-70" w:firstLine="720" w:firstLineChars="300"/>
              <w:jc w:val="center"/>
              <w:rPr>
                <w:rFonts w:ascii="仿宋_GB2312" w:eastAsia="仿宋_GB2312"/>
                <w:sz w:val="24"/>
                <w:szCs w:val="22"/>
              </w:rPr>
            </w:pPr>
            <w:r>
              <w:rPr>
                <w:rFonts w:ascii="仿宋_GB2312" w:eastAsia="仿宋_GB2312"/>
                <w:sz w:val="24"/>
                <w:szCs w:val="22"/>
              </w:rPr>
              <w:t>单位印章</w:t>
            </w:r>
          </w:p>
          <w:p>
            <w:pPr>
              <w:spacing w:line="360" w:lineRule="exact"/>
              <w:ind w:right="-147" w:rightChars="-70" w:firstLine="240" w:firstLineChars="100"/>
              <w:jc w:val="center"/>
              <w:rPr>
                <w:rFonts w:ascii="仿宋_GB2312" w:eastAsia="仿宋_GB2312"/>
                <w:sz w:val="24"/>
                <w:szCs w:val="22"/>
              </w:rPr>
            </w:pPr>
            <w:r>
              <w:rPr>
                <w:rFonts w:ascii="仿宋_GB2312" w:eastAsia="仿宋_GB2312"/>
                <w:sz w:val="24"/>
                <w:szCs w:val="22"/>
              </w:rPr>
              <w:t>二</w:t>
            </w:r>
            <w:r>
              <w:rPr>
                <w:rFonts w:hint="eastAsia" w:ascii="仿宋_GB2312" w:eastAsia="仿宋_GB2312"/>
                <w:sz w:val="24"/>
                <w:szCs w:val="22"/>
              </w:rPr>
              <w:t>〇二</w:t>
            </w:r>
            <w:r>
              <w:rPr>
                <w:rFonts w:hint="eastAsia" w:ascii="仿宋_GB2312" w:eastAsia="仿宋_GB2312"/>
                <w:sz w:val="24"/>
                <w:szCs w:val="22"/>
                <w:lang w:val="en-US" w:eastAsia="zh-CN"/>
              </w:rPr>
              <w:t>一</w:t>
            </w:r>
            <w:r>
              <w:rPr>
                <w:rFonts w:ascii="仿宋_GB2312" w:eastAsia="仿宋_GB2312"/>
                <w:sz w:val="24"/>
                <w:szCs w:val="22"/>
              </w:rPr>
              <w:t>年  月  日</w:t>
            </w:r>
          </w:p>
        </w:tc>
      </w:tr>
    </w:tbl>
    <w:p>
      <w:pPr>
        <w:spacing w:line="420" w:lineRule="exact"/>
        <w:rPr>
          <w:rFonts w:hint="eastAsia" w:ascii="仿宋" w:hAnsi="仿宋" w:eastAsia="仿宋" w:cs="仿宋"/>
          <w:sz w:val="28"/>
          <w:szCs w:val="28"/>
        </w:rPr>
      </w:pPr>
      <w:r>
        <w:rPr>
          <w:rFonts w:hint="eastAsia" w:ascii="仿宋" w:hAnsi="仿宋" w:eastAsia="仿宋" w:cs="仿宋"/>
          <w:sz w:val="28"/>
          <w:szCs w:val="28"/>
        </w:rPr>
        <w:t>备注： 1、请尽早报名，额满为止。参会报名表复制有效</w:t>
      </w:r>
    </w:p>
    <w:p>
      <w:pPr>
        <w:spacing w:line="420" w:lineRule="exact"/>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spacing w:line="420" w:lineRule="exact"/>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spacing w:line="420" w:lineRule="exact"/>
        <w:rPr>
          <w:rFonts w:ascii="仿宋" w:hAnsi="仿宋" w:eastAsia="仿宋" w:cs="仿宋"/>
          <w:sz w:val="32"/>
          <w:szCs w:val="32"/>
          <w:lang w:val="zh-CN"/>
        </w:rPr>
      </w:pPr>
      <w:r>
        <w:rPr>
          <w:rFonts w:hint="eastAsia" w:ascii="仿宋" w:hAnsi="仿宋" w:eastAsia="仿宋" w:cs="仿宋"/>
          <w:sz w:val="28"/>
          <w:szCs w:val="28"/>
        </w:rPr>
        <w:t>qq咨询：3177524020        网址查询：http://www.zqgpchina.cn/</w:t>
      </w:r>
      <w:bookmarkStart w:id="1" w:name="_GoBack"/>
      <w:bookmarkEnd w:id="1"/>
    </w:p>
    <w:sectPr>
      <w:pgSz w:w="11906" w:h="16838"/>
      <w:pgMar w:top="1440" w:right="144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2BA4"/>
    <w:multiLevelType w:val="multilevel"/>
    <w:tmpl w:val="12352BA4"/>
    <w:lvl w:ilvl="0" w:tentative="0">
      <w:start w:val="2"/>
      <w:numFmt w:val="decimal"/>
      <w:lvlText w:val="%1"/>
      <w:lvlJc w:val="left"/>
      <w:pPr>
        <w:ind w:left="495" w:hanging="495"/>
      </w:pPr>
      <w:rPr>
        <w:rFonts w:hint="default"/>
      </w:rPr>
    </w:lvl>
    <w:lvl w:ilvl="1" w:tentative="0">
      <w:start w:val="1"/>
      <w:numFmt w:val="decimal"/>
      <w:lvlText w:val="%1.%2"/>
      <w:lvlJc w:val="left"/>
      <w:pPr>
        <w:ind w:left="1360" w:hanging="720"/>
      </w:pPr>
      <w:rPr>
        <w:rFonts w:hint="default"/>
      </w:rPr>
    </w:lvl>
    <w:lvl w:ilvl="2" w:tentative="0">
      <w:start w:val="1"/>
      <w:numFmt w:val="decimal"/>
      <w:lvlText w:val="%1.%2.%3"/>
      <w:lvlJc w:val="left"/>
      <w:pPr>
        <w:ind w:left="2360" w:hanging="1080"/>
      </w:pPr>
      <w:rPr>
        <w:rFonts w:hint="default"/>
      </w:rPr>
    </w:lvl>
    <w:lvl w:ilvl="3" w:tentative="0">
      <w:start w:val="1"/>
      <w:numFmt w:val="decimal"/>
      <w:lvlText w:val="%1.%2.%3.%4"/>
      <w:lvlJc w:val="left"/>
      <w:pPr>
        <w:ind w:left="3360" w:hanging="144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5000" w:hanging="1800"/>
      </w:pPr>
      <w:rPr>
        <w:rFonts w:hint="default"/>
      </w:rPr>
    </w:lvl>
    <w:lvl w:ilvl="6" w:tentative="0">
      <w:start w:val="1"/>
      <w:numFmt w:val="decimal"/>
      <w:lvlText w:val="%1.%2.%3.%4.%5.%6.%7"/>
      <w:lvlJc w:val="left"/>
      <w:pPr>
        <w:ind w:left="6000" w:hanging="2160"/>
      </w:pPr>
      <w:rPr>
        <w:rFonts w:hint="default"/>
      </w:rPr>
    </w:lvl>
    <w:lvl w:ilvl="7" w:tentative="0">
      <w:start w:val="1"/>
      <w:numFmt w:val="decimal"/>
      <w:lvlText w:val="%1.%2.%3.%4.%5.%6.%7.%8"/>
      <w:lvlJc w:val="left"/>
      <w:pPr>
        <w:ind w:left="7000" w:hanging="2520"/>
      </w:pPr>
      <w:rPr>
        <w:rFonts w:hint="default"/>
      </w:rPr>
    </w:lvl>
    <w:lvl w:ilvl="8" w:tentative="0">
      <w:start w:val="1"/>
      <w:numFmt w:val="decimal"/>
      <w:lvlText w:val="%1.%2.%3.%4.%5.%6.%7.%8.%9"/>
      <w:lvlJc w:val="left"/>
      <w:pPr>
        <w:ind w:left="8000" w:hanging="2880"/>
      </w:pPr>
      <w:rPr>
        <w:rFonts w:hint="default"/>
      </w:rPr>
    </w:lvl>
  </w:abstractNum>
  <w:abstractNum w:abstractNumId="1">
    <w:nsid w:val="1E7B1D3B"/>
    <w:multiLevelType w:val="multilevel"/>
    <w:tmpl w:val="1E7B1D3B"/>
    <w:lvl w:ilvl="0" w:tentative="0">
      <w:start w:val="1"/>
      <w:numFmt w:val="decimal"/>
      <w:lvlText w:val="%1."/>
      <w:lvlJc w:val="left"/>
      <w:pPr>
        <w:ind w:left="1000" w:hanging="360"/>
      </w:pPr>
      <w:rPr>
        <w:rFonts w:hint="default"/>
      </w:rPr>
    </w:lvl>
    <w:lvl w:ilvl="1" w:tentative="0">
      <w:start w:val="2"/>
      <w:numFmt w:val="decimal"/>
      <w:isLgl/>
      <w:lvlText w:val="%1.%2"/>
      <w:lvlJc w:val="left"/>
      <w:pPr>
        <w:ind w:left="1785" w:hanging="825"/>
      </w:pPr>
      <w:rPr>
        <w:rFonts w:hint="default"/>
      </w:rPr>
    </w:lvl>
    <w:lvl w:ilvl="2" w:tentative="0">
      <w:start w:val="1"/>
      <w:numFmt w:val="decimal"/>
      <w:isLgl/>
      <w:lvlText w:val="%1.%2.%3"/>
      <w:lvlJc w:val="left"/>
      <w:pPr>
        <w:ind w:left="2360" w:hanging="1080"/>
      </w:pPr>
      <w:rPr>
        <w:rFonts w:hint="default"/>
      </w:rPr>
    </w:lvl>
    <w:lvl w:ilvl="3" w:tentative="0">
      <w:start w:val="1"/>
      <w:numFmt w:val="decimal"/>
      <w:isLgl/>
      <w:lvlText w:val="%1.%2.%3.%4"/>
      <w:lvlJc w:val="left"/>
      <w:pPr>
        <w:ind w:left="3040" w:hanging="1440"/>
      </w:pPr>
      <w:rPr>
        <w:rFonts w:hint="default"/>
      </w:rPr>
    </w:lvl>
    <w:lvl w:ilvl="4" w:tentative="0">
      <w:start w:val="1"/>
      <w:numFmt w:val="decimal"/>
      <w:isLgl/>
      <w:lvlText w:val="%1.%2.%3.%4.%5"/>
      <w:lvlJc w:val="left"/>
      <w:pPr>
        <w:ind w:left="3360" w:hanging="1440"/>
      </w:pPr>
      <w:rPr>
        <w:rFonts w:hint="default"/>
      </w:rPr>
    </w:lvl>
    <w:lvl w:ilvl="5" w:tentative="0">
      <w:start w:val="1"/>
      <w:numFmt w:val="decimal"/>
      <w:isLgl/>
      <w:lvlText w:val="%1.%2.%3.%4.%5.%6"/>
      <w:lvlJc w:val="left"/>
      <w:pPr>
        <w:ind w:left="4040" w:hanging="1800"/>
      </w:pPr>
      <w:rPr>
        <w:rFonts w:hint="default"/>
      </w:rPr>
    </w:lvl>
    <w:lvl w:ilvl="6" w:tentative="0">
      <w:start w:val="1"/>
      <w:numFmt w:val="decimal"/>
      <w:isLgl/>
      <w:lvlText w:val="%1.%2.%3.%4.%5.%6.%7"/>
      <w:lvlJc w:val="left"/>
      <w:pPr>
        <w:ind w:left="4720" w:hanging="2160"/>
      </w:pPr>
      <w:rPr>
        <w:rFonts w:hint="default"/>
      </w:rPr>
    </w:lvl>
    <w:lvl w:ilvl="7" w:tentative="0">
      <w:start w:val="1"/>
      <w:numFmt w:val="decimal"/>
      <w:isLgl/>
      <w:lvlText w:val="%1.%2.%3.%4.%5.%6.%7.%8"/>
      <w:lvlJc w:val="left"/>
      <w:pPr>
        <w:ind w:left="5400" w:hanging="2520"/>
      </w:pPr>
      <w:rPr>
        <w:rFonts w:hint="default"/>
      </w:rPr>
    </w:lvl>
    <w:lvl w:ilvl="8" w:tentative="0">
      <w:start w:val="1"/>
      <w:numFmt w:val="decimal"/>
      <w:isLgl/>
      <w:lvlText w:val="%1.%2.%3.%4.%5.%6.%7.%8.%9"/>
      <w:lvlJc w:val="left"/>
      <w:pPr>
        <w:ind w:left="6080" w:hanging="2880"/>
      </w:pPr>
      <w:rPr>
        <w:rFonts w:hint="default"/>
      </w:rPr>
    </w:lvl>
  </w:abstractNum>
  <w:abstractNum w:abstractNumId="2">
    <w:nsid w:val="2F9A5880"/>
    <w:multiLevelType w:val="multilevel"/>
    <w:tmpl w:val="2F9A5880"/>
    <w:lvl w:ilvl="0" w:tentative="0">
      <w:start w:val="2"/>
      <w:numFmt w:val="decimal"/>
      <w:lvlText w:val="%1"/>
      <w:lvlJc w:val="left"/>
      <w:pPr>
        <w:ind w:left="810" w:hanging="810"/>
      </w:pPr>
      <w:rPr>
        <w:rFonts w:hint="default"/>
      </w:rPr>
    </w:lvl>
    <w:lvl w:ilvl="1" w:tentative="0">
      <w:start w:val="2"/>
      <w:numFmt w:val="decimal"/>
      <w:lvlText w:val="%1.%2"/>
      <w:lvlJc w:val="left"/>
      <w:pPr>
        <w:ind w:left="1450" w:hanging="810"/>
      </w:pPr>
      <w:rPr>
        <w:rFonts w:hint="default"/>
      </w:rPr>
    </w:lvl>
    <w:lvl w:ilvl="2" w:tentative="0">
      <w:start w:val="2"/>
      <w:numFmt w:val="decimal"/>
      <w:lvlText w:val="%1.%2.%3"/>
      <w:lvlJc w:val="left"/>
      <w:pPr>
        <w:ind w:left="2360" w:hanging="1080"/>
      </w:pPr>
      <w:rPr>
        <w:rFonts w:hint="default"/>
      </w:rPr>
    </w:lvl>
    <w:lvl w:ilvl="3" w:tentative="0">
      <w:start w:val="1"/>
      <w:numFmt w:val="decimal"/>
      <w:lvlText w:val="%1.%2.%3.%4"/>
      <w:lvlJc w:val="left"/>
      <w:pPr>
        <w:ind w:left="3360" w:hanging="144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5000" w:hanging="1800"/>
      </w:pPr>
      <w:rPr>
        <w:rFonts w:hint="default"/>
      </w:rPr>
    </w:lvl>
    <w:lvl w:ilvl="6" w:tentative="0">
      <w:start w:val="1"/>
      <w:numFmt w:val="decimal"/>
      <w:lvlText w:val="%1.%2.%3.%4.%5.%6.%7"/>
      <w:lvlJc w:val="left"/>
      <w:pPr>
        <w:ind w:left="6000" w:hanging="2160"/>
      </w:pPr>
      <w:rPr>
        <w:rFonts w:hint="default"/>
      </w:rPr>
    </w:lvl>
    <w:lvl w:ilvl="7" w:tentative="0">
      <w:start w:val="1"/>
      <w:numFmt w:val="decimal"/>
      <w:lvlText w:val="%1.%2.%3.%4.%5.%6.%7.%8"/>
      <w:lvlJc w:val="left"/>
      <w:pPr>
        <w:ind w:left="7000" w:hanging="2520"/>
      </w:pPr>
      <w:rPr>
        <w:rFonts w:hint="default"/>
      </w:rPr>
    </w:lvl>
    <w:lvl w:ilvl="8" w:tentative="0">
      <w:start w:val="1"/>
      <w:numFmt w:val="decimal"/>
      <w:lvlText w:val="%1.%2.%3.%4.%5.%6.%7.%8.%9"/>
      <w:lvlJc w:val="left"/>
      <w:pPr>
        <w:ind w:left="8000" w:hanging="2880"/>
      </w:pPr>
      <w:rPr>
        <w:rFonts w:hint="default"/>
      </w:rPr>
    </w:lvl>
  </w:abstractNum>
  <w:abstractNum w:abstractNumId="3">
    <w:nsid w:val="44D73598"/>
    <w:multiLevelType w:val="multilevel"/>
    <w:tmpl w:val="44D73598"/>
    <w:lvl w:ilvl="0" w:tentative="0">
      <w:start w:val="4"/>
      <w:numFmt w:val="decimal"/>
      <w:lvlText w:val="%1"/>
      <w:lvlJc w:val="left"/>
      <w:pPr>
        <w:ind w:left="495" w:hanging="495"/>
      </w:pPr>
      <w:rPr>
        <w:rFonts w:hint="default"/>
      </w:rPr>
    </w:lvl>
    <w:lvl w:ilvl="1" w:tentative="0">
      <w:start w:val="2"/>
      <w:numFmt w:val="decimal"/>
      <w:lvlText w:val="%1.%2"/>
      <w:lvlJc w:val="left"/>
      <w:pPr>
        <w:ind w:left="1360" w:hanging="720"/>
      </w:pPr>
      <w:rPr>
        <w:rFonts w:hint="default"/>
      </w:rPr>
    </w:lvl>
    <w:lvl w:ilvl="2" w:tentative="0">
      <w:start w:val="1"/>
      <w:numFmt w:val="decimal"/>
      <w:lvlText w:val="%1.%2.%3"/>
      <w:lvlJc w:val="left"/>
      <w:pPr>
        <w:ind w:left="2360" w:hanging="1080"/>
      </w:pPr>
      <w:rPr>
        <w:rFonts w:hint="default"/>
      </w:rPr>
    </w:lvl>
    <w:lvl w:ilvl="3" w:tentative="0">
      <w:start w:val="1"/>
      <w:numFmt w:val="decimal"/>
      <w:lvlText w:val="%1.%2.%3.%4"/>
      <w:lvlJc w:val="left"/>
      <w:pPr>
        <w:ind w:left="3360" w:hanging="144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5000" w:hanging="1800"/>
      </w:pPr>
      <w:rPr>
        <w:rFonts w:hint="default"/>
      </w:rPr>
    </w:lvl>
    <w:lvl w:ilvl="6" w:tentative="0">
      <w:start w:val="1"/>
      <w:numFmt w:val="decimal"/>
      <w:lvlText w:val="%1.%2.%3.%4.%5.%6.%7"/>
      <w:lvlJc w:val="left"/>
      <w:pPr>
        <w:ind w:left="6000" w:hanging="2160"/>
      </w:pPr>
      <w:rPr>
        <w:rFonts w:hint="default"/>
      </w:rPr>
    </w:lvl>
    <w:lvl w:ilvl="7" w:tentative="0">
      <w:start w:val="1"/>
      <w:numFmt w:val="decimal"/>
      <w:lvlText w:val="%1.%2.%3.%4.%5.%6.%7.%8"/>
      <w:lvlJc w:val="left"/>
      <w:pPr>
        <w:ind w:left="7000" w:hanging="2520"/>
      </w:pPr>
      <w:rPr>
        <w:rFonts w:hint="default"/>
      </w:rPr>
    </w:lvl>
    <w:lvl w:ilvl="8" w:tentative="0">
      <w:start w:val="1"/>
      <w:numFmt w:val="decimal"/>
      <w:lvlText w:val="%1.%2.%3.%4.%5.%6.%7.%8.%9"/>
      <w:lvlJc w:val="left"/>
      <w:pPr>
        <w:ind w:left="8000" w:hanging="2880"/>
      </w:pPr>
      <w:rPr>
        <w:rFonts w:hint="default"/>
      </w:rPr>
    </w:lvl>
  </w:abstractNum>
  <w:abstractNum w:abstractNumId="4">
    <w:nsid w:val="63172C6D"/>
    <w:multiLevelType w:val="multilevel"/>
    <w:tmpl w:val="63172C6D"/>
    <w:lvl w:ilvl="0" w:tentative="0">
      <w:start w:val="3"/>
      <w:numFmt w:val="decimal"/>
      <w:lvlText w:val="%1"/>
      <w:lvlJc w:val="left"/>
      <w:pPr>
        <w:ind w:left="810" w:hanging="810"/>
      </w:pPr>
      <w:rPr>
        <w:rFonts w:hint="default"/>
      </w:rPr>
    </w:lvl>
    <w:lvl w:ilvl="1" w:tentative="0">
      <w:start w:val="1"/>
      <w:numFmt w:val="decimal"/>
      <w:lvlText w:val="%1.%2"/>
      <w:lvlJc w:val="left"/>
      <w:pPr>
        <w:ind w:left="1450" w:hanging="810"/>
      </w:pPr>
      <w:rPr>
        <w:rFonts w:hint="default"/>
      </w:rPr>
    </w:lvl>
    <w:lvl w:ilvl="2" w:tentative="0">
      <w:start w:val="1"/>
      <w:numFmt w:val="decimal"/>
      <w:lvlText w:val="%1.%2.%3"/>
      <w:lvlJc w:val="left"/>
      <w:pPr>
        <w:ind w:left="2360" w:hanging="1080"/>
      </w:pPr>
      <w:rPr>
        <w:rFonts w:hint="default"/>
      </w:rPr>
    </w:lvl>
    <w:lvl w:ilvl="3" w:tentative="0">
      <w:start w:val="1"/>
      <w:numFmt w:val="decimal"/>
      <w:lvlText w:val="%1.%2.%3.%4"/>
      <w:lvlJc w:val="left"/>
      <w:pPr>
        <w:ind w:left="3360" w:hanging="144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5000" w:hanging="1800"/>
      </w:pPr>
      <w:rPr>
        <w:rFonts w:hint="default"/>
      </w:rPr>
    </w:lvl>
    <w:lvl w:ilvl="6" w:tentative="0">
      <w:start w:val="1"/>
      <w:numFmt w:val="decimal"/>
      <w:lvlText w:val="%1.%2.%3.%4.%5.%6.%7"/>
      <w:lvlJc w:val="left"/>
      <w:pPr>
        <w:ind w:left="6000" w:hanging="2160"/>
      </w:pPr>
      <w:rPr>
        <w:rFonts w:hint="default"/>
      </w:rPr>
    </w:lvl>
    <w:lvl w:ilvl="7" w:tentative="0">
      <w:start w:val="1"/>
      <w:numFmt w:val="decimal"/>
      <w:lvlText w:val="%1.%2.%3.%4.%5.%6.%7.%8"/>
      <w:lvlJc w:val="left"/>
      <w:pPr>
        <w:ind w:left="7000" w:hanging="2520"/>
      </w:pPr>
      <w:rPr>
        <w:rFonts w:hint="default"/>
      </w:rPr>
    </w:lvl>
    <w:lvl w:ilvl="8" w:tentative="0">
      <w:start w:val="1"/>
      <w:numFmt w:val="decimal"/>
      <w:lvlText w:val="%1.%2.%3.%4.%5.%6.%7.%8.%9"/>
      <w:lvlJc w:val="left"/>
      <w:pPr>
        <w:ind w:left="8000" w:hanging="2880"/>
      </w:pPr>
      <w:rPr>
        <w:rFonts w:hint="default"/>
      </w:rPr>
    </w:lvl>
  </w:abstractNum>
  <w:abstractNum w:abstractNumId="5">
    <w:nsid w:val="671B5572"/>
    <w:multiLevelType w:val="multilevel"/>
    <w:tmpl w:val="671B5572"/>
    <w:lvl w:ilvl="0" w:tentative="0">
      <w:start w:val="3"/>
      <w:numFmt w:val="decimal"/>
      <w:lvlText w:val="%1"/>
      <w:lvlJc w:val="left"/>
      <w:pPr>
        <w:ind w:left="810" w:hanging="810"/>
      </w:pPr>
      <w:rPr>
        <w:rFonts w:hint="default"/>
      </w:rPr>
    </w:lvl>
    <w:lvl w:ilvl="1" w:tentative="0">
      <w:start w:val="5"/>
      <w:numFmt w:val="decimal"/>
      <w:lvlText w:val="%1.%2"/>
      <w:lvlJc w:val="left"/>
      <w:pPr>
        <w:ind w:left="1450" w:hanging="810"/>
      </w:pPr>
      <w:rPr>
        <w:rFonts w:hint="default"/>
      </w:rPr>
    </w:lvl>
    <w:lvl w:ilvl="2" w:tentative="0">
      <w:start w:val="1"/>
      <w:numFmt w:val="decimal"/>
      <w:lvlText w:val="%1.%2.%3"/>
      <w:lvlJc w:val="left"/>
      <w:pPr>
        <w:ind w:left="2360" w:hanging="1080"/>
      </w:pPr>
      <w:rPr>
        <w:rFonts w:hint="default"/>
      </w:rPr>
    </w:lvl>
    <w:lvl w:ilvl="3" w:tentative="0">
      <w:start w:val="1"/>
      <w:numFmt w:val="decimal"/>
      <w:lvlText w:val="%1.%2.%3.%4"/>
      <w:lvlJc w:val="left"/>
      <w:pPr>
        <w:ind w:left="3360" w:hanging="144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5000" w:hanging="1800"/>
      </w:pPr>
      <w:rPr>
        <w:rFonts w:hint="default"/>
      </w:rPr>
    </w:lvl>
    <w:lvl w:ilvl="6" w:tentative="0">
      <w:start w:val="1"/>
      <w:numFmt w:val="decimal"/>
      <w:lvlText w:val="%1.%2.%3.%4.%5.%6.%7"/>
      <w:lvlJc w:val="left"/>
      <w:pPr>
        <w:ind w:left="6000" w:hanging="2160"/>
      </w:pPr>
      <w:rPr>
        <w:rFonts w:hint="default"/>
      </w:rPr>
    </w:lvl>
    <w:lvl w:ilvl="7" w:tentative="0">
      <w:start w:val="1"/>
      <w:numFmt w:val="decimal"/>
      <w:lvlText w:val="%1.%2.%3.%4.%5.%6.%7.%8"/>
      <w:lvlJc w:val="left"/>
      <w:pPr>
        <w:ind w:left="7000" w:hanging="2520"/>
      </w:pPr>
      <w:rPr>
        <w:rFonts w:hint="default"/>
      </w:rPr>
    </w:lvl>
    <w:lvl w:ilvl="8" w:tentative="0">
      <w:start w:val="1"/>
      <w:numFmt w:val="decimal"/>
      <w:lvlText w:val="%1.%2.%3.%4.%5.%6.%7.%8.%9"/>
      <w:lvlJc w:val="left"/>
      <w:pPr>
        <w:ind w:left="8000" w:hanging="2880"/>
      </w:pPr>
      <w:rPr>
        <w:rFonts w:hint="default"/>
      </w:rPr>
    </w:lvl>
  </w:abstractNum>
  <w:abstractNum w:abstractNumId="6">
    <w:nsid w:val="79742838"/>
    <w:multiLevelType w:val="multilevel"/>
    <w:tmpl w:val="79742838"/>
    <w:lvl w:ilvl="0" w:tentative="0">
      <w:start w:val="3"/>
      <w:numFmt w:val="decimal"/>
      <w:lvlText w:val="%1"/>
      <w:lvlJc w:val="left"/>
      <w:pPr>
        <w:ind w:left="810" w:hanging="810"/>
      </w:pPr>
      <w:rPr>
        <w:rFonts w:hint="default"/>
      </w:rPr>
    </w:lvl>
    <w:lvl w:ilvl="1" w:tentative="0">
      <w:start w:val="3"/>
      <w:numFmt w:val="decimal"/>
      <w:lvlText w:val="%1.%2"/>
      <w:lvlJc w:val="left"/>
      <w:pPr>
        <w:ind w:left="1450" w:hanging="810"/>
      </w:pPr>
      <w:rPr>
        <w:rFonts w:hint="default"/>
      </w:rPr>
    </w:lvl>
    <w:lvl w:ilvl="2" w:tentative="0">
      <w:start w:val="1"/>
      <w:numFmt w:val="decimal"/>
      <w:lvlText w:val="%1.%2.%3"/>
      <w:lvlJc w:val="left"/>
      <w:pPr>
        <w:ind w:left="2360" w:hanging="1080"/>
      </w:pPr>
      <w:rPr>
        <w:rFonts w:hint="default"/>
      </w:rPr>
    </w:lvl>
    <w:lvl w:ilvl="3" w:tentative="0">
      <w:start w:val="1"/>
      <w:numFmt w:val="decimal"/>
      <w:lvlText w:val="%1.%2.%3.%4"/>
      <w:lvlJc w:val="left"/>
      <w:pPr>
        <w:ind w:left="3360" w:hanging="144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5000" w:hanging="1800"/>
      </w:pPr>
      <w:rPr>
        <w:rFonts w:hint="default"/>
      </w:rPr>
    </w:lvl>
    <w:lvl w:ilvl="6" w:tentative="0">
      <w:start w:val="1"/>
      <w:numFmt w:val="decimal"/>
      <w:lvlText w:val="%1.%2.%3.%4.%5.%6.%7"/>
      <w:lvlJc w:val="left"/>
      <w:pPr>
        <w:ind w:left="6000" w:hanging="2160"/>
      </w:pPr>
      <w:rPr>
        <w:rFonts w:hint="default"/>
      </w:rPr>
    </w:lvl>
    <w:lvl w:ilvl="7" w:tentative="0">
      <w:start w:val="1"/>
      <w:numFmt w:val="decimal"/>
      <w:lvlText w:val="%1.%2.%3.%4.%5.%6.%7.%8"/>
      <w:lvlJc w:val="left"/>
      <w:pPr>
        <w:ind w:left="7000" w:hanging="2520"/>
      </w:pPr>
      <w:rPr>
        <w:rFonts w:hint="default"/>
      </w:rPr>
    </w:lvl>
    <w:lvl w:ilvl="8" w:tentative="0">
      <w:start w:val="1"/>
      <w:numFmt w:val="decimal"/>
      <w:lvlText w:val="%1.%2.%3.%4.%5.%6.%7.%8.%9"/>
      <w:lvlJc w:val="left"/>
      <w:pPr>
        <w:ind w:left="8000" w:hanging="2880"/>
      </w:pPr>
      <w:rPr>
        <w:rFonts w:hint="default"/>
      </w:rPr>
    </w:lvl>
  </w:abstractNum>
  <w:abstractNum w:abstractNumId="7">
    <w:nsid w:val="7C396FF4"/>
    <w:multiLevelType w:val="multilevel"/>
    <w:tmpl w:val="7C396FF4"/>
    <w:lvl w:ilvl="0" w:tentative="0">
      <w:start w:val="1"/>
      <w:numFmt w:val="decimal"/>
      <w:lvlText w:val="%1"/>
      <w:lvlJc w:val="left"/>
      <w:pPr>
        <w:ind w:left="480" w:hanging="480"/>
      </w:pPr>
      <w:rPr>
        <w:rFonts w:hint="default"/>
      </w:rPr>
    </w:lvl>
    <w:lvl w:ilvl="1" w:tentative="0">
      <w:start w:val="1"/>
      <w:numFmt w:val="decimal"/>
      <w:lvlText w:val="%1.%2"/>
      <w:lvlJc w:val="left"/>
      <w:pPr>
        <w:ind w:left="1360" w:hanging="720"/>
      </w:pPr>
      <w:rPr>
        <w:rFonts w:hint="default"/>
      </w:rPr>
    </w:lvl>
    <w:lvl w:ilvl="2" w:tentative="0">
      <w:start w:val="1"/>
      <w:numFmt w:val="decimal"/>
      <w:lvlText w:val="%1.%2.%3"/>
      <w:lvlJc w:val="left"/>
      <w:pPr>
        <w:ind w:left="2360" w:hanging="1080"/>
      </w:pPr>
      <w:rPr>
        <w:rFonts w:hint="default"/>
      </w:rPr>
    </w:lvl>
    <w:lvl w:ilvl="3" w:tentative="0">
      <w:start w:val="1"/>
      <w:numFmt w:val="decimal"/>
      <w:lvlText w:val="%1.%2.%3.%4"/>
      <w:lvlJc w:val="left"/>
      <w:pPr>
        <w:ind w:left="3360" w:hanging="144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5000" w:hanging="1800"/>
      </w:pPr>
      <w:rPr>
        <w:rFonts w:hint="default"/>
      </w:rPr>
    </w:lvl>
    <w:lvl w:ilvl="6" w:tentative="0">
      <w:start w:val="1"/>
      <w:numFmt w:val="decimal"/>
      <w:lvlText w:val="%1.%2.%3.%4.%5.%6.%7"/>
      <w:lvlJc w:val="left"/>
      <w:pPr>
        <w:ind w:left="6000" w:hanging="2160"/>
      </w:pPr>
      <w:rPr>
        <w:rFonts w:hint="default"/>
      </w:rPr>
    </w:lvl>
    <w:lvl w:ilvl="7" w:tentative="0">
      <w:start w:val="1"/>
      <w:numFmt w:val="decimal"/>
      <w:lvlText w:val="%1.%2.%3.%4.%5.%6.%7.%8"/>
      <w:lvlJc w:val="left"/>
      <w:pPr>
        <w:ind w:left="7000" w:hanging="2520"/>
      </w:pPr>
      <w:rPr>
        <w:rFonts w:hint="default"/>
      </w:rPr>
    </w:lvl>
    <w:lvl w:ilvl="8" w:tentative="0">
      <w:start w:val="1"/>
      <w:numFmt w:val="decimal"/>
      <w:lvlText w:val="%1.%2.%3.%4.%5.%6.%7.%8.%9"/>
      <w:lvlJc w:val="left"/>
      <w:pPr>
        <w:ind w:left="8000" w:hanging="2880"/>
      </w:pPr>
      <w:rPr>
        <w:rFonts w:hint="default"/>
      </w:rPr>
    </w:lvl>
  </w:abstractNum>
  <w:abstractNum w:abstractNumId="8">
    <w:nsid w:val="7F1F1234"/>
    <w:multiLevelType w:val="multilevel"/>
    <w:tmpl w:val="7F1F1234"/>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7"/>
  </w:num>
  <w:num w:numId="3">
    <w:abstractNumId w:val="0"/>
  </w:num>
  <w:num w:numId="4">
    <w:abstractNumId w:val="2"/>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6E"/>
    <w:rsid w:val="0000058C"/>
    <w:rsid w:val="00024F71"/>
    <w:rsid w:val="000306DB"/>
    <w:rsid w:val="0003212F"/>
    <w:rsid w:val="00064610"/>
    <w:rsid w:val="0008421F"/>
    <w:rsid w:val="000947AD"/>
    <w:rsid w:val="000A38C7"/>
    <w:rsid w:val="000B74F9"/>
    <w:rsid w:val="000C457A"/>
    <w:rsid w:val="000C5297"/>
    <w:rsid w:val="000F29C2"/>
    <w:rsid w:val="00105383"/>
    <w:rsid w:val="0011752C"/>
    <w:rsid w:val="001332D2"/>
    <w:rsid w:val="00140AE9"/>
    <w:rsid w:val="0014712A"/>
    <w:rsid w:val="001559D3"/>
    <w:rsid w:val="00157A78"/>
    <w:rsid w:val="00164705"/>
    <w:rsid w:val="00164DA7"/>
    <w:rsid w:val="00180D47"/>
    <w:rsid w:val="00194EE4"/>
    <w:rsid w:val="001F6E29"/>
    <w:rsid w:val="00205C1D"/>
    <w:rsid w:val="00264385"/>
    <w:rsid w:val="00264A5A"/>
    <w:rsid w:val="00287BEA"/>
    <w:rsid w:val="00296FDA"/>
    <w:rsid w:val="002A37EB"/>
    <w:rsid w:val="002B146B"/>
    <w:rsid w:val="002B1C4D"/>
    <w:rsid w:val="002B3830"/>
    <w:rsid w:val="002F1AEA"/>
    <w:rsid w:val="002F7ECD"/>
    <w:rsid w:val="003236B4"/>
    <w:rsid w:val="0033672E"/>
    <w:rsid w:val="00341C73"/>
    <w:rsid w:val="00343BD3"/>
    <w:rsid w:val="00344318"/>
    <w:rsid w:val="0035199E"/>
    <w:rsid w:val="003606FC"/>
    <w:rsid w:val="00366727"/>
    <w:rsid w:val="00384CED"/>
    <w:rsid w:val="00387F5F"/>
    <w:rsid w:val="00391A41"/>
    <w:rsid w:val="00392BD0"/>
    <w:rsid w:val="00395A8E"/>
    <w:rsid w:val="003969E7"/>
    <w:rsid w:val="003A35B6"/>
    <w:rsid w:val="003B4458"/>
    <w:rsid w:val="00417C88"/>
    <w:rsid w:val="00423039"/>
    <w:rsid w:val="00454CD3"/>
    <w:rsid w:val="00456982"/>
    <w:rsid w:val="00465D29"/>
    <w:rsid w:val="00476AA1"/>
    <w:rsid w:val="00481CE7"/>
    <w:rsid w:val="004B4270"/>
    <w:rsid w:val="005310F8"/>
    <w:rsid w:val="005600C7"/>
    <w:rsid w:val="00566685"/>
    <w:rsid w:val="00583F7F"/>
    <w:rsid w:val="005D3674"/>
    <w:rsid w:val="005E020D"/>
    <w:rsid w:val="005E225A"/>
    <w:rsid w:val="005E5E85"/>
    <w:rsid w:val="00614665"/>
    <w:rsid w:val="006336B9"/>
    <w:rsid w:val="00655F8A"/>
    <w:rsid w:val="0066164B"/>
    <w:rsid w:val="006D271D"/>
    <w:rsid w:val="006F513B"/>
    <w:rsid w:val="00780A01"/>
    <w:rsid w:val="00782DC1"/>
    <w:rsid w:val="00786518"/>
    <w:rsid w:val="00790ED7"/>
    <w:rsid w:val="007A1FD4"/>
    <w:rsid w:val="007A7C14"/>
    <w:rsid w:val="007B3148"/>
    <w:rsid w:val="007C275F"/>
    <w:rsid w:val="007D246C"/>
    <w:rsid w:val="007E1104"/>
    <w:rsid w:val="007E1A00"/>
    <w:rsid w:val="007F689B"/>
    <w:rsid w:val="0084009F"/>
    <w:rsid w:val="00847921"/>
    <w:rsid w:val="00874036"/>
    <w:rsid w:val="008A2C2B"/>
    <w:rsid w:val="008B085A"/>
    <w:rsid w:val="008C67AF"/>
    <w:rsid w:val="008E2F8C"/>
    <w:rsid w:val="00911483"/>
    <w:rsid w:val="00920E47"/>
    <w:rsid w:val="009445AA"/>
    <w:rsid w:val="00944FB2"/>
    <w:rsid w:val="00945212"/>
    <w:rsid w:val="009621A4"/>
    <w:rsid w:val="0096548B"/>
    <w:rsid w:val="00990F31"/>
    <w:rsid w:val="00990FB6"/>
    <w:rsid w:val="00A024D1"/>
    <w:rsid w:val="00A27B3C"/>
    <w:rsid w:val="00A4498E"/>
    <w:rsid w:val="00A51865"/>
    <w:rsid w:val="00A53FD8"/>
    <w:rsid w:val="00A810B6"/>
    <w:rsid w:val="00AA266E"/>
    <w:rsid w:val="00AE4A0F"/>
    <w:rsid w:val="00B2107A"/>
    <w:rsid w:val="00B2648A"/>
    <w:rsid w:val="00B32D5C"/>
    <w:rsid w:val="00B575A1"/>
    <w:rsid w:val="00B845C6"/>
    <w:rsid w:val="00B93BD1"/>
    <w:rsid w:val="00B93E3F"/>
    <w:rsid w:val="00BA38E2"/>
    <w:rsid w:val="00BA39BF"/>
    <w:rsid w:val="00BA4CF6"/>
    <w:rsid w:val="00BD30D2"/>
    <w:rsid w:val="00BF30FC"/>
    <w:rsid w:val="00C42AE7"/>
    <w:rsid w:val="00C5372B"/>
    <w:rsid w:val="00CD2943"/>
    <w:rsid w:val="00CF28FB"/>
    <w:rsid w:val="00D0202B"/>
    <w:rsid w:val="00D03631"/>
    <w:rsid w:val="00D13E37"/>
    <w:rsid w:val="00D44A2E"/>
    <w:rsid w:val="00D44E61"/>
    <w:rsid w:val="00D61E15"/>
    <w:rsid w:val="00D62C2E"/>
    <w:rsid w:val="00D7545D"/>
    <w:rsid w:val="00DC1C06"/>
    <w:rsid w:val="00DC71CF"/>
    <w:rsid w:val="00DD7C6F"/>
    <w:rsid w:val="00DE25D5"/>
    <w:rsid w:val="00DE6F3C"/>
    <w:rsid w:val="00E03220"/>
    <w:rsid w:val="00E2176F"/>
    <w:rsid w:val="00E5772E"/>
    <w:rsid w:val="00E609BB"/>
    <w:rsid w:val="00E6105E"/>
    <w:rsid w:val="00E63420"/>
    <w:rsid w:val="00E669EC"/>
    <w:rsid w:val="00E729F7"/>
    <w:rsid w:val="00E777FD"/>
    <w:rsid w:val="00E83918"/>
    <w:rsid w:val="00E85BEC"/>
    <w:rsid w:val="00E92057"/>
    <w:rsid w:val="00EA27E9"/>
    <w:rsid w:val="00EB7AF5"/>
    <w:rsid w:val="00EE309C"/>
    <w:rsid w:val="00F6570F"/>
    <w:rsid w:val="00FB07DA"/>
    <w:rsid w:val="00FD44D1"/>
    <w:rsid w:val="00FD633B"/>
    <w:rsid w:val="02772895"/>
    <w:rsid w:val="04344AAE"/>
    <w:rsid w:val="07153658"/>
    <w:rsid w:val="0C3D09CE"/>
    <w:rsid w:val="0D565A67"/>
    <w:rsid w:val="0F0F6C74"/>
    <w:rsid w:val="0FAC2E90"/>
    <w:rsid w:val="14DB2E38"/>
    <w:rsid w:val="157D0A9B"/>
    <w:rsid w:val="1F0331CB"/>
    <w:rsid w:val="202546AE"/>
    <w:rsid w:val="240F73A3"/>
    <w:rsid w:val="26843BF2"/>
    <w:rsid w:val="276E1B82"/>
    <w:rsid w:val="27C065C9"/>
    <w:rsid w:val="2B7557E8"/>
    <w:rsid w:val="32116073"/>
    <w:rsid w:val="328B1B76"/>
    <w:rsid w:val="33023576"/>
    <w:rsid w:val="3CEF293B"/>
    <w:rsid w:val="3E13733C"/>
    <w:rsid w:val="3EE8722D"/>
    <w:rsid w:val="3F4B7988"/>
    <w:rsid w:val="423830AC"/>
    <w:rsid w:val="423F6DDA"/>
    <w:rsid w:val="442A075E"/>
    <w:rsid w:val="44A50167"/>
    <w:rsid w:val="45063C67"/>
    <w:rsid w:val="462B5932"/>
    <w:rsid w:val="467B23FB"/>
    <w:rsid w:val="46AF1669"/>
    <w:rsid w:val="46BB686B"/>
    <w:rsid w:val="485342A7"/>
    <w:rsid w:val="4D4656EC"/>
    <w:rsid w:val="4EA70318"/>
    <w:rsid w:val="50A35C45"/>
    <w:rsid w:val="52E11E39"/>
    <w:rsid w:val="530A6D4E"/>
    <w:rsid w:val="5443648C"/>
    <w:rsid w:val="55C93155"/>
    <w:rsid w:val="58D61C05"/>
    <w:rsid w:val="5DEF2358"/>
    <w:rsid w:val="5FF25890"/>
    <w:rsid w:val="62163B72"/>
    <w:rsid w:val="62BF49C9"/>
    <w:rsid w:val="674D26E5"/>
    <w:rsid w:val="675A6FA5"/>
    <w:rsid w:val="6964776A"/>
    <w:rsid w:val="6B00244A"/>
    <w:rsid w:val="6CE52C09"/>
    <w:rsid w:val="6D4C589D"/>
    <w:rsid w:val="6D5312AD"/>
    <w:rsid w:val="6DEF0CBA"/>
    <w:rsid w:val="6E02089C"/>
    <w:rsid w:val="6E8523B2"/>
    <w:rsid w:val="6FBC351A"/>
    <w:rsid w:val="709B5FB2"/>
    <w:rsid w:val="73322EE9"/>
    <w:rsid w:val="779D2D7E"/>
    <w:rsid w:val="7ED8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r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paragraph" w:customStyle="1" w:styleId="10">
    <w:name w:val="msolistparagraph"/>
    <w:basedOn w:val="1"/>
    <w:qFormat/>
    <w:uiPriority w:val="0"/>
    <w:pPr>
      <w:ind w:firstLine="420" w:firstLineChars="200"/>
    </w:pPr>
    <w:rPr>
      <w:rFonts w:ascii="Calibri" w:hAnsi="Calibri" w:eastAsia="宋体" w:cs="Times New Roman"/>
      <w:szCs w:val="22"/>
    </w:rPr>
  </w:style>
  <w:style w:type="paragraph" w:customStyle="1" w:styleId="11">
    <w:name w:val="Default"/>
    <w:basedOn w:val="1"/>
    <w:qFormat/>
    <w:uiPriority w:val="0"/>
    <w:pPr>
      <w:autoSpaceDE w:val="0"/>
      <w:autoSpaceDN w:val="0"/>
      <w:adjustRightInd w:val="0"/>
      <w:jc w:val="left"/>
    </w:pPr>
    <w:rPr>
      <w:rFonts w:hint="eastAsia" w:ascii="仿宋" w:hAnsi="仿宋" w:eastAsia="宋体" w:cs="Times New Roman"/>
      <w:color w:val="000000"/>
      <w:kern w:val="0"/>
      <w:sz w:val="24"/>
    </w:r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34"/>
    <w:pPr>
      <w:ind w:firstLine="420" w:firstLineChars="200"/>
    </w:pPr>
  </w:style>
  <w:style w:type="character" w:customStyle="1" w:styleId="15">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462</Words>
  <Characters>2639</Characters>
  <Lines>21</Lines>
  <Paragraphs>6</Paragraphs>
  <TotalTime>6</TotalTime>
  <ScaleCrop>false</ScaleCrop>
  <LinksUpToDate>false</LinksUpToDate>
  <CharactersWithSpaces>3095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2020-12-10T06:38:00Z</dcterms:created>
  <dc:creator>zj</dc:creator>
  <cp:lastModifiedBy>Administrator</cp:lastModifiedBy>
  <dcterms:modified xsi:type="dcterms:W3CDTF">2021-10-22T09:04:02Z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F0DC8BA189904B30954E00AB05A848AE</vt:lpwstr>
  </property>
</Properties>
</file>