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600"/>
        <w:jc w:val="center"/>
        <w:rPr>
          <w:rFonts w:hint="eastAsia" w:ascii="宋体" w:hAnsi="宋体" w:cs="宋体"/>
          <w:bCs/>
          <w:color w:val="FF0000"/>
          <w:w w:val="80"/>
          <w:sz w:val="84"/>
          <w:szCs w:val="84"/>
        </w:rPr>
      </w:pPr>
    </w:p>
    <w:p>
      <w:pPr>
        <w:adjustRightInd w:val="0"/>
        <w:snapToGrid w:val="0"/>
        <w:spacing w:line="240" w:lineRule="atLeast"/>
        <w:jc w:val="center"/>
        <w:rPr>
          <w:rFonts w:ascii="宋体" w:hAnsi="宋体" w:cs="宋体"/>
          <w:bCs/>
          <w:color w:val="FF0000"/>
          <w:spacing w:val="-36"/>
          <w:w w:val="80"/>
          <w:sz w:val="84"/>
          <w:szCs w:val="84"/>
        </w:rPr>
      </w:pPr>
      <w:r>
        <w:rPr>
          <w:rFonts w:hint="eastAsia" w:ascii="宋体" w:hAnsi="宋体" w:cs="宋体"/>
          <w:b w:val="0"/>
          <w:color w:val="FF0000"/>
          <w:spacing w:val="-20"/>
          <w:sz w:val="84"/>
          <w:szCs w:val="84"/>
        </w:rPr>
        <w:t>中国国际工程咨询协会</w:t>
      </w:r>
    </w:p>
    <w:p>
      <w:pPr>
        <w:adjustRightInd w:val="0"/>
        <w:snapToGrid w:val="0"/>
        <w:jc w:val="center"/>
        <w:rPr>
          <w:rFonts w:hint="eastAsia" w:ascii="仿宋" w:hAnsi="仿宋" w:eastAsia="仿宋" w:cs="仿宋_GB2312"/>
          <w:color w:val="000000"/>
          <w:spacing w:val="-12"/>
          <w:sz w:val="28"/>
          <w:szCs w:val="28"/>
        </w:rPr>
      </w:pPr>
    </w:p>
    <w:p>
      <w:pPr>
        <w:adjustRightInd w:val="0"/>
        <w:snapToGrid w:val="0"/>
        <w:jc w:val="center"/>
        <w:rPr>
          <w:rFonts w:hint="eastAsia" w:ascii="仿宋" w:hAnsi="仿宋" w:eastAsia="仿宋" w:cs="仿宋_GB2312"/>
          <w:color w:val="000000"/>
          <w:spacing w:val="-12"/>
          <w:sz w:val="28"/>
          <w:szCs w:val="28"/>
        </w:rPr>
      </w:pPr>
    </w:p>
    <w:p>
      <w:pPr>
        <w:adjustRightInd w:val="0"/>
        <w:snapToGrid w:val="0"/>
        <w:spacing w:line="300" w:lineRule="exact"/>
        <w:jc w:val="center"/>
        <w:rPr>
          <w:rFonts w:ascii="仿宋_GB2312" w:hAnsi="Calibri" w:eastAsia="仿宋_GB2312" w:cs="Times New Roman"/>
          <w:sz w:val="30"/>
          <w:szCs w:val="30"/>
        </w:rPr>
      </w:pPr>
      <w:r>
        <w:rPr>
          <w:rFonts w:hint="eastAsia" w:ascii="仿宋" w:hAnsi="仿宋" w:eastAsia="仿宋" w:cs="仿宋_GB2312"/>
          <w:color w:val="000000"/>
          <w:spacing w:val="-12"/>
          <w:sz w:val="28"/>
          <w:szCs w:val="28"/>
          <w:lang w:val="en-US" w:eastAsia="zh-CN"/>
        </w:rPr>
        <w:t>国咨协</w:t>
      </w:r>
      <w:r>
        <w:rPr>
          <w:rFonts w:hint="eastAsia" w:ascii="仿宋" w:hAnsi="仿宋" w:eastAsia="仿宋" w:cs="仿宋_GB2312"/>
          <w:color w:val="000000"/>
          <w:spacing w:val="-12"/>
          <w:sz w:val="28"/>
          <w:szCs w:val="28"/>
        </w:rPr>
        <w:t>〔2021〕</w:t>
      </w:r>
      <w:r>
        <w:rPr>
          <w:rFonts w:hint="eastAsia" w:ascii="仿宋" w:hAnsi="仿宋" w:eastAsia="仿宋" w:cs="仿宋_GB2312"/>
          <w:color w:val="000000"/>
          <w:spacing w:val="-12"/>
          <w:sz w:val="28"/>
          <w:szCs w:val="28"/>
          <w:lang w:val="en-US" w:eastAsia="zh-CN"/>
        </w:rPr>
        <w:t>074</w:t>
      </w:r>
      <w:r>
        <w:rPr>
          <w:rFonts w:hint="eastAsia" w:ascii="仿宋" w:hAnsi="仿宋" w:eastAsia="仿宋" w:cs="仿宋_GB2312"/>
          <w:color w:val="000000"/>
          <w:spacing w:val="-12"/>
          <w:sz w:val="28"/>
          <w:szCs w:val="28"/>
        </w:rPr>
        <w:t>号</w:t>
      </w:r>
    </w:p>
    <w:p>
      <w:pPr>
        <w:ind w:right="600"/>
        <w:rPr>
          <w:rFonts w:ascii="仿宋_GB2312" w:eastAsia="仿宋_GB2312" w:cs="仿宋_GB2312"/>
          <w:sz w:val="30"/>
          <w:szCs w:val="30"/>
        </w:rPr>
      </w:pPr>
      <w:r>
        <w:rPr>
          <w:rFonts w:hint="eastAsia" w:ascii="Times New Roman" w:hAnsi="Times New Roman" w:eastAsia="宋体" w:cs="Times New Roman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91440</wp:posOffset>
                </wp:positionV>
                <wp:extent cx="5219700" cy="0"/>
                <wp:effectExtent l="0" t="0" r="19050" b="19050"/>
                <wp:wrapNone/>
                <wp:docPr id="2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1970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3pt;margin-top:7.2pt;height:0pt;width:411pt;z-index:251659264;mso-width-relative:page;mso-height-relative:page;" filled="f" stroked="t" coordsize="21600,21600" o:gfxdata="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s9EputUAAAAH&#10;AQAADwAAAAAAAAABACAAAAAiAAAAZHJzL2Rvd25yZXYueG1sUEsBAhQAFAAAAAgAh07iQPHohcPm&#10;AQAA3gMAAA4AAAAAAAAAAQAgAAAAJAEAAGRycy9lMm9Eb2MueG1sUEsFBgAAAAAGAAYAWQEAAHwF&#10;AAAAAA==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pStyle w:val="2"/>
        <w:spacing w:before="0" w:beforeAutospacing="0" w:after="0" w:afterAutospacing="0"/>
        <w:jc w:val="center"/>
        <w:textAlignment w:val="baseline"/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2"/>
        <w:spacing w:before="0" w:beforeAutospacing="0" w:after="0" w:afterAutospacing="0"/>
        <w:jc w:val="center"/>
        <w:textAlignment w:val="baseline"/>
        <w:rPr>
          <w:rFonts w:hint="eastAsia" w:asciiTheme="minorEastAsia" w:hAnsiTheme="minorEastAsia" w:eastAsiaTheme="minorEastAsia"/>
          <w:b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关于举办2021建筑工程优秀项目总工</w:t>
      </w:r>
    </w:p>
    <w:p>
      <w:pPr>
        <w:pStyle w:val="2"/>
        <w:spacing w:before="0" w:beforeAutospacing="0" w:after="0" w:afterAutospacing="0"/>
        <w:jc w:val="center"/>
        <w:textAlignment w:val="baseline"/>
        <w:rPr>
          <w:rFonts w:cs="仿宋" w:asciiTheme="minorEastAsia" w:hAnsiTheme="minorEastAsia" w:eastAsiaTheme="minorEastAsia"/>
          <w:b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及技术负责人实战</w:t>
      </w:r>
      <w:r>
        <w:rPr>
          <w:rFonts w:hint="eastAsia" w:asciiTheme="minorEastAsia" w:hAnsiTheme="minorEastAsia" w:eastAsiaTheme="minorEastAsia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能力提升专题培</w:t>
      </w:r>
      <w:r>
        <w:rPr>
          <w:rFonts w:hint="eastAsia" w:asciiTheme="minorEastAsia" w:hAnsiTheme="minorEastAsia" w:eastAsiaTheme="minorEastAsia"/>
          <w:b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训班的通     知</w:t>
      </w:r>
    </w:p>
    <w:p>
      <w:pPr>
        <w:tabs>
          <w:tab w:val="left" w:pos="709"/>
        </w:tabs>
        <w:jc w:val="left"/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tabs>
          <w:tab w:val="left" w:pos="709"/>
        </w:tabs>
        <w:jc w:val="left"/>
        <w:rPr>
          <w:rFonts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各有关单位：</w:t>
      </w:r>
    </w:p>
    <w:p>
      <w:pPr>
        <w:tabs>
          <w:tab w:val="left" w:pos="709"/>
        </w:tabs>
        <w:ind w:firstLine="640" w:firstLineChars="200"/>
        <w:jc w:val="left"/>
        <w:rPr>
          <w:rFonts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建设工程项目总工是一个项目的技术总负责人，也是联系施工现场生产、技术、商务系统的桥梁和纽带，是项目的军师和参谋长，具有承上启下、协调集成的重要作用。在建设工程项目信息化、智能化、工业化的发展趋势下，优秀的项目总工应该具备专业集成能力、技术管理能力、科技开发能力、沟通协调能力、人才培养能力（技术团队建设），总结提高能力。为提高企业项目总工理论技术水平、专业技能和管理能力，完善知识结构，增强技术创新能力，提升项目总工的综合能力，进而提高工程项目质量与安全水平，增强企业市场的核心竞争力，我会决定举办“2021建筑工程项目总工及技术负责人实战能力质提升专题培训班”。本次培训班由中国国际工程咨询协会主办，北京中建科信信息咨询中心承办，请各单位积极组织本单位及相关人员参加。现将有关事宜通知如下：</w:t>
      </w:r>
    </w:p>
    <w:p>
      <w:pPr>
        <w:tabs>
          <w:tab w:val="left" w:pos="709"/>
        </w:tabs>
        <w:ind w:firstLine="640" w:firstLineChars="200"/>
        <w:jc w:val="left"/>
        <w:rPr>
          <w:rFonts w:cs="宋体" w:asciiTheme="majorEastAsia" w:hAnsiTheme="majorEastAsia" w:eastAsiaTheme="majorEastAsia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ajorEastAsia" w:hAnsiTheme="majorEastAsia" w:eastAsiaTheme="majorEastAsia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一、培训内容</w:t>
      </w:r>
    </w:p>
    <w:p>
      <w:pPr>
        <w:tabs>
          <w:tab w:val="left" w:pos="709"/>
        </w:tabs>
        <w:ind w:firstLine="640" w:firstLineChars="200"/>
        <w:jc w:val="left"/>
        <w:rPr>
          <w:rFonts w:ascii="楷体" w:hAnsi="楷体" w:eastAsia="楷体" w:cs="宋体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宋体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（一）优秀项目总工基本素质与能力培养</w:t>
      </w:r>
    </w:p>
    <w:p>
      <w:pPr>
        <w:tabs>
          <w:tab w:val="left" w:pos="709"/>
        </w:tabs>
        <w:ind w:firstLine="640" w:firstLineChars="200"/>
        <w:jc w:val="left"/>
        <w:rPr>
          <w:rFonts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1.项目工程策划、施工准备、实施、收尾的技术管理；</w:t>
      </w:r>
    </w:p>
    <w:p>
      <w:pPr>
        <w:tabs>
          <w:tab w:val="left" w:pos="709"/>
        </w:tabs>
        <w:ind w:firstLine="640" w:firstLineChars="200"/>
        <w:jc w:val="left"/>
        <w:rPr>
          <w:rFonts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2.创新意识及新技术应用；</w:t>
      </w:r>
    </w:p>
    <w:p>
      <w:pPr>
        <w:tabs>
          <w:tab w:val="left" w:pos="709"/>
        </w:tabs>
        <w:ind w:firstLine="640" w:firstLineChars="200"/>
        <w:jc w:val="left"/>
        <w:rPr>
          <w:rFonts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3.项目总工职责、地位，能力素质要求；</w:t>
      </w:r>
    </w:p>
    <w:p>
      <w:pPr>
        <w:tabs>
          <w:tab w:val="left" w:pos="709"/>
        </w:tabs>
        <w:ind w:firstLine="640" w:firstLineChars="200"/>
        <w:jc w:val="left"/>
        <w:rPr>
          <w:rFonts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4.项目技术团队建设；</w:t>
      </w:r>
    </w:p>
    <w:p>
      <w:pPr>
        <w:tabs>
          <w:tab w:val="left" w:pos="709"/>
        </w:tabs>
        <w:ind w:firstLine="640" w:firstLineChars="200"/>
        <w:jc w:val="left"/>
        <w:rPr>
          <w:rFonts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5.与业主、供应商、分包商有效沟通、协作；</w:t>
      </w:r>
    </w:p>
    <w:p>
      <w:pPr>
        <w:tabs>
          <w:tab w:val="left" w:pos="709"/>
        </w:tabs>
        <w:ind w:firstLine="640" w:firstLineChars="200"/>
        <w:jc w:val="left"/>
        <w:rPr>
          <w:rFonts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6.优秀项目总工必备素质与能力的培育途径。</w:t>
      </w:r>
    </w:p>
    <w:p>
      <w:pPr>
        <w:tabs>
          <w:tab w:val="left" w:pos="709"/>
        </w:tabs>
        <w:ind w:firstLine="640" w:firstLineChars="200"/>
        <w:jc w:val="left"/>
        <w:rPr>
          <w:rFonts w:ascii="楷体" w:hAnsi="楷体" w:eastAsia="楷体" w:cs="宋体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宋体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（二）优秀项目总工图纸会审实战技能</w:t>
      </w:r>
    </w:p>
    <w:p>
      <w:pPr>
        <w:tabs>
          <w:tab w:val="left" w:pos="709"/>
        </w:tabs>
        <w:ind w:firstLine="640" w:firstLineChars="200"/>
        <w:jc w:val="left"/>
        <w:rPr>
          <w:rFonts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1.图纸会审的重要性；</w:t>
      </w:r>
    </w:p>
    <w:p>
      <w:pPr>
        <w:tabs>
          <w:tab w:val="left" w:pos="709"/>
        </w:tabs>
        <w:ind w:firstLine="640" w:firstLineChars="200"/>
        <w:jc w:val="left"/>
        <w:rPr>
          <w:rFonts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2.图纸会审的主要内容；</w:t>
      </w:r>
    </w:p>
    <w:p>
      <w:pPr>
        <w:tabs>
          <w:tab w:val="left" w:pos="709"/>
        </w:tabs>
        <w:ind w:firstLine="640" w:firstLineChars="200"/>
        <w:jc w:val="left"/>
        <w:rPr>
          <w:rFonts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3.常见的施工图错误点；</w:t>
      </w:r>
    </w:p>
    <w:p>
      <w:pPr>
        <w:tabs>
          <w:tab w:val="left" w:pos="709"/>
        </w:tabs>
        <w:ind w:firstLine="640" w:firstLineChars="200"/>
        <w:jc w:val="left"/>
        <w:rPr>
          <w:rFonts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4.施工图有效的修改意见；</w:t>
      </w:r>
    </w:p>
    <w:p>
      <w:pPr>
        <w:tabs>
          <w:tab w:val="left" w:pos="709"/>
        </w:tabs>
        <w:ind w:firstLine="640" w:firstLineChars="200"/>
        <w:jc w:val="left"/>
        <w:rPr>
          <w:rFonts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5.实用图纸会审技巧图与注意事项。</w:t>
      </w:r>
    </w:p>
    <w:p>
      <w:pPr>
        <w:tabs>
          <w:tab w:val="left" w:pos="709"/>
        </w:tabs>
        <w:ind w:firstLine="640" w:firstLineChars="200"/>
        <w:jc w:val="left"/>
        <w:rPr>
          <w:rFonts w:ascii="楷体" w:hAnsi="楷体" w:eastAsia="楷体" w:cs="宋体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宋体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（二）优秀项目总工工程洽商实战技能</w:t>
      </w:r>
    </w:p>
    <w:p>
      <w:pPr>
        <w:tabs>
          <w:tab w:val="left" w:pos="709"/>
        </w:tabs>
        <w:ind w:firstLine="640" w:firstLineChars="200"/>
        <w:jc w:val="left"/>
        <w:rPr>
          <w:rFonts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1.工程联系单、洽商记录、签证及设计变更的区别；</w:t>
      </w:r>
    </w:p>
    <w:p>
      <w:pPr>
        <w:tabs>
          <w:tab w:val="left" w:pos="709"/>
        </w:tabs>
        <w:ind w:firstLine="640" w:firstLineChars="200"/>
        <w:jc w:val="left"/>
        <w:rPr>
          <w:rFonts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2.工程变更的提出及编写技艺；</w:t>
      </w:r>
    </w:p>
    <w:p>
      <w:pPr>
        <w:tabs>
          <w:tab w:val="left" w:pos="709"/>
        </w:tabs>
        <w:ind w:firstLine="640" w:firstLineChars="200"/>
        <w:jc w:val="left"/>
        <w:rPr>
          <w:rFonts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3.现场签证费用预算编制原则与技艺；</w:t>
      </w:r>
    </w:p>
    <w:p>
      <w:pPr>
        <w:tabs>
          <w:tab w:val="left" w:pos="709"/>
        </w:tabs>
        <w:ind w:firstLine="640" w:firstLineChars="200"/>
        <w:jc w:val="left"/>
        <w:rPr>
          <w:rFonts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4.工程签证常见的潜规则；</w:t>
      </w:r>
    </w:p>
    <w:p>
      <w:pPr>
        <w:tabs>
          <w:tab w:val="left" w:pos="709"/>
        </w:tabs>
        <w:ind w:firstLine="640" w:firstLineChars="200"/>
        <w:jc w:val="left"/>
        <w:rPr>
          <w:rFonts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5.建设单位加强设计变更管理常见措施。</w:t>
      </w:r>
    </w:p>
    <w:p>
      <w:pPr>
        <w:tabs>
          <w:tab w:val="left" w:pos="709"/>
        </w:tabs>
        <w:ind w:firstLine="640" w:firstLineChars="200"/>
        <w:jc w:val="left"/>
        <w:rPr>
          <w:rFonts w:ascii="楷体" w:hAnsi="楷体" w:eastAsia="楷体" w:cs="宋体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宋体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（三）优秀项目总工竣工验收实战技能</w:t>
      </w:r>
    </w:p>
    <w:p>
      <w:pPr>
        <w:tabs>
          <w:tab w:val="left" w:pos="709"/>
        </w:tabs>
        <w:ind w:firstLine="640" w:firstLineChars="200"/>
        <w:jc w:val="left"/>
        <w:rPr>
          <w:rFonts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1.工程竣工验收材料整理；</w:t>
      </w:r>
    </w:p>
    <w:p>
      <w:pPr>
        <w:tabs>
          <w:tab w:val="left" w:pos="709"/>
        </w:tabs>
        <w:ind w:firstLine="640" w:firstLineChars="200"/>
        <w:jc w:val="left"/>
        <w:rPr>
          <w:rFonts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2.工程竣工验收质量标准；</w:t>
      </w:r>
    </w:p>
    <w:p>
      <w:pPr>
        <w:tabs>
          <w:tab w:val="left" w:pos="709"/>
        </w:tabs>
        <w:ind w:firstLine="640" w:firstLineChars="200"/>
        <w:jc w:val="left"/>
        <w:rPr>
          <w:rFonts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3.工程竣工验收内容体系；</w:t>
      </w:r>
    </w:p>
    <w:p>
      <w:pPr>
        <w:tabs>
          <w:tab w:val="left" w:pos="709"/>
        </w:tabs>
        <w:ind w:firstLine="640" w:firstLineChars="200"/>
        <w:jc w:val="left"/>
        <w:rPr>
          <w:rFonts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4.工程竣工验收注意事项。</w:t>
      </w:r>
    </w:p>
    <w:p>
      <w:pPr>
        <w:tabs>
          <w:tab w:val="left" w:pos="709"/>
        </w:tabs>
        <w:ind w:firstLine="640" w:firstLineChars="200"/>
        <w:jc w:val="left"/>
        <w:rPr>
          <w:rFonts w:ascii="楷体" w:hAnsi="楷体" w:eastAsia="楷体" w:cs="宋体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宋体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（四）优秀项目总工精益建造实战技能</w:t>
      </w:r>
    </w:p>
    <w:p>
      <w:pPr>
        <w:tabs>
          <w:tab w:val="left" w:pos="709"/>
        </w:tabs>
        <w:ind w:firstLine="640" w:firstLineChars="200"/>
        <w:jc w:val="left"/>
        <w:rPr>
          <w:rFonts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1.精益建造理念在项目管理应用的必要性；</w:t>
      </w:r>
    </w:p>
    <w:p>
      <w:pPr>
        <w:tabs>
          <w:tab w:val="left" w:pos="709"/>
        </w:tabs>
        <w:ind w:firstLine="640" w:firstLineChars="200"/>
        <w:jc w:val="left"/>
        <w:rPr>
          <w:rFonts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2精益建造理论在管理中的应用；</w:t>
      </w:r>
    </w:p>
    <w:p>
      <w:pPr>
        <w:tabs>
          <w:tab w:val="left" w:pos="709"/>
        </w:tabs>
        <w:ind w:firstLine="640" w:firstLineChars="200"/>
        <w:jc w:val="left"/>
        <w:rPr>
          <w:rFonts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（1）精益建造技术应用体现；</w:t>
      </w:r>
    </w:p>
    <w:p>
      <w:pPr>
        <w:tabs>
          <w:tab w:val="left" w:pos="709"/>
        </w:tabs>
        <w:ind w:firstLine="640" w:firstLineChars="200"/>
        <w:jc w:val="left"/>
        <w:rPr>
          <w:rFonts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（2）精益建造在项目成本管理中应用；</w:t>
      </w:r>
    </w:p>
    <w:p>
      <w:pPr>
        <w:tabs>
          <w:tab w:val="left" w:pos="709"/>
        </w:tabs>
        <w:ind w:firstLine="640" w:firstLineChars="200"/>
        <w:jc w:val="left"/>
        <w:rPr>
          <w:rFonts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（3）精益建造在项目质量管理中的应用；</w:t>
      </w:r>
    </w:p>
    <w:p>
      <w:pPr>
        <w:tabs>
          <w:tab w:val="left" w:pos="709"/>
        </w:tabs>
        <w:ind w:firstLine="640" w:firstLineChars="200"/>
        <w:jc w:val="left"/>
        <w:rPr>
          <w:rFonts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（4）精益建造在施工流程中的应用。</w:t>
      </w:r>
    </w:p>
    <w:p>
      <w:pPr>
        <w:tabs>
          <w:tab w:val="left" w:pos="709"/>
        </w:tabs>
        <w:ind w:firstLine="640" w:firstLineChars="200"/>
        <w:jc w:val="left"/>
        <w:rPr>
          <w:rFonts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3.案例解析：火神山医院快速建造技术及施工组织。</w:t>
      </w:r>
    </w:p>
    <w:p>
      <w:pPr>
        <w:tabs>
          <w:tab w:val="left" w:pos="709"/>
        </w:tabs>
        <w:ind w:firstLine="640" w:firstLineChars="200"/>
        <w:jc w:val="left"/>
        <w:rPr>
          <w:rFonts w:ascii="楷体" w:hAnsi="楷体" w:eastAsia="楷体" w:cs="宋体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宋体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（五）优秀项目总工安全与危大工程施工方案编制实战技能</w:t>
      </w:r>
    </w:p>
    <w:p>
      <w:pPr>
        <w:tabs>
          <w:tab w:val="left" w:pos="709"/>
        </w:tabs>
        <w:ind w:firstLine="640" w:firstLineChars="200"/>
        <w:jc w:val="left"/>
        <w:rPr>
          <w:rFonts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1.危大工程施工安全生产相关新法规应用；</w:t>
      </w:r>
    </w:p>
    <w:p>
      <w:pPr>
        <w:tabs>
          <w:tab w:val="left" w:pos="709"/>
        </w:tabs>
        <w:ind w:firstLine="640" w:firstLineChars="200"/>
        <w:jc w:val="left"/>
        <w:rPr>
          <w:rFonts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2.危大工程安全专项施工方案编制、方法、主要内容、技术要求，审核、专家论证程序要求；</w:t>
      </w:r>
    </w:p>
    <w:p>
      <w:pPr>
        <w:tabs>
          <w:tab w:val="left" w:pos="709"/>
        </w:tabs>
        <w:ind w:firstLine="640" w:firstLineChars="200"/>
        <w:jc w:val="left"/>
        <w:rPr>
          <w:rFonts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3.危大工程安全专项施工方案技术交底，方案实施监督监测管理，检查验收技术要求；</w:t>
      </w:r>
    </w:p>
    <w:p>
      <w:pPr>
        <w:tabs>
          <w:tab w:val="left" w:pos="709"/>
        </w:tabs>
        <w:ind w:firstLine="640" w:firstLineChars="200"/>
        <w:jc w:val="left"/>
        <w:rPr>
          <w:rFonts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4.危大工程监理规划编制，旁站监理实施细则要求；</w:t>
      </w:r>
    </w:p>
    <w:p>
      <w:pPr>
        <w:tabs>
          <w:tab w:val="left" w:pos="709"/>
        </w:tabs>
        <w:ind w:firstLine="640" w:firstLineChars="200"/>
        <w:jc w:val="left"/>
        <w:rPr>
          <w:rFonts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5.危大工程施工现场重大安全隐患排查、识别与专家论证，重大隐患治理、挂牌督办疑点、难点问题解惑与经验交流；</w:t>
      </w:r>
    </w:p>
    <w:p>
      <w:pPr>
        <w:tabs>
          <w:tab w:val="left" w:pos="709"/>
        </w:tabs>
        <w:ind w:firstLine="640" w:firstLineChars="200"/>
        <w:jc w:val="left"/>
        <w:rPr>
          <w:rFonts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6.混凝土浇筑模板坍塌事故防治措施、安全技术要求；</w:t>
      </w:r>
    </w:p>
    <w:p>
      <w:pPr>
        <w:tabs>
          <w:tab w:val="left" w:pos="709"/>
        </w:tabs>
        <w:ind w:firstLine="640" w:firstLineChars="200"/>
        <w:jc w:val="left"/>
        <w:rPr>
          <w:rFonts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7.建设工程施工安全监督档案的规范编制、收集与整理、移交与归档、管理与使用要求、重要注意事项；</w:t>
      </w:r>
    </w:p>
    <w:p>
      <w:pPr>
        <w:tabs>
          <w:tab w:val="left" w:pos="709"/>
        </w:tabs>
        <w:ind w:firstLine="640" w:firstLineChars="200"/>
        <w:jc w:val="left"/>
        <w:rPr>
          <w:rFonts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8.典型建筑起重机械、高支模、脚手架、深基坑坍塌事故警示，施工安全监督失职、赎职、重大责任事故罪的判定与重大事故责任追究，事故预防控制措施，经验交流。</w:t>
      </w:r>
    </w:p>
    <w:p>
      <w:pPr>
        <w:tabs>
          <w:tab w:val="left" w:pos="709"/>
        </w:tabs>
        <w:ind w:firstLine="640" w:firstLineChars="200"/>
        <w:jc w:val="left"/>
        <w:rPr>
          <w:rFonts w:ascii="楷体" w:hAnsi="楷体" w:eastAsia="楷体" w:cs="宋体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宋体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（六）优秀项目总工超大型软土深基坑工程实战技能</w:t>
      </w:r>
    </w:p>
    <w:p>
      <w:pPr>
        <w:tabs>
          <w:tab w:val="left" w:pos="709"/>
        </w:tabs>
        <w:ind w:firstLine="640" w:firstLineChars="200"/>
        <w:jc w:val="left"/>
        <w:rPr>
          <w:rFonts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1.复杂环境超大型软土深基坑工程支护技术；</w:t>
      </w:r>
    </w:p>
    <w:p>
      <w:pPr>
        <w:tabs>
          <w:tab w:val="left" w:pos="709"/>
        </w:tabs>
        <w:ind w:firstLine="640" w:firstLineChars="200"/>
        <w:jc w:val="left"/>
        <w:rPr>
          <w:rFonts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2.复杂环境超大型软土深基坑工程施工方案编制；</w:t>
      </w:r>
    </w:p>
    <w:p>
      <w:pPr>
        <w:tabs>
          <w:tab w:val="left" w:pos="709"/>
        </w:tabs>
        <w:ind w:firstLine="640" w:firstLineChars="200"/>
        <w:jc w:val="left"/>
        <w:rPr>
          <w:rFonts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（1）施工方案的编制依据；</w:t>
      </w:r>
    </w:p>
    <w:p>
      <w:pPr>
        <w:tabs>
          <w:tab w:val="left" w:pos="709"/>
        </w:tabs>
        <w:ind w:firstLine="640" w:firstLineChars="200"/>
        <w:jc w:val="left"/>
        <w:rPr>
          <w:rFonts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（2）施工方案的主要内容；</w:t>
      </w:r>
    </w:p>
    <w:p>
      <w:pPr>
        <w:tabs>
          <w:tab w:val="left" w:pos="709"/>
        </w:tabs>
        <w:ind w:firstLine="640" w:firstLineChars="200"/>
        <w:jc w:val="left"/>
        <w:rPr>
          <w:rFonts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（3）专项施工方案的编制；</w:t>
      </w:r>
    </w:p>
    <w:p>
      <w:pPr>
        <w:tabs>
          <w:tab w:val="left" w:pos="709"/>
        </w:tabs>
        <w:ind w:firstLine="640" w:firstLineChars="200"/>
        <w:jc w:val="left"/>
        <w:rPr>
          <w:rFonts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（4）深基坑工程施工中异常情况的处理措施。</w:t>
      </w:r>
    </w:p>
    <w:p>
      <w:pPr>
        <w:tabs>
          <w:tab w:val="left" w:pos="709"/>
        </w:tabs>
        <w:ind w:firstLine="640" w:firstLineChars="200"/>
        <w:jc w:val="left"/>
        <w:rPr>
          <w:rFonts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3.深基坑工程施工工艺与质量要求；</w:t>
      </w:r>
    </w:p>
    <w:p>
      <w:pPr>
        <w:tabs>
          <w:tab w:val="left" w:pos="709"/>
        </w:tabs>
        <w:ind w:firstLine="640" w:firstLineChars="200"/>
        <w:jc w:val="left"/>
        <w:rPr>
          <w:rFonts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4.武汉国际会展中心深基坑工程典型案例解析。</w:t>
      </w:r>
    </w:p>
    <w:p>
      <w:pPr>
        <w:tabs>
          <w:tab w:val="left" w:pos="709"/>
        </w:tabs>
        <w:ind w:firstLine="640" w:firstLineChars="200"/>
        <w:jc w:val="left"/>
        <w:rPr>
          <w:rFonts w:ascii="楷体" w:hAnsi="楷体" w:eastAsia="楷体" w:cs="宋体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宋体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（七）优秀项目总工施工各阶段管理实战技能</w:t>
      </w:r>
    </w:p>
    <w:p>
      <w:pPr>
        <w:ind w:firstLine="640" w:firstLineChars="200"/>
        <w:rPr>
          <w:rFonts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1.施工组织设计和施工方案编制专项实战；</w:t>
      </w:r>
    </w:p>
    <w:p>
      <w:pPr>
        <w:tabs>
          <w:tab w:val="left" w:pos="709"/>
        </w:tabs>
        <w:ind w:firstLine="640" w:firstLineChars="200"/>
        <w:jc w:val="left"/>
        <w:rPr>
          <w:rFonts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（1）施工组织设计分类；</w:t>
      </w:r>
    </w:p>
    <w:p>
      <w:pPr>
        <w:tabs>
          <w:tab w:val="left" w:pos="709"/>
        </w:tabs>
        <w:ind w:firstLine="640" w:firstLineChars="200"/>
        <w:jc w:val="left"/>
        <w:rPr>
          <w:rFonts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（2）施工组织设计编制应遵循的原则；</w:t>
      </w:r>
    </w:p>
    <w:p>
      <w:pPr>
        <w:tabs>
          <w:tab w:val="left" w:pos="709"/>
        </w:tabs>
        <w:ind w:firstLine="640" w:firstLineChars="200"/>
        <w:jc w:val="left"/>
        <w:rPr>
          <w:rFonts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（3）施工组织设计编制基本内容和要求；</w:t>
      </w:r>
    </w:p>
    <w:p>
      <w:pPr>
        <w:tabs>
          <w:tab w:val="left" w:pos="709"/>
        </w:tabs>
        <w:ind w:firstLine="640" w:firstLineChars="200"/>
        <w:jc w:val="left"/>
        <w:rPr>
          <w:rFonts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（4）施工平面图布置；</w:t>
      </w:r>
    </w:p>
    <w:p>
      <w:pPr>
        <w:tabs>
          <w:tab w:val="left" w:pos="709"/>
        </w:tabs>
        <w:ind w:firstLine="640" w:firstLineChars="200"/>
        <w:jc w:val="left"/>
        <w:rPr>
          <w:rFonts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（5）施工专项措施及风险应对方法；</w:t>
      </w:r>
    </w:p>
    <w:p>
      <w:pPr>
        <w:tabs>
          <w:tab w:val="left" w:pos="709"/>
        </w:tabs>
        <w:ind w:firstLine="640" w:firstLineChars="200"/>
        <w:jc w:val="left"/>
        <w:rPr>
          <w:rFonts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（6）施工组织设计编制实例解析。</w:t>
      </w:r>
    </w:p>
    <w:p>
      <w:pPr>
        <w:ind w:firstLine="640" w:firstLineChars="200"/>
        <w:rPr>
          <w:rFonts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2.项目进度计划编制专项实战；</w:t>
      </w:r>
    </w:p>
    <w:p>
      <w:pPr>
        <w:tabs>
          <w:tab w:val="left" w:pos="709"/>
        </w:tabs>
        <w:ind w:firstLine="640" w:firstLineChars="200"/>
        <w:jc w:val="left"/>
        <w:rPr>
          <w:rFonts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（1）编制施工进度计划的作用；</w:t>
      </w:r>
    </w:p>
    <w:p>
      <w:pPr>
        <w:tabs>
          <w:tab w:val="left" w:pos="709"/>
        </w:tabs>
        <w:ind w:firstLine="640" w:firstLineChars="200"/>
        <w:jc w:val="left"/>
        <w:rPr>
          <w:rFonts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（2）如何编制施工总进度计划；</w:t>
      </w:r>
    </w:p>
    <w:p>
      <w:pPr>
        <w:tabs>
          <w:tab w:val="left" w:pos="709"/>
        </w:tabs>
        <w:ind w:firstLine="640" w:firstLineChars="200"/>
        <w:jc w:val="left"/>
        <w:rPr>
          <w:rFonts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（3）如何编制单位工程施工进度计划；</w:t>
      </w:r>
    </w:p>
    <w:p>
      <w:pPr>
        <w:tabs>
          <w:tab w:val="left" w:pos="709"/>
        </w:tabs>
        <w:ind w:firstLine="640" w:firstLineChars="200"/>
        <w:jc w:val="left"/>
        <w:rPr>
          <w:rFonts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（4）如何编制施工季度、月、周进度计划；</w:t>
      </w:r>
    </w:p>
    <w:p>
      <w:pPr>
        <w:tabs>
          <w:tab w:val="left" w:pos="709"/>
        </w:tabs>
        <w:ind w:firstLine="640" w:firstLineChars="200"/>
        <w:jc w:val="left"/>
        <w:rPr>
          <w:rFonts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（5）施工进度计划编制实例解析。</w:t>
      </w:r>
    </w:p>
    <w:p>
      <w:pPr>
        <w:ind w:firstLine="640" w:firstLineChars="200"/>
        <w:rPr>
          <w:rFonts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3.技术交底编制专项实战；</w:t>
      </w:r>
    </w:p>
    <w:p>
      <w:pPr>
        <w:tabs>
          <w:tab w:val="left" w:pos="709"/>
        </w:tabs>
        <w:ind w:firstLine="640" w:firstLineChars="200"/>
        <w:jc w:val="left"/>
        <w:rPr>
          <w:rFonts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（1）技术交底的作用与分类；</w:t>
      </w:r>
    </w:p>
    <w:p>
      <w:pPr>
        <w:tabs>
          <w:tab w:val="left" w:pos="709"/>
        </w:tabs>
        <w:ind w:firstLine="640" w:firstLineChars="200"/>
        <w:jc w:val="left"/>
        <w:rPr>
          <w:rFonts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（2）技术交底编制要求；</w:t>
      </w:r>
    </w:p>
    <w:p>
      <w:pPr>
        <w:tabs>
          <w:tab w:val="left" w:pos="709"/>
        </w:tabs>
        <w:ind w:firstLine="640" w:firstLineChars="200"/>
        <w:jc w:val="left"/>
        <w:rPr>
          <w:rFonts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（3）技术交底编制内容；</w:t>
      </w:r>
    </w:p>
    <w:p>
      <w:pPr>
        <w:tabs>
          <w:tab w:val="left" w:pos="709"/>
        </w:tabs>
        <w:ind w:firstLine="640" w:firstLineChars="200"/>
        <w:jc w:val="left"/>
        <w:rPr>
          <w:rFonts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（4）技术交底编制重点；</w:t>
      </w:r>
    </w:p>
    <w:p>
      <w:pPr>
        <w:tabs>
          <w:tab w:val="left" w:pos="709"/>
        </w:tabs>
        <w:ind w:firstLine="640" w:firstLineChars="200"/>
        <w:jc w:val="left"/>
        <w:rPr>
          <w:rFonts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（5）技术交底管理程序及注意事项。</w:t>
      </w:r>
    </w:p>
    <w:p>
      <w:pPr>
        <w:tabs>
          <w:tab w:val="left" w:pos="709"/>
        </w:tabs>
        <w:ind w:firstLine="640" w:firstLineChars="200"/>
        <w:jc w:val="left"/>
        <w:rPr>
          <w:rFonts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4.工程洽商编制与二次经营管理专项实战；</w:t>
      </w:r>
    </w:p>
    <w:p>
      <w:pPr>
        <w:tabs>
          <w:tab w:val="left" w:pos="709"/>
        </w:tabs>
        <w:ind w:firstLine="640" w:firstLineChars="200"/>
        <w:jc w:val="left"/>
        <w:rPr>
          <w:rFonts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5.施工设计图纸会审专项实战；</w:t>
      </w:r>
    </w:p>
    <w:p>
      <w:pPr>
        <w:tabs>
          <w:tab w:val="left" w:pos="709"/>
        </w:tabs>
        <w:ind w:firstLine="640" w:firstLineChars="200"/>
        <w:jc w:val="left"/>
        <w:rPr>
          <w:rFonts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6.工程竣工验收检验专项实战；</w:t>
      </w:r>
    </w:p>
    <w:p>
      <w:pPr>
        <w:tabs>
          <w:tab w:val="left" w:pos="709"/>
        </w:tabs>
        <w:ind w:firstLine="640" w:firstLineChars="200"/>
        <w:jc w:val="left"/>
        <w:rPr>
          <w:rFonts w:cs="宋体" w:asciiTheme="majorEastAsia" w:hAnsiTheme="majorEastAsia" w:eastAsiaTheme="majorEastAsia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Toc383619005"/>
      <w:r>
        <w:rPr>
          <w:rFonts w:hint="eastAsia" w:cs="宋体" w:asciiTheme="majorEastAsia" w:hAnsiTheme="majorEastAsia" w:eastAsiaTheme="majorEastAsia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二、授课师资</w:t>
      </w:r>
    </w:p>
    <w:bookmarkEnd w:id="0"/>
    <w:p>
      <w:pPr>
        <w:pStyle w:val="15"/>
        <w:widowControl/>
        <w:ind w:right="-191" w:rightChars="-91" w:firstLine="640" w:firstLineChars="200"/>
        <w:outlineLvl w:val="0"/>
        <w:rPr>
          <w:rFonts w:ascii="仿宋" w:hAnsi="仿宋" w:eastAsia="仿宋" w:cs="宋体"/>
          <w:b/>
          <w:sz w:val="32"/>
          <w:szCs w:val="32"/>
          <w:lang w:val="zh-CN"/>
        </w:rPr>
      </w:pPr>
      <w:r>
        <w:rPr>
          <w:rFonts w:hint="eastAsia" w:ascii="仿宋" w:hAnsi="仿宋" w:eastAsia="仿宋" w:cs="仿宋_GB2312"/>
          <w:bCs/>
          <w:color w:val="000000"/>
          <w:kern w:val="2"/>
          <w:sz w:val="32"/>
          <w:szCs w:val="32"/>
          <w:lang w:val="zh-CN" w:eastAsia="zh-CN" w:bidi="ar-SA"/>
        </w:rPr>
        <w:t>李 君：教授级高级工程师、中建总公司原项目总工，参与和主持建造了国内多个大型复杂项目的体系设计、施工及项目咨询工作，具有丰富的项目管理实践经验。国家工程建设项目管理委员会专家委员、国家对外承包商会专家委员；《建设工程项目管理规范》（GB／T 50326-2017）、《建设项目工程总承包管理规范》（GB／T 50358-2017）起草人。</w:t>
      </w:r>
    </w:p>
    <w:p>
      <w:pPr>
        <w:tabs>
          <w:tab w:val="left" w:pos="709"/>
        </w:tabs>
        <w:ind w:firstLine="640" w:firstLineChars="200"/>
        <w:jc w:val="left"/>
        <w:rPr>
          <w:rFonts w:cs="宋体" w:asciiTheme="majorEastAsia" w:hAnsiTheme="majorEastAsia" w:eastAsiaTheme="majorEastAsia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ajorEastAsia" w:hAnsiTheme="majorEastAsia" w:eastAsiaTheme="majorEastAsia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三、参会对象</w:t>
      </w:r>
    </w:p>
    <w:p>
      <w:pPr>
        <w:tabs>
          <w:tab w:val="left" w:pos="709"/>
        </w:tabs>
        <w:ind w:firstLine="640" w:firstLineChars="200"/>
        <w:jc w:val="left"/>
        <w:rPr>
          <w:rFonts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总工程师、项目经理、项目总工、生产经理、施工员、质检员、安全员、技术员。</w:t>
      </w:r>
    </w:p>
    <w:p>
      <w:pPr>
        <w:tabs>
          <w:tab w:val="left" w:pos="709"/>
        </w:tabs>
        <w:ind w:firstLine="640" w:firstLineChars="200"/>
        <w:jc w:val="left"/>
        <w:rPr>
          <w:rFonts w:ascii="仿宋" w:hAnsi="仿宋" w:eastAsia="仿宋" w:cs="宋体"/>
          <w:sz w:val="32"/>
          <w:szCs w:val="32"/>
        </w:rPr>
      </w:pPr>
      <w:r>
        <w:rPr>
          <w:rFonts w:hint="eastAsia" w:cs="宋体" w:asciiTheme="majorEastAsia" w:hAnsiTheme="majorEastAsia" w:eastAsiaTheme="majorEastAsia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四、培训时间、地点</w:t>
      </w:r>
    </w:p>
    <w:p>
      <w:pPr>
        <w:tabs>
          <w:tab w:val="left" w:pos="709"/>
        </w:tabs>
        <w:ind w:firstLine="640" w:firstLineChars="200"/>
        <w:jc w:val="left"/>
        <w:rPr>
          <w:rFonts w:hint="eastAsia" w:ascii="仿宋" w:hAnsi="仿宋" w:eastAsia="仿宋" w:cs="宋体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2021年12月24日-12月28日 海口市（24日全天报到）</w:t>
      </w:r>
    </w:p>
    <w:p>
      <w:pPr>
        <w:tabs>
          <w:tab w:val="left" w:pos="709"/>
        </w:tabs>
        <w:ind w:firstLine="640" w:firstLineChars="200"/>
        <w:jc w:val="left"/>
        <w:rPr>
          <w:rFonts w:cs="宋体" w:asciiTheme="majorEastAsia" w:hAnsiTheme="majorEastAsia" w:eastAsiaTheme="majorEastAsia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2022年01月14日-01月18日 成都市（14日全天报到）</w:t>
      </w:r>
      <w:bookmarkStart w:id="1" w:name="_GoBack"/>
      <w:bookmarkEnd w:id="1"/>
      <w:r>
        <w:rPr>
          <w:rFonts w:hint="eastAsia" w:cs="宋体" w:asciiTheme="majorEastAsia" w:hAnsiTheme="majorEastAsia" w:eastAsiaTheme="majorEastAsia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五、收费标准</w:t>
      </w:r>
    </w:p>
    <w:p>
      <w:pPr>
        <w:tabs>
          <w:tab w:val="left" w:pos="567"/>
          <w:tab w:val="left" w:pos="709"/>
        </w:tabs>
        <w:ind w:firstLine="640" w:firstLineChars="200"/>
        <w:textAlignment w:val="baseline"/>
        <w:outlineLvl w:val="0"/>
        <w:rPr>
          <w:rFonts w:ascii="仿宋" w:hAnsi="仿宋" w:eastAsia="仿宋" w:cs="仿宋_GB2312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bCs/>
          <w:color w:val="000000"/>
          <w:sz w:val="32"/>
          <w:szCs w:val="32"/>
        </w:rPr>
        <w:t>A.2980元/人（含培训费、资料费、电子课件、场地、会议期间午餐），住宿统一安排，费用自理。</w:t>
      </w:r>
    </w:p>
    <w:p>
      <w:pPr>
        <w:tabs>
          <w:tab w:val="left" w:pos="567"/>
          <w:tab w:val="left" w:pos="709"/>
        </w:tabs>
        <w:ind w:firstLine="640" w:firstLineChars="200"/>
        <w:textAlignment w:val="baseline"/>
        <w:outlineLvl w:val="0"/>
        <w:rPr>
          <w:rFonts w:ascii="仿宋" w:hAnsi="仿宋" w:eastAsia="仿宋" w:cs="仿宋_GB2312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bCs/>
          <w:color w:val="000000"/>
          <w:sz w:val="32"/>
          <w:szCs w:val="32"/>
        </w:rPr>
        <w:t>B.3980元/人（含证书、培训费、资料费、电子课件、场地、会议期间午餐），住宿统一安排，费用自理。</w:t>
      </w:r>
    </w:p>
    <w:p>
      <w:pPr>
        <w:tabs>
          <w:tab w:val="left" w:pos="567"/>
          <w:tab w:val="left" w:pos="709"/>
        </w:tabs>
        <w:ind w:firstLine="640" w:firstLineChars="200"/>
        <w:textAlignment w:val="baseline"/>
        <w:outlineLvl w:val="0"/>
        <w:rPr>
          <w:rFonts w:ascii="仿宋" w:hAnsi="仿宋" w:eastAsia="仿宋" w:cs="仿宋_GB2312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bCs/>
          <w:color w:val="000000"/>
          <w:sz w:val="32"/>
          <w:szCs w:val="32"/>
        </w:rPr>
        <w:t>C.5980元/人（含证书、培训费、资料费、电子课件、场地、会议期间食宿、交流等）。</w:t>
      </w:r>
    </w:p>
    <w:p>
      <w:pPr>
        <w:tabs>
          <w:tab w:val="left" w:pos="567"/>
          <w:tab w:val="left" w:pos="709"/>
        </w:tabs>
        <w:ind w:firstLine="640" w:firstLineChars="200"/>
        <w:textAlignment w:val="baseline"/>
        <w:outlineLvl w:val="0"/>
        <w:rPr>
          <w:rFonts w:hint="eastAsia" w:ascii="仿宋" w:hAnsi="仿宋" w:eastAsia="仿宋" w:cs="仿宋_GB2312"/>
          <w:bCs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bCs/>
          <w:color w:val="000000"/>
          <w:sz w:val="32"/>
          <w:szCs w:val="32"/>
        </w:rPr>
        <w:t>备注：1.不参加线下培训，单独参加线上培训，考试成绩合格发《项目经理》、《合同经理》、《设计经理》证书，2800元/人。2.企业事业单位内训、顾问咨询事宜可随时与我们联系</w:t>
      </w:r>
      <w:r>
        <w:rPr>
          <w:rFonts w:hint="eastAsia" w:ascii="仿宋" w:hAnsi="仿宋" w:eastAsia="仿宋" w:cs="仿宋_GB2312"/>
          <w:bCs/>
          <w:color w:val="000000"/>
          <w:sz w:val="32"/>
          <w:szCs w:val="32"/>
          <w:lang w:eastAsia="zh-CN"/>
        </w:rPr>
        <w:t>。</w:t>
      </w:r>
    </w:p>
    <w:p>
      <w:pPr>
        <w:tabs>
          <w:tab w:val="left" w:pos="709"/>
        </w:tabs>
        <w:ind w:firstLine="640" w:firstLineChars="200"/>
        <w:jc w:val="left"/>
        <w:rPr>
          <w:rFonts w:hint="eastAsia" w:cs="宋体" w:asciiTheme="majorEastAsia" w:hAnsiTheme="majorEastAsia" w:eastAsiaTheme="majorEastAsia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tabs>
          <w:tab w:val="left" w:pos="709"/>
        </w:tabs>
        <w:ind w:firstLine="640" w:firstLineChars="200"/>
        <w:jc w:val="left"/>
        <w:rPr>
          <w:rFonts w:hint="eastAsia" w:cs="宋体" w:asciiTheme="majorEastAsia" w:hAnsiTheme="majorEastAsia" w:eastAsiaTheme="majorEastAsia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tabs>
          <w:tab w:val="left" w:pos="709"/>
        </w:tabs>
        <w:ind w:firstLine="640" w:firstLineChars="200"/>
        <w:jc w:val="left"/>
        <w:rPr>
          <w:rFonts w:hint="eastAsia" w:cs="宋体" w:asciiTheme="majorEastAsia" w:hAnsiTheme="majorEastAsia" w:eastAsiaTheme="majorEastAsia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tabs>
          <w:tab w:val="left" w:pos="709"/>
        </w:tabs>
        <w:ind w:firstLine="640" w:firstLineChars="200"/>
        <w:jc w:val="left"/>
        <w:rPr>
          <w:rFonts w:cs="宋体" w:asciiTheme="majorEastAsia" w:hAnsiTheme="majorEastAsia" w:eastAsiaTheme="majorEastAsia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ajorEastAsia" w:hAnsiTheme="majorEastAsia" w:eastAsiaTheme="majorEastAsia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六、报名办法</w:t>
      </w:r>
    </w:p>
    <w:p>
      <w:pPr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报名负责人：聂红军 主任18211071700（微信）   </w:t>
      </w:r>
    </w:p>
    <w:p>
      <w:pPr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电  话：010-87697580  邮    箱：zqgphwz@126.com  </w:t>
      </w:r>
    </w:p>
    <w:p>
      <w:pPr>
        <w:jc w:val="left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qq咨询：3177524020网址查询：</w:t>
      </w:r>
      <w:r>
        <w:rPr>
          <w:rFonts w:hint="eastAsia" w:ascii="仿宋" w:hAnsi="仿宋" w:eastAsia="仿宋"/>
          <w:color w:val="auto"/>
          <w:sz w:val="32"/>
          <w:szCs w:val="32"/>
        </w:rPr>
        <w:fldChar w:fldCharType="begin"/>
      </w:r>
      <w:r>
        <w:rPr>
          <w:rFonts w:hint="eastAsia" w:ascii="仿宋" w:hAnsi="仿宋" w:eastAsia="仿宋"/>
          <w:color w:val="auto"/>
          <w:sz w:val="32"/>
          <w:szCs w:val="32"/>
        </w:rPr>
        <w:instrText xml:space="preserve"> HYPERLINK "http://www.zqgpchina.cn/" </w:instrText>
      </w:r>
      <w:r>
        <w:rPr>
          <w:rFonts w:hint="eastAsia" w:ascii="仿宋" w:hAnsi="仿宋" w:eastAsia="仿宋"/>
          <w:color w:val="auto"/>
          <w:sz w:val="32"/>
          <w:szCs w:val="32"/>
        </w:rPr>
        <w:fldChar w:fldCharType="separate"/>
      </w:r>
      <w:r>
        <w:rPr>
          <w:rStyle w:val="10"/>
          <w:rFonts w:hint="eastAsia" w:ascii="仿宋" w:hAnsi="仿宋" w:eastAsia="仿宋"/>
          <w:color w:val="auto"/>
          <w:sz w:val="32"/>
          <w:szCs w:val="32"/>
        </w:rPr>
        <w:t>http://www.zqgpchina.cn/</w:t>
      </w:r>
      <w:r>
        <w:rPr>
          <w:rFonts w:hint="eastAsia" w:ascii="仿宋" w:hAnsi="仿宋" w:eastAsia="仿宋"/>
          <w:color w:val="auto"/>
          <w:sz w:val="32"/>
          <w:szCs w:val="32"/>
        </w:rPr>
        <w:fldChar w:fldCharType="end"/>
      </w:r>
    </w:p>
    <w:p>
      <w:pPr>
        <w:jc w:val="left"/>
        <w:rPr>
          <w:rFonts w:hint="eastAsia" w:ascii="宋体" w:hAnsi="宋体" w:cs="仿宋"/>
          <w:b/>
          <w:bCs/>
          <w:sz w:val="28"/>
          <w:szCs w:val="28"/>
        </w:rPr>
      </w:pPr>
    </w:p>
    <w:p>
      <w:pPr>
        <w:jc w:val="left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宋体" w:hAnsi="宋体" w:cs="仿宋"/>
          <w:b/>
          <w:bCs/>
          <w:sz w:val="28"/>
          <w:szCs w:val="28"/>
        </w:rPr>
        <w:t>温馨提示：根据国家疫情防控的要求，如遇特殊情况课程会有适当调整。</w:t>
      </w:r>
    </w:p>
    <w:p>
      <w:pPr>
        <w:tabs>
          <w:tab w:val="left" w:pos="567"/>
          <w:tab w:val="left" w:pos="709"/>
        </w:tabs>
        <w:spacing w:line="320" w:lineRule="exact"/>
        <w:ind w:firstLine="420" w:firstLineChars="150"/>
        <w:textAlignment w:val="baseline"/>
        <w:outlineLvl w:val="0"/>
        <w:rPr>
          <w:rFonts w:ascii="仿宋" w:hAnsi="仿宋" w:eastAsia="仿宋" w:cs="仿宋_GB2312"/>
          <w:bCs/>
          <w:color w:val="000000"/>
          <w:sz w:val="28"/>
          <w:szCs w:val="28"/>
        </w:rPr>
      </w:pPr>
    </w:p>
    <w:p>
      <w:pPr>
        <w:ind w:left="1556" w:leftChars="304" w:hanging="918" w:hangingChars="287"/>
        <w:textAlignment w:val="baseline"/>
        <w:outlineLvl w:val="0"/>
        <w:rPr>
          <w:rFonts w:ascii="仿宋" w:hAnsi="仿宋" w:eastAsia="仿宋" w:cs="仿宋_GB2312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bCs/>
          <w:color w:val="000000"/>
          <w:sz w:val="32"/>
          <w:szCs w:val="32"/>
        </w:rPr>
        <w:t>附件：2021建筑工程项目总工及技术负责人能力素质提升专题报名回执表</w:t>
      </w:r>
    </w:p>
    <w:p>
      <w:pPr>
        <w:tabs>
          <w:tab w:val="left" w:pos="567"/>
          <w:tab w:val="left" w:pos="709"/>
        </w:tabs>
        <w:spacing w:line="310" w:lineRule="exact"/>
        <w:ind w:firstLine="6163" w:firstLineChars="2200"/>
        <w:textAlignment w:val="baseline"/>
        <w:outlineLvl w:val="0"/>
        <w:rPr>
          <w:rFonts w:ascii="仿宋" w:hAnsi="仿宋" w:eastAsia="仿宋" w:cs="仿宋_GB2312"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3148965</wp:posOffset>
            </wp:positionH>
            <wp:positionV relativeFrom="paragraph">
              <wp:posOffset>1905</wp:posOffset>
            </wp:positionV>
            <wp:extent cx="1452245" cy="1442720"/>
            <wp:effectExtent l="0" t="0" r="0" b="5080"/>
            <wp:wrapNone/>
            <wp:docPr id="5" name="图片 2" descr="中国国际工程咨询协会（无背景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 descr="中国国际工程咨询协会（无背景）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22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52245" cy="1442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tabs>
          <w:tab w:val="left" w:pos="567"/>
          <w:tab w:val="left" w:pos="709"/>
        </w:tabs>
        <w:spacing w:line="310" w:lineRule="exact"/>
        <w:textAlignment w:val="baseline"/>
        <w:outlineLvl w:val="0"/>
        <w:rPr>
          <w:rFonts w:ascii="仿宋" w:hAnsi="仿宋" w:eastAsia="仿宋" w:cs="黑体"/>
          <w:b/>
          <w:sz w:val="28"/>
          <w:szCs w:val="28"/>
        </w:rPr>
      </w:pPr>
    </w:p>
    <w:p>
      <w:pPr>
        <w:tabs>
          <w:tab w:val="left" w:pos="567"/>
          <w:tab w:val="left" w:pos="709"/>
        </w:tabs>
        <w:spacing w:line="310" w:lineRule="exact"/>
        <w:textAlignment w:val="baseline"/>
        <w:outlineLvl w:val="0"/>
        <w:rPr>
          <w:rFonts w:ascii="仿宋" w:hAnsi="仿宋" w:eastAsia="仿宋" w:cs="黑体"/>
          <w:b/>
          <w:sz w:val="28"/>
          <w:szCs w:val="28"/>
        </w:rPr>
      </w:pPr>
    </w:p>
    <w:p>
      <w:pPr>
        <w:tabs>
          <w:tab w:val="left" w:pos="567"/>
          <w:tab w:val="left" w:pos="709"/>
        </w:tabs>
        <w:spacing w:line="310" w:lineRule="exact"/>
        <w:textAlignment w:val="baseline"/>
        <w:outlineLvl w:val="0"/>
        <w:rPr>
          <w:rFonts w:ascii="仿宋" w:hAnsi="仿宋" w:eastAsia="仿宋" w:cs="黑体"/>
          <w:b/>
          <w:sz w:val="28"/>
          <w:szCs w:val="28"/>
        </w:rPr>
      </w:pPr>
    </w:p>
    <w:p>
      <w:pPr>
        <w:spacing w:line="400" w:lineRule="exact"/>
        <w:ind w:firstLine="4676" w:firstLineChars="1670"/>
        <w:textAlignment w:val="baseline"/>
        <w:outlineLvl w:val="0"/>
        <w:rPr>
          <w:rFonts w:ascii="仿宋" w:hAnsi="仿宋" w:eastAsia="仿宋" w:cs="仿宋_GB2312"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_GB2312"/>
          <w:bCs/>
          <w:color w:val="000000"/>
          <w:sz w:val="28"/>
          <w:szCs w:val="28"/>
        </w:rPr>
        <w:t>中国国际工程咨询协会</w:t>
      </w:r>
    </w:p>
    <w:p>
      <w:pPr>
        <w:spacing w:line="400" w:lineRule="exact"/>
        <w:ind w:firstLine="4961" w:firstLineChars="1772"/>
        <w:textAlignment w:val="baseline"/>
        <w:outlineLvl w:val="0"/>
        <w:rPr>
          <w:rFonts w:ascii="仿宋" w:hAnsi="仿宋" w:eastAsia="仿宋" w:cs="仿宋_GB2312"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_GB2312"/>
          <w:bCs/>
          <w:color w:val="000000"/>
          <w:sz w:val="28"/>
          <w:szCs w:val="28"/>
        </w:rPr>
        <w:t>2021年</w:t>
      </w:r>
      <w:r>
        <w:rPr>
          <w:rFonts w:hint="eastAsia" w:ascii="仿宋" w:hAnsi="仿宋" w:eastAsia="仿宋" w:cs="仿宋_GB2312"/>
          <w:bCs/>
          <w:color w:val="000000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 w:cs="仿宋_GB2312"/>
          <w:bCs/>
          <w:color w:val="000000"/>
          <w:sz w:val="28"/>
          <w:szCs w:val="28"/>
        </w:rPr>
        <w:t>月</w:t>
      </w:r>
      <w:r>
        <w:rPr>
          <w:rFonts w:hint="eastAsia" w:ascii="仿宋" w:hAnsi="仿宋" w:eastAsia="仿宋" w:cs="仿宋_GB2312"/>
          <w:bCs/>
          <w:color w:val="000000"/>
          <w:sz w:val="28"/>
          <w:szCs w:val="28"/>
          <w:lang w:val="en-US" w:eastAsia="zh-CN"/>
        </w:rPr>
        <w:t>20</w:t>
      </w:r>
      <w:r>
        <w:rPr>
          <w:rFonts w:hint="eastAsia" w:ascii="仿宋" w:hAnsi="仿宋" w:eastAsia="仿宋" w:cs="仿宋_GB2312"/>
          <w:bCs/>
          <w:color w:val="000000"/>
          <w:sz w:val="28"/>
          <w:szCs w:val="28"/>
        </w:rPr>
        <w:t>日</w:t>
      </w:r>
    </w:p>
    <w:p>
      <w:pPr>
        <w:tabs>
          <w:tab w:val="left" w:pos="567"/>
          <w:tab w:val="left" w:pos="709"/>
        </w:tabs>
        <w:spacing w:line="400" w:lineRule="exact"/>
        <w:textAlignment w:val="baseline"/>
        <w:outlineLvl w:val="0"/>
        <w:rPr>
          <w:rFonts w:ascii="仿宋_GB2312" w:hAnsi="仿宋" w:eastAsia="仿宋_GB2312" w:cs="Times New Roman"/>
          <w:sz w:val="30"/>
          <w:szCs w:val="30"/>
          <w:lang w:val="zh-CN"/>
        </w:rPr>
      </w:pPr>
      <w:r>
        <w:rPr>
          <w:rFonts w:ascii="仿宋_GB2312" w:hAnsi="仿宋" w:eastAsia="仿宋_GB2312" w:cs="Times New Roman"/>
          <w:sz w:val="30"/>
          <w:szCs w:val="30"/>
          <w:lang w:val="zh-CN"/>
        </w:rPr>
        <w:br w:type="page"/>
      </w:r>
    </w:p>
    <w:p>
      <w:pPr>
        <w:spacing w:line="400" w:lineRule="exact"/>
        <w:rPr>
          <w:rFonts w:hint="eastAsia" w:ascii="黑体" w:hAnsi="黑体" w:eastAsia="黑体" w:cs="Times New Roman"/>
          <w:sz w:val="32"/>
          <w:szCs w:val="32"/>
          <w:lang w:val="zh-CN"/>
        </w:rPr>
      </w:pPr>
      <w:r>
        <w:rPr>
          <w:rFonts w:hint="eastAsia" w:ascii="黑体" w:hAnsi="黑体" w:eastAsia="黑体" w:cs="Times New Roman"/>
          <w:sz w:val="32"/>
          <w:szCs w:val="32"/>
          <w:lang w:val="zh-CN"/>
        </w:rPr>
        <w:t>附件</w:t>
      </w:r>
    </w:p>
    <w:p>
      <w:pPr>
        <w:jc w:val="center"/>
        <w:rPr>
          <w:rFonts w:ascii="黑体" w:hAnsi="黑体" w:eastAsia="黑体" w:cs="方正小标宋简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cs="方正小标宋简体" w:asciiTheme="majorEastAsia" w:hAnsiTheme="majorEastAsia" w:eastAsiaTheme="majorEastAsia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2021建筑工程项目总工及技术负责人</w:t>
      </w:r>
      <w:r>
        <w:rPr>
          <w:rFonts w:hint="eastAsia" w:cs="方正小标宋简体" w:asciiTheme="majorEastAsia" w:hAnsiTheme="majorEastAsia" w:eastAsiaTheme="majorEastAsia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实战</w:t>
      </w:r>
      <w:r>
        <w:rPr>
          <w:rFonts w:hint="eastAsia" w:cs="方正小标宋简体" w:asciiTheme="majorEastAsia" w:hAnsiTheme="majorEastAsia" w:eastAsiaTheme="majorEastAsia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能力提升专题报名回执表</w:t>
      </w:r>
    </w:p>
    <w:tbl>
      <w:tblPr>
        <w:tblStyle w:val="7"/>
        <w:tblpPr w:leftFromText="180" w:rightFromText="180" w:vertAnchor="page" w:horzAnchor="margin" w:tblpXSpec="center" w:tblpY="3154"/>
        <w:tblW w:w="97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0"/>
        <w:gridCol w:w="845"/>
        <w:gridCol w:w="1278"/>
        <w:gridCol w:w="2135"/>
        <w:gridCol w:w="271"/>
        <w:gridCol w:w="415"/>
        <w:gridCol w:w="6"/>
        <w:gridCol w:w="302"/>
        <w:gridCol w:w="540"/>
        <w:gridCol w:w="291"/>
        <w:gridCol w:w="19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660" w:type="dxa"/>
            <w:vAlign w:val="center"/>
          </w:tcPr>
          <w:p>
            <w:pPr>
              <w:spacing w:line="300" w:lineRule="exact"/>
              <w:ind w:right="-147" w:rightChars="-7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单位名称</w:t>
            </w:r>
          </w:p>
        </w:tc>
        <w:tc>
          <w:tcPr>
            <w:tcW w:w="4944" w:type="dxa"/>
            <w:gridSpan w:val="5"/>
            <w:vAlign w:val="center"/>
          </w:tcPr>
          <w:p>
            <w:pPr>
              <w:spacing w:line="300" w:lineRule="exact"/>
              <w:ind w:right="-147" w:rightChars="-7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48" w:type="dxa"/>
            <w:gridSpan w:val="3"/>
            <w:vAlign w:val="center"/>
          </w:tcPr>
          <w:p>
            <w:pPr>
              <w:spacing w:line="300" w:lineRule="exact"/>
              <w:ind w:right="-147" w:rightChars="-7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邮编</w:t>
            </w:r>
          </w:p>
        </w:tc>
        <w:tc>
          <w:tcPr>
            <w:tcW w:w="2278" w:type="dxa"/>
            <w:gridSpan w:val="2"/>
            <w:vAlign w:val="center"/>
          </w:tcPr>
          <w:p>
            <w:pPr>
              <w:spacing w:line="300" w:lineRule="exact"/>
              <w:ind w:right="-147" w:rightChars="-70" w:firstLine="960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660" w:type="dxa"/>
            <w:vAlign w:val="center"/>
          </w:tcPr>
          <w:p>
            <w:pPr>
              <w:spacing w:line="300" w:lineRule="exact"/>
              <w:ind w:right="-147" w:rightChars="-7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单位地址</w:t>
            </w:r>
          </w:p>
        </w:tc>
        <w:tc>
          <w:tcPr>
            <w:tcW w:w="8070" w:type="dxa"/>
            <w:gridSpan w:val="10"/>
            <w:vAlign w:val="center"/>
          </w:tcPr>
          <w:p>
            <w:pPr>
              <w:spacing w:line="300" w:lineRule="exact"/>
              <w:ind w:right="-147" w:rightChars="-70" w:firstLine="960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660" w:type="dxa"/>
            <w:vAlign w:val="center"/>
          </w:tcPr>
          <w:p>
            <w:pPr>
              <w:spacing w:line="300" w:lineRule="exact"/>
              <w:ind w:right="-147" w:rightChars="-7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联系人</w:t>
            </w:r>
          </w:p>
        </w:tc>
        <w:tc>
          <w:tcPr>
            <w:tcW w:w="2123" w:type="dxa"/>
            <w:gridSpan w:val="2"/>
            <w:vAlign w:val="center"/>
          </w:tcPr>
          <w:p>
            <w:pPr>
              <w:spacing w:line="300" w:lineRule="exact"/>
              <w:ind w:right="-147" w:rightChars="-70" w:firstLine="96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06" w:type="dxa"/>
            <w:gridSpan w:val="2"/>
            <w:vAlign w:val="center"/>
          </w:tcPr>
          <w:p>
            <w:pPr>
              <w:spacing w:line="300" w:lineRule="exact"/>
              <w:ind w:right="-147" w:rightChars="-7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职位/岗位</w:t>
            </w:r>
          </w:p>
        </w:tc>
        <w:tc>
          <w:tcPr>
            <w:tcW w:w="3541" w:type="dxa"/>
            <w:gridSpan w:val="6"/>
            <w:vAlign w:val="center"/>
          </w:tcPr>
          <w:p>
            <w:pPr>
              <w:spacing w:line="300" w:lineRule="exact"/>
              <w:ind w:right="-147" w:rightChars="-70" w:firstLine="960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660" w:type="dxa"/>
            <w:vAlign w:val="center"/>
          </w:tcPr>
          <w:p>
            <w:pPr>
              <w:spacing w:line="300" w:lineRule="exact"/>
              <w:ind w:right="-147" w:rightChars="-7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办公电话</w:t>
            </w:r>
          </w:p>
        </w:tc>
        <w:tc>
          <w:tcPr>
            <w:tcW w:w="2123" w:type="dxa"/>
            <w:gridSpan w:val="2"/>
            <w:vAlign w:val="center"/>
          </w:tcPr>
          <w:p>
            <w:pPr>
              <w:spacing w:line="300" w:lineRule="exact"/>
              <w:ind w:right="-147" w:rightChars="-7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06" w:type="dxa"/>
            <w:gridSpan w:val="2"/>
            <w:vAlign w:val="center"/>
          </w:tcPr>
          <w:p>
            <w:pPr>
              <w:spacing w:line="300" w:lineRule="exact"/>
              <w:ind w:right="-147" w:rightChars="-7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手    机</w:t>
            </w:r>
          </w:p>
        </w:tc>
        <w:tc>
          <w:tcPr>
            <w:tcW w:w="3541" w:type="dxa"/>
            <w:gridSpan w:val="6"/>
            <w:vAlign w:val="center"/>
          </w:tcPr>
          <w:p>
            <w:pPr>
              <w:spacing w:line="300" w:lineRule="exact"/>
              <w:ind w:right="-147" w:rightChars="-70" w:firstLine="960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660" w:type="dxa"/>
            <w:vAlign w:val="center"/>
          </w:tcPr>
          <w:p>
            <w:pPr>
              <w:spacing w:line="300" w:lineRule="exact"/>
              <w:ind w:right="-147" w:rightChars="-7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传   真</w:t>
            </w:r>
          </w:p>
        </w:tc>
        <w:tc>
          <w:tcPr>
            <w:tcW w:w="2123" w:type="dxa"/>
            <w:gridSpan w:val="2"/>
            <w:vAlign w:val="center"/>
          </w:tcPr>
          <w:p>
            <w:pPr>
              <w:spacing w:line="300" w:lineRule="exact"/>
              <w:ind w:right="-147" w:rightChars="-7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06" w:type="dxa"/>
            <w:gridSpan w:val="2"/>
            <w:vAlign w:val="center"/>
          </w:tcPr>
          <w:p>
            <w:pPr>
              <w:spacing w:line="300" w:lineRule="exact"/>
              <w:ind w:right="-147" w:rightChars="-7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电子信箱</w:t>
            </w:r>
          </w:p>
        </w:tc>
        <w:tc>
          <w:tcPr>
            <w:tcW w:w="3541" w:type="dxa"/>
            <w:gridSpan w:val="6"/>
            <w:vAlign w:val="center"/>
          </w:tcPr>
          <w:p>
            <w:pPr>
              <w:spacing w:line="300" w:lineRule="exact"/>
              <w:ind w:right="-147" w:rightChars="-70" w:firstLine="960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660" w:type="dxa"/>
            <w:vAlign w:val="center"/>
          </w:tcPr>
          <w:p>
            <w:pPr>
              <w:spacing w:line="300" w:lineRule="exact"/>
              <w:ind w:right="-147" w:rightChars="-7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参加培训人员</w:t>
            </w:r>
          </w:p>
        </w:tc>
        <w:tc>
          <w:tcPr>
            <w:tcW w:w="845" w:type="dxa"/>
            <w:vAlign w:val="center"/>
          </w:tcPr>
          <w:p>
            <w:pPr>
              <w:spacing w:line="300" w:lineRule="exact"/>
              <w:ind w:right="-147" w:rightChars="-7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性别</w:t>
            </w:r>
          </w:p>
        </w:tc>
        <w:tc>
          <w:tcPr>
            <w:tcW w:w="1278" w:type="dxa"/>
            <w:vAlign w:val="center"/>
          </w:tcPr>
          <w:p>
            <w:pPr>
              <w:spacing w:line="300" w:lineRule="exact"/>
              <w:ind w:right="-147" w:rightChars="-7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职务</w:t>
            </w:r>
          </w:p>
        </w:tc>
        <w:tc>
          <w:tcPr>
            <w:tcW w:w="2406" w:type="dxa"/>
            <w:gridSpan w:val="2"/>
            <w:vAlign w:val="center"/>
          </w:tcPr>
          <w:p>
            <w:pPr>
              <w:spacing w:line="300" w:lineRule="exact"/>
              <w:ind w:right="-147" w:rightChars="-7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电话</w:t>
            </w:r>
          </w:p>
        </w:tc>
        <w:tc>
          <w:tcPr>
            <w:tcW w:w="1554" w:type="dxa"/>
            <w:gridSpan w:val="5"/>
            <w:vAlign w:val="center"/>
          </w:tcPr>
          <w:p>
            <w:pPr>
              <w:spacing w:line="300" w:lineRule="exact"/>
              <w:ind w:right="-147" w:rightChars="-7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手机</w:t>
            </w:r>
          </w:p>
        </w:tc>
        <w:tc>
          <w:tcPr>
            <w:tcW w:w="1987" w:type="dxa"/>
            <w:vAlign w:val="center"/>
          </w:tcPr>
          <w:p>
            <w:pPr>
              <w:spacing w:line="300" w:lineRule="exact"/>
              <w:ind w:right="-147" w:rightChars="-7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660" w:type="dxa"/>
            <w:vAlign w:val="center"/>
          </w:tcPr>
          <w:p>
            <w:pPr>
              <w:spacing w:line="300" w:lineRule="exact"/>
              <w:ind w:right="-147" w:rightChars="-7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45" w:type="dxa"/>
            <w:vAlign w:val="center"/>
          </w:tcPr>
          <w:p>
            <w:pPr>
              <w:spacing w:line="300" w:lineRule="exact"/>
              <w:ind w:right="-147" w:rightChars="-7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8" w:type="dxa"/>
            <w:vAlign w:val="center"/>
          </w:tcPr>
          <w:p>
            <w:pPr>
              <w:spacing w:line="300" w:lineRule="exact"/>
              <w:ind w:right="-147" w:rightChars="-7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06" w:type="dxa"/>
            <w:gridSpan w:val="2"/>
            <w:vAlign w:val="center"/>
          </w:tcPr>
          <w:p>
            <w:pPr>
              <w:spacing w:line="300" w:lineRule="exact"/>
              <w:ind w:right="-147" w:rightChars="-7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4" w:type="dxa"/>
            <w:gridSpan w:val="5"/>
            <w:vAlign w:val="center"/>
          </w:tcPr>
          <w:p>
            <w:pPr>
              <w:spacing w:line="300" w:lineRule="exact"/>
              <w:ind w:right="-147" w:rightChars="-7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7" w:type="dxa"/>
            <w:vAlign w:val="center"/>
          </w:tcPr>
          <w:p>
            <w:pPr>
              <w:spacing w:line="300" w:lineRule="exact"/>
              <w:ind w:right="-147" w:rightChars="-70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660" w:type="dxa"/>
            <w:vAlign w:val="center"/>
          </w:tcPr>
          <w:p>
            <w:pPr>
              <w:spacing w:line="300" w:lineRule="exact"/>
              <w:ind w:right="-147" w:rightChars="-7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45" w:type="dxa"/>
            <w:vAlign w:val="center"/>
          </w:tcPr>
          <w:p>
            <w:pPr>
              <w:spacing w:line="300" w:lineRule="exact"/>
              <w:ind w:right="-147" w:rightChars="-7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8" w:type="dxa"/>
            <w:vAlign w:val="center"/>
          </w:tcPr>
          <w:p>
            <w:pPr>
              <w:spacing w:line="300" w:lineRule="exact"/>
              <w:ind w:right="-147" w:rightChars="-7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06" w:type="dxa"/>
            <w:gridSpan w:val="2"/>
            <w:vAlign w:val="center"/>
          </w:tcPr>
          <w:p>
            <w:pPr>
              <w:spacing w:line="300" w:lineRule="exact"/>
              <w:ind w:right="-147" w:rightChars="-7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4" w:type="dxa"/>
            <w:gridSpan w:val="5"/>
            <w:vAlign w:val="center"/>
          </w:tcPr>
          <w:p>
            <w:pPr>
              <w:spacing w:line="300" w:lineRule="exact"/>
              <w:ind w:right="-147" w:rightChars="-7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7" w:type="dxa"/>
            <w:vAlign w:val="center"/>
          </w:tcPr>
          <w:p>
            <w:pPr>
              <w:spacing w:line="300" w:lineRule="exact"/>
              <w:ind w:right="-147" w:rightChars="-70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660" w:type="dxa"/>
            <w:vAlign w:val="center"/>
          </w:tcPr>
          <w:p>
            <w:pPr>
              <w:spacing w:line="300" w:lineRule="exact"/>
              <w:ind w:right="-147" w:rightChars="-7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45" w:type="dxa"/>
            <w:vAlign w:val="center"/>
          </w:tcPr>
          <w:p>
            <w:pPr>
              <w:spacing w:line="300" w:lineRule="exact"/>
              <w:ind w:right="-147" w:rightChars="-7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8" w:type="dxa"/>
            <w:vAlign w:val="center"/>
          </w:tcPr>
          <w:p>
            <w:pPr>
              <w:spacing w:line="300" w:lineRule="exact"/>
              <w:ind w:right="-147" w:rightChars="-7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06" w:type="dxa"/>
            <w:gridSpan w:val="2"/>
            <w:vAlign w:val="center"/>
          </w:tcPr>
          <w:p>
            <w:pPr>
              <w:spacing w:line="300" w:lineRule="exact"/>
              <w:ind w:right="-147" w:rightChars="-7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4" w:type="dxa"/>
            <w:gridSpan w:val="5"/>
            <w:vAlign w:val="center"/>
          </w:tcPr>
          <w:p>
            <w:pPr>
              <w:spacing w:line="300" w:lineRule="exact"/>
              <w:ind w:right="-147" w:rightChars="-7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7" w:type="dxa"/>
            <w:vAlign w:val="center"/>
          </w:tcPr>
          <w:p>
            <w:pPr>
              <w:spacing w:line="300" w:lineRule="exact"/>
              <w:ind w:right="-147" w:rightChars="-70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660" w:type="dxa"/>
            <w:vAlign w:val="center"/>
          </w:tcPr>
          <w:p>
            <w:pPr>
              <w:spacing w:line="300" w:lineRule="exact"/>
              <w:ind w:right="-147" w:rightChars="-7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45" w:type="dxa"/>
            <w:vAlign w:val="center"/>
          </w:tcPr>
          <w:p>
            <w:pPr>
              <w:spacing w:line="300" w:lineRule="exact"/>
              <w:ind w:right="-147" w:rightChars="-7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8" w:type="dxa"/>
            <w:vAlign w:val="center"/>
          </w:tcPr>
          <w:p>
            <w:pPr>
              <w:spacing w:line="300" w:lineRule="exact"/>
              <w:ind w:right="-147" w:rightChars="-7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06" w:type="dxa"/>
            <w:gridSpan w:val="2"/>
            <w:vAlign w:val="center"/>
          </w:tcPr>
          <w:p>
            <w:pPr>
              <w:spacing w:line="300" w:lineRule="exact"/>
              <w:ind w:right="-147" w:rightChars="-7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4" w:type="dxa"/>
            <w:gridSpan w:val="5"/>
            <w:vAlign w:val="center"/>
          </w:tcPr>
          <w:p>
            <w:pPr>
              <w:spacing w:line="300" w:lineRule="exact"/>
              <w:ind w:right="-147" w:rightChars="-7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7" w:type="dxa"/>
            <w:vAlign w:val="center"/>
          </w:tcPr>
          <w:p>
            <w:pPr>
              <w:spacing w:line="300" w:lineRule="exact"/>
              <w:ind w:right="-147" w:rightChars="-70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660" w:type="dxa"/>
            <w:vAlign w:val="center"/>
          </w:tcPr>
          <w:p>
            <w:pPr>
              <w:spacing w:line="300" w:lineRule="exact"/>
              <w:ind w:right="-147" w:rightChars="-7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是否住宿</w:t>
            </w:r>
          </w:p>
        </w:tc>
        <w:tc>
          <w:tcPr>
            <w:tcW w:w="2123" w:type="dxa"/>
            <w:gridSpan w:val="2"/>
            <w:vAlign w:val="center"/>
          </w:tcPr>
          <w:p>
            <w:pPr>
              <w:spacing w:line="300" w:lineRule="exact"/>
              <w:ind w:right="-147" w:rightChars="-7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是□    否□</w:t>
            </w:r>
          </w:p>
        </w:tc>
        <w:tc>
          <w:tcPr>
            <w:tcW w:w="2406" w:type="dxa"/>
            <w:gridSpan w:val="2"/>
            <w:vAlign w:val="center"/>
          </w:tcPr>
          <w:p>
            <w:pPr>
              <w:spacing w:line="300" w:lineRule="exact"/>
              <w:ind w:right="-147" w:rightChars="-7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住宿标准</w:t>
            </w:r>
          </w:p>
        </w:tc>
        <w:tc>
          <w:tcPr>
            <w:tcW w:w="3541" w:type="dxa"/>
            <w:gridSpan w:val="6"/>
            <w:vAlign w:val="center"/>
          </w:tcPr>
          <w:p>
            <w:pPr>
              <w:spacing w:line="300" w:lineRule="exact"/>
              <w:ind w:right="-147" w:rightChars="-7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□</w:t>
            </w:r>
            <w:r>
              <w:rPr>
                <w:rFonts w:hint="eastAsia" w:asciiTheme="minorEastAsia" w:hAnsiTheme="minorEastAsia"/>
                <w:szCs w:val="21"/>
              </w:rPr>
              <w:t xml:space="preserve">单住(需另补床位费)     </w:t>
            </w:r>
            <w:r>
              <w:rPr>
                <w:rFonts w:asciiTheme="minorEastAsia" w:hAnsiTheme="minorEastAsia"/>
                <w:szCs w:val="21"/>
              </w:rPr>
              <w:t>□</w:t>
            </w:r>
            <w:r>
              <w:rPr>
                <w:rFonts w:hint="eastAsia" w:asciiTheme="minorEastAsia" w:hAnsiTheme="minorEastAsia"/>
                <w:szCs w:val="21"/>
              </w:rPr>
              <w:t>合住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1660" w:type="dxa"/>
            <w:vAlign w:val="center"/>
          </w:tcPr>
          <w:p>
            <w:pPr>
              <w:spacing w:line="300" w:lineRule="exact"/>
              <w:ind w:right="-147" w:rightChars="-70" w:firstLine="210" w:firstLineChars="10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地点选择</w:t>
            </w:r>
          </w:p>
        </w:tc>
        <w:tc>
          <w:tcPr>
            <w:tcW w:w="2123" w:type="dxa"/>
            <w:gridSpan w:val="2"/>
            <w:vAlign w:val="center"/>
          </w:tcPr>
          <w:p>
            <w:pPr>
              <w:spacing w:line="300" w:lineRule="exact"/>
              <w:ind w:right="-147" w:rightChars="-70" w:firstLine="735" w:firstLineChars="35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06" w:type="dxa"/>
            <w:gridSpan w:val="2"/>
            <w:vAlign w:val="center"/>
          </w:tcPr>
          <w:p>
            <w:pPr>
              <w:spacing w:line="300" w:lineRule="exact"/>
              <w:ind w:right="-147" w:rightChars="-70" w:firstLine="735" w:firstLineChars="35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证书申报</w:t>
            </w:r>
          </w:p>
        </w:tc>
        <w:tc>
          <w:tcPr>
            <w:tcW w:w="3541" w:type="dxa"/>
            <w:gridSpan w:val="6"/>
            <w:vAlign w:val="center"/>
          </w:tcPr>
          <w:p>
            <w:pPr>
              <w:spacing w:line="300" w:lineRule="exact"/>
              <w:ind w:right="-147" w:rightChars="-7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项目经理□ </w:t>
            </w:r>
          </w:p>
          <w:p>
            <w:pPr>
              <w:spacing w:line="300" w:lineRule="exact"/>
              <w:ind w:right="-147" w:rightChars="-7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合同经理□    </w:t>
            </w:r>
          </w:p>
          <w:p>
            <w:pPr>
              <w:spacing w:line="300" w:lineRule="exact"/>
              <w:ind w:right="-147" w:rightChars="-7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设计经理□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660" w:type="dxa"/>
            <w:vAlign w:val="center"/>
          </w:tcPr>
          <w:p>
            <w:pPr>
              <w:spacing w:line="300" w:lineRule="exact"/>
              <w:ind w:right="-147" w:rightChars="-70" w:firstLine="210" w:firstLineChars="10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标准选项</w:t>
            </w:r>
            <w:r>
              <w:rPr>
                <w:rFonts w:hint="eastAsia" w:asciiTheme="minorEastAsia" w:hAnsiTheme="minorEastAsia"/>
                <w:szCs w:val="21"/>
              </w:rPr>
              <w:tab/>
            </w:r>
            <w:r>
              <w:rPr>
                <w:rFonts w:hint="eastAsia" w:asciiTheme="minorEastAsia" w:hAnsiTheme="minorEastAsia"/>
                <w:szCs w:val="21"/>
              </w:rPr>
              <w:t xml:space="preserve"> </w:t>
            </w:r>
          </w:p>
        </w:tc>
        <w:tc>
          <w:tcPr>
            <w:tcW w:w="8070" w:type="dxa"/>
            <w:gridSpan w:val="10"/>
            <w:vAlign w:val="center"/>
          </w:tcPr>
          <w:p>
            <w:pPr>
              <w:spacing w:line="300" w:lineRule="exact"/>
              <w:ind w:right="-147" w:rightChars="-7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b/>
                <w:color w:val="000000"/>
                <w:kern w:val="0"/>
                <w:szCs w:val="21"/>
              </w:rPr>
              <w:t>A、2980元/人□  B、3980元/人元□  C、5980元/人元□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660" w:type="dxa"/>
          </w:tcPr>
          <w:p>
            <w:pPr>
              <w:spacing w:line="300" w:lineRule="exact"/>
              <w:ind w:right="-147" w:rightChars="-70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/>
                <w:bCs/>
                <w:szCs w:val="21"/>
              </w:rPr>
              <w:t>付款方式</w:t>
            </w:r>
          </w:p>
        </w:tc>
        <w:tc>
          <w:tcPr>
            <w:tcW w:w="4258" w:type="dxa"/>
            <w:gridSpan w:val="3"/>
          </w:tcPr>
          <w:p>
            <w:pPr>
              <w:widowControl/>
              <w:spacing w:line="300" w:lineRule="exact"/>
              <w:ind w:right="-147" w:rightChars="-7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 xml:space="preserve">□通过银行     □通过网银 </w:t>
            </w:r>
          </w:p>
        </w:tc>
        <w:tc>
          <w:tcPr>
            <w:tcW w:w="994" w:type="dxa"/>
            <w:gridSpan w:val="4"/>
          </w:tcPr>
          <w:p>
            <w:pPr>
              <w:widowControl/>
              <w:spacing w:line="300" w:lineRule="exact"/>
              <w:ind w:right="-147" w:rightChars="-7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金额</w:t>
            </w:r>
          </w:p>
        </w:tc>
        <w:tc>
          <w:tcPr>
            <w:tcW w:w="2818" w:type="dxa"/>
            <w:gridSpan w:val="3"/>
          </w:tcPr>
          <w:p>
            <w:pPr>
              <w:widowControl/>
              <w:spacing w:line="300" w:lineRule="exact"/>
              <w:ind w:right="-147" w:rightChars="-70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1660" w:type="dxa"/>
          </w:tcPr>
          <w:p>
            <w:pPr>
              <w:spacing w:line="300" w:lineRule="exact"/>
              <w:ind w:right="-147" w:rightChars="-70"/>
              <w:rPr>
                <w:rFonts w:asciiTheme="minorEastAsia" w:hAnsiTheme="minorEastAsia"/>
                <w:bCs/>
                <w:szCs w:val="21"/>
              </w:rPr>
            </w:pPr>
          </w:p>
          <w:p>
            <w:pPr>
              <w:spacing w:line="300" w:lineRule="exact"/>
              <w:ind w:right="-147" w:rightChars="-70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汇款方式</w:t>
            </w:r>
          </w:p>
        </w:tc>
        <w:tc>
          <w:tcPr>
            <w:tcW w:w="8070" w:type="dxa"/>
            <w:gridSpan w:val="10"/>
          </w:tcPr>
          <w:p>
            <w:pPr>
              <w:spacing w:line="360" w:lineRule="exact"/>
              <w:rPr>
                <w:rFonts w:asciiTheme="minorEastAsia" w:hAnsiTheme="minorEastAsia"/>
                <w:bCs/>
                <w:szCs w:val="21"/>
                <w:lang w:val="zh-CN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户开</w:t>
            </w:r>
            <w:r>
              <w:rPr>
                <w:rFonts w:hint="eastAsia" w:asciiTheme="minorEastAsia" w:hAnsiTheme="minorEastAsia"/>
                <w:bCs/>
                <w:szCs w:val="21"/>
                <w:lang w:val="zh-CN"/>
              </w:rPr>
              <w:t>单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zh-CN"/>
              </w:rPr>
              <w:t>位名称：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北京中建科信信息咨询中心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zh-CN"/>
              </w:rPr>
              <w:t xml:space="preserve"> </w:t>
            </w:r>
          </w:p>
          <w:p>
            <w:pPr>
              <w:spacing w:line="360" w:lineRule="exact"/>
              <w:rPr>
                <w:rFonts w:asciiTheme="minorEastAsia" w:hAnsiTheme="minorEastAsia"/>
                <w:bCs/>
                <w:szCs w:val="21"/>
                <w:lang w:val="zh-CN"/>
              </w:rPr>
            </w:pPr>
            <w:r>
              <w:rPr>
                <w:rFonts w:hint="eastAsia" w:asciiTheme="minorEastAsia" w:hAnsiTheme="minorEastAsia"/>
                <w:bCs/>
                <w:szCs w:val="21"/>
                <w:lang w:val="zh-CN"/>
              </w:rPr>
              <w:t>开</w:t>
            </w:r>
            <w:r>
              <w:rPr>
                <w:rFonts w:hint="eastAsia" w:asciiTheme="minorEastAsia" w:hAnsiTheme="minorEastAsia"/>
                <w:bCs/>
                <w:szCs w:val="21"/>
              </w:rPr>
              <w:t xml:space="preserve"> </w:t>
            </w:r>
            <w:r>
              <w:rPr>
                <w:rFonts w:hint="eastAsia" w:asciiTheme="minorEastAsia" w:hAnsiTheme="minorEastAsia"/>
                <w:bCs/>
                <w:szCs w:val="21"/>
                <w:lang w:val="zh-CN"/>
              </w:rPr>
              <w:t>户</w:t>
            </w:r>
            <w:r>
              <w:rPr>
                <w:rFonts w:hint="eastAsia" w:asciiTheme="minorEastAsia" w:hAnsiTheme="minorEastAsia"/>
                <w:bCs/>
                <w:szCs w:val="21"/>
              </w:rPr>
              <w:t xml:space="preserve"> </w:t>
            </w:r>
            <w:r>
              <w:rPr>
                <w:rFonts w:hint="eastAsia" w:asciiTheme="minorEastAsia" w:hAnsiTheme="minorEastAsia"/>
                <w:bCs/>
                <w:szCs w:val="21"/>
                <w:lang w:val="zh-CN"/>
              </w:rPr>
              <w:t>行：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北京农村商业银行海淀支行</w:t>
            </w:r>
          </w:p>
          <w:p>
            <w:pPr>
              <w:spacing w:line="300" w:lineRule="exact"/>
              <w:rPr>
                <w:rFonts w:cs="仿宋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  <w:lang w:val="zh-CN"/>
              </w:rPr>
              <w:t>账</w:t>
            </w:r>
            <w:r>
              <w:rPr>
                <w:rFonts w:hint="eastAsia" w:asciiTheme="minorEastAsia" w:hAnsiTheme="minorEastAsia"/>
                <w:bCs/>
                <w:szCs w:val="21"/>
              </w:rPr>
              <w:t xml:space="preserve">    </w:t>
            </w:r>
            <w:r>
              <w:rPr>
                <w:rFonts w:hint="eastAsia" w:asciiTheme="minorEastAsia" w:hAnsiTheme="minorEastAsia"/>
                <w:bCs/>
                <w:szCs w:val="21"/>
                <w:lang w:val="zh-CN"/>
              </w:rPr>
              <w:t xml:space="preserve">号： 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0405 0401 0300 0007 362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atLeast"/>
        </w:trPr>
        <w:tc>
          <w:tcPr>
            <w:tcW w:w="1660" w:type="dxa"/>
            <w:vAlign w:val="center"/>
          </w:tcPr>
          <w:p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发票类别</w:t>
            </w:r>
          </w:p>
        </w:tc>
        <w:tc>
          <w:tcPr>
            <w:tcW w:w="8070" w:type="dxa"/>
            <w:gridSpan w:val="10"/>
          </w:tcPr>
          <w:p>
            <w:pPr>
              <w:spacing w:line="300" w:lineRule="exact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增值税（□普通□专用）发票,开票信息如下：</w:t>
            </w:r>
          </w:p>
          <w:p>
            <w:pPr>
              <w:spacing w:line="300" w:lineRule="exact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单 位 名 称：</w:t>
            </w:r>
          </w:p>
          <w:p>
            <w:pPr>
              <w:spacing w:line="300" w:lineRule="exact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税       号：</w:t>
            </w:r>
          </w:p>
          <w:p>
            <w:pPr>
              <w:spacing w:line="300" w:lineRule="exact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地址、 电话：</w:t>
            </w:r>
          </w:p>
          <w:p>
            <w:pPr>
              <w:spacing w:line="300" w:lineRule="exact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开户行、账号：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7" w:hRule="atLeast"/>
        </w:trPr>
        <w:tc>
          <w:tcPr>
            <w:tcW w:w="1660" w:type="dxa"/>
            <w:vAlign w:val="center"/>
          </w:tcPr>
          <w:p>
            <w:pPr>
              <w:spacing w:line="300" w:lineRule="exact"/>
              <w:ind w:right="-147" w:rightChars="-70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备注</w:t>
            </w:r>
          </w:p>
        </w:tc>
        <w:tc>
          <w:tcPr>
            <w:tcW w:w="4950" w:type="dxa"/>
            <w:gridSpan w:val="6"/>
            <w:vAlign w:val="center"/>
          </w:tcPr>
          <w:p>
            <w:pPr>
              <w:spacing w:line="300" w:lineRule="exact"/>
              <w:ind w:right="-147" w:rightChars="-7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ab/>
            </w:r>
            <w:r>
              <w:rPr>
                <w:rFonts w:asciiTheme="minorEastAsia" w:hAnsiTheme="minorEastAsia"/>
                <w:szCs w:val="21"/>
              </w:rPr>
              <w:t>请将参会回执回传或E-mail至会务组，在报名3日内将培训费通过银行或邮局等方式付款，会务组确认到款后即发《参会凭证》，其中将详细注明报到时间、地点、等具体安排事项。各参会代表凭证入场。</w:t>
            </w:r>
          </w:p>
        </w:tc>
        <w:tc>
          <w:tcPr>
            <w:tcW w:w="3120" w:type="dxa"/>
            <w:gridSpan w:val="4"/>
            <w:vAlign w:val="center"/>
          </w:tcPr>
          <w:p>
            <w:pPr>
              <w:spacing w:line="300" w:lineRule="exact"/>
              <w:ind w:right="-147" w:rightChars="-70" w:firstLine="945" w:firstLineChars="45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单位印章</w:t>
            </w:r>
          </w:p>
          <w:p>
            <w:pPr>
              <w:spacing w:line="300" w:lineRule="exact"/>
              <w:ind w:right="-147" w:rightChars="-70" w:firstLine="210" w:firstLineChars="10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2021</w:t>
            </w:r>
            <w:r>
              <w:rPr>
                <w:rFonts w:asciiTheme="minorEastAsia" w:hAnsiTheme="minorEastAsia"/>
                <w:szCs w:val="21"/>
              </w:rPr>
              <w:t>年  月  日</w:t>
            </w:r>
          </w:p>
        </w:tc>
      </w:tr>
    </w:tbl>
    <w:p>
      <w:pPr>
        <w:widowControl/>
        <w:ind w:firstLine="420" w:firstLineChars="200"/>
        <w:rPr>
          <w:rFonts w:cs="仿宋" w:asciiTheme="minorEastAsia" w:hAnsiTheme="minorEastAsia"/>
          <w:kern w:val="0"/>
          <w:szCs w:val="21"/>
        </w:rPr>
      </w:pPr>
      <w:r>
        <w:rPr>
          <w:rFonts w:hint="eastAsia" w:cs="仿宋" w:asciiTheme="minorEastAsia" w:hAnsiTheme="minorEastAsia"/>
          <w:kern w:val="0"/>
          <w:szCs w:val="21"/>
        </w:rPr>
        <w:t>备注：培训班名额有限,请尽早报名，额满为止</w:t>
      </w:r>
    </w:p>
    <w:p>
      <w:pPr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报名负责人：聂红军 主任18211071700（微信）   </w:t>
      </w:r>
    </w:p>
    <w:p>
      <w:pPr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电  话：010-87697580      邮    箱：zqgphwz@126.com  </w:t>
      </w:r>
    </w:p>
    <w:p>
      <w:pPr>
        <w:ind w:firstLine="480" w:firstLineChars="200"/>
        <w:rPr>
          <w:rFonts w:hint="eastAsia" w:ascii="宋体" w:hAnsi="宋体" w:eastAsia="仿宋_GB2312" w:cs="Times New Roman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qq咨询：3177524020        网址查询：http://www.zqgpchina.cn/</w:t>
      </w:r>
    </w:p>
    <w:sectPr>
      <w:footerReference r:id="rId3" w:type="default"/>
      <w:footerReference r:id="rId4" w:type="even"/>
      <w:pgSz w:w="11906" w:h="16838"/>
      <w:pgMar w:top="1440" w:right="1633" w:bottom="144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080F3C52" w:usb2="00000016" w:usb3="00000000" w:csb0="0004001F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altName w:val="楷体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560"/>
      <w:jc w:val="right"/>
      <w:rPr>
        <w:rFonts w:asciiTheme="minorEastAsia" w:hAnsiTheme="minorEastAsia"/>
        <w:sz w:val="28"/>
        <w:szCs w:val="28"/>
      </w:rPr>
    </w:pPr>
    <w:r>
      <w:rPr>
        <w:rFonts w:asciiTheme="minorEastAsia" w:hAnsiTheme="minorEastAsia"/>
        <w:sz w:val="28"/>
        <w:szCs w:val="28"/>
      </w:rPr>
      <w:t>-</w:t>
    </w:r>
    <w:sdt>
      <w:sdtPr>
        <w:rPr>
          <w:rFonts w:asciiTheme="minorEastAsia" w:hAnsiTheme="minorEastAsia"/>
          <w:sz w:val="28"/>
          <w:szCs w:val="28"/>
        </w:rPr>
        <w:id w:val="-757605078"/>
        <w:docPartObj>
          <w:docPartGallery w:val="autotext"/>
        </w:docPartObj>
      </w:sdtPr>
      <w:sdtEndPr>
        <w:rPr>
          <w:rFonts w:asciiTheme="minorEastAsia" w:hAnsiTheme="minorEastAsia"/>
          <w:sz w:val="28"/>
          <w:szCs w:val="28"/>
        </w:rPr>
      </w:sdtEndPr>
      <w:sdtContent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7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asciiTheme="minorEastAsia" w:hAnsiTheme="minorEastAsia"/>
            <w:sz w:val="28"/>
            <w:szCs w:val="28"/>
          </w:rPr>
          <w:t>-</w:t>
        </w:r>
      </w:sdtContent>
    </w:sdt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60" w:firstLineChars="200"/>
    </w:pPr>
    <w:r>
      <w:rPr>
        <w:rFonts w:asciiTheme="minorEastAsia" w:hAnsiTheme="minorEastAsia"/>
        <w:sz w:val="28"/>
        <w:szCs w:val="28"/>
      </w:rPr>
      <w:t>-</w:t>
    </w:r>
    <w:sdt>
      <w:sdtPr>
        <w:rPr>
          <w:rFonts w:asciiTheme="minorEastAsia" w:hAnsiTheme="minorEastAsia"/>
          <w:sz w:val="28"/>
          <w:szCs w:val="28"/>
        </w:rPr>
        <w:id w:val="1922059969"/>
        <w:docPartObj>
          <w:docPartGallery w:val="autotext"/>
        </w:docPartObj>
      </w:sdtPr>
      <w:sdtEndPr>
        <w:rPr>
          <w:rFonts w:asciiTheme="minorEastAsia" w:hAnsiTheme="minorEastAsia"/>
          <w:sz w:val="28"/>
          <w:szCs w:val="28"/>
        </w:rPr>
      </w:sdtEndPr>
      <w:sdtContent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8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asciiTheme="minorEastAsia" w:hAnsiTheme="minorEastAsia"/>
            <w:sz w:val="28"/>
            <w:szCs w:val="28"/>
          </w:rPr>
          <w:t>-</w:t>
        </w:r>
      </w:sdtContent>
    </w:sdt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evenAndOddHeaders w:val="1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66E"/>
    <w:rsid w:val="00024F71"/>
    <w:rsid w:val="0003212F"/>
    <w:rsid w:val="000373A1"/>
    <w:rsid w:val="00064610"/>
    <w:rsid w:val="0008421F"/>
    <w:rsid w:val="000947AD"/>
    <w:rsid w:val="000955E9"/>
    <w:rsid w:val="000A38C7"/>
    <w:rsid w:val="000B7DF0"/>
    <w:rsid w:val="000C457A"/>
    <w:rsid w:val="000C5297"/>
    <w:rsid w:val="000E01E0"/>
    <w:rsid w:val="000F29C2"/>
    <w:rsid w:val="00105383"/>
    <w:rsid w:val="00113776"/>
    <w:rsid w:val="0011752C"/>
    <w:rsid w:val="00117E61"/>
    <w:rsid w:val="001332D2"/>
    <w:rsid w:val="0014712A"/>
    <w:rsid w:val="001559D3"/>
    <w:rsid w:val="00157A78"/>
    <w:rsid w:val="00164DA7"/>
    <w:rsid w:val="00180D47"/>
    <w:rsid w:val="00194EE4"/>
    <w:rsid w:val="001A38C8"/>
    <w:rsid w:val="001E1E5B"/>
    <w:rsid w:val="001F1E9B"/>
    <w:rsid w:val="001F6E29"/>
    <w:rsid w:val="00205C1D"/>
    <w:rsid w:val="00225D57"/>
    <w:rsid w:val="00240FE3"/>
    <w:rsid w:val="00264385"/>
    <w:rsid w:val="00287BEA"/>
    <w:rsid w:val="00292163"/>
    <w:rsid w:val="00296FDA"/>
    <w:rsid w:val="002A37EB"/>
    <w:rsid w:val="002B1C4D"/>
    <w:rsid w:val="002B3830"/>
    <w:rsid w:val="002F1AEA"/>
    <w:rsid w:val="002F713E"/>
    <w:rsid w:val="002F7ECD"/>
    <w:rsid w:val="0033672E"/>
    <w:rsid w:val="00341C73"/>
    <w:rsid w:val="00344318"/>
    <w:rsid w:val="0035199E"/>
    <w:rsid w:val="003606FC"/>
    <w:rsid w:val="00360938"/>
    <w:rsid w:val="003662FA"/>
    <w:rsid w:val="00366727"/>
    <w:rsid w:val="003719AA"/>
    <w:rsid w:val="00387F5F"/>
    <w:rsid w:val="00392BD0"/>
    <w:rsid w:val="00395A8E"/>
    <w:rsid w:val="003969E7"/>
    <w:rsid w:val="003A041E"/>
    <w:rsid w:val="003A0C47"/>
    <w:rsid w:val="003A35B6"/>
    <w:rsid w:val="003B4458"/>
    <w:rsid w:val="00402656"/>
    <w:rsid w:val="004077DA"/>
    <w:rsid w:val="00417C88"/>
    <w:rsid w:val="00423039"/>
    <w:rsid w:val="004441B0"/>
    <w:rsid w:val="00454CD3"/>
    <w:rsid w:val="00456982"/>
    <w:rsid w:val="00465D29"/>
    <w:rsid w:val="00476AA1"/>
    <w:rsid w:val="00481CE7"/>
    <w:rsid w:val="004B4270"/>
    <w:rsid w:val="004C394D"/>
    <w:rsid w:val="004F01E6"/>
    <w:rsid w:val="004F2C45"/>
    <w:rsid w:val="005310F8"/>
    <w:rsid w:val="00562BF9"/>
    <w:rsid w:val="00570FA5"/>
    <w:rsid w:val="005839E7"/>
    <w:rsid w:val="00583C2E"/>
    <w:rsid w:val="00583F7F"/>
    <w:rsid w:val="005D0831"/>
    <w:rsid w:val="005D3674"/>
    <w:rsid w:val="005E020D"/>
    <w:rsid w:val="005E225A"/>
    <w:rsid w:val="005E5E85"/>
    <w:rsid w:val="00614665"/>
    <w:rsid w:val="006336B9"/>
    <w:rsid w:val="00633D70"/>
    <w:rsid w:val="00654880"/>
    <w:rsid w:val="006558CD"/>
    <w:rsid w:val="0066164B"/>
    <w:rsid w:val="00674C2E"/>
    <w:rsid w:val="006B1B56"/>
    <w:rsid w:val="006B6961"/>
    <w:rsid w:val="006D271D"/>
    <w:rsid w:val="006F36A3"/>
    <w:rsid w:val="006F513B"/>
    <w:rsid w:val="00704928"/>
    <w:rsid w:val="00711FD9"/>
    <w:rsid w:val="00720AC5"/>
    <w:rsid w:val="0074227E"/>
    <w:rsid w:val="00764B91"/>
    <w:rsid w:val="00780A01"/>
    <w:rsid w:val="00782DC1"/>
    <w:rsid w:val="007A1FD4"/>
    <w:rsid w:val="007A7A25"/>
    <w:rsid w:val="007A7C14"/>
    <w:rsid w:val="007B3148"/>
    <w:rsid w:val="007C275F"/>
    <w:rsid w:val="007D246C"/>
    <w:rsid w:val="007F689B"/>
    <w:rsid w:val="00801898"/>
    <w:rsid w:val="00824029"/>
    <w:rsid w:val="00830A89"/>
    <w:rsid w:val="00847031"/>
    <w:rsid w:val="00847921"/>
    <w:rsid w:val="008510B7"/>
    <w:rsid w:val="00861430"/>
    <w:rsid w:val="008A2C2B"/>
    <w:rsid w:val="008B085A"/>
    <w:rsid w:val="008C67AF"/>
    <w:rsid w:val="008E2F8C"/>
    <w:rsid w:val="0090452C"/>
    <w:rsid w:val="0091007A"/>
    <w:rsid w:val="009445AA"/>
    <w:rsid w:val="00944FB2"/>
    <w:rsid w:val="00945212"/>
    <w:rsid w:val="0095600C"/>
    <w:rsid w:val="009621A4"/>
    <w:rsid w:val="009653D1"/>
    <w:rsid w:val="009705C6"/>
    <w:rsid w:val="0098338A"/>
    <w:rsid w:val="00990FB6"/>
    <w:rsid w:val="00A024D1"/>
    <w:rsid w:val="00A1769B"/>
    <w:rsid w:val="00A27B3C"/>
    <w:rsid w:val="00A42805"/>
    <w:rsid w:val="00A4498E"/>
    <w:rsid w:val="00A53FD8"/>
    <w:rsid w:val="00A56EA1"/>
    <w:rsid w:val="00A807BF"/>
    <w:rsid w:val="00A810B6"/>
    <w:rsid w:val="00A878A8"/>
    <w:rsid w:val="00A97DE7"/>
    <w:rsid w:val="00AA266E"/>
    <w:rsid w:val="00AA7FA1"/>
    <w:rsid w:val="00AD1B1B"/>
    <w:rsid w:val="00AE4A0F"/>
    <w:rsid w:val="00AF0348"/>
    <w:rsid w:val="00AF08A4"/>
    <w:rsid w:val="00AF521C"/>
    <w:rsid w:val="00B1001F"/>
    <w:rsid w:val="00B1078A"/>
    <w:rsid w:val="00B2107A"/>
    <w:rsid w:val="00B25E8F"/>
    <w:rsid w:val="00B2648A"/>
    <w:rsid w:val="00B44E33"/>
    <w:rsid w:val="00B575A1"/>
    <w:rsid w:val="00B845C6"/>
    <w:rsid w:val="00B87BEA"/>
    <w:rsid w:val="00B91BC1"/>
    <w:rsid w:val="00B93CEF"/>
    <w:rsid w:val="00B9541F"/>
    <w:rsid w:val="00B9606B"/>
    <w:rsid w:val="00BA39BF"/>
    <w:rsid w:val="00BA4CF6"/>
    <w:rsid w:val="00BB1D79"/>
    <w:rsid w:val="00BB39E3"/>
    <w:rsid w:val="00BD30D2"/>
    <w:rsid w:val="00BF30FC"/>
    <w:rsid w:val="00BF64F3"/>
    <w:rsid w:val="00C10D38"/>
    <w:rsid w:val="00C31CA9"/>
    <w:rsid w:val="00C42AE7"/>
    <w:rsid w:val="00C51B8F"/>
    <w:rsid w:val="00C528E7"/>
    <w:rsid w:val="00C5372B"/>
    <w:rsid w:val="00C61719"/>
    <w:rsid w:val="00C83271"/>
    <w:rsid w:val="00CA28ED"/>
    <w:rsid w:val="00CB41AA"/>
    <w:rsid w:val="00CD2943"/>
    <w:rsid w:val="00CE6C0C"/>
    <w:rsid w:val="00CF28FB"/>
    <w:rsid w:val="00CF6A94"/>
    <w:rsid w:val="00D0202B"/>
    <w:rsid w:val="00D02B2D"/>
    <w:rsid w:val="00D03631"/>
    <w:rsid w:val="00D13E37"/>
    <w:rsid w:val="00D44E61"/>
    <w:rsid w:val="00D61E15"/>
    <w:rsid w:val="00D62C2E"/>
    <w:rsid w:val="00D7545D"/>
    <w:rsid w:val="00DA3698"/>
    <w:rsid w:val="00DB60CD"/>
    <w:rsid w:val="00DC71CF"/>
    <w:rsid w:val="00DD7E7A"/>
    <w:rsid w:val="00DE0BC8"/>
    <w:rsid w:val="00DE25D5"/>
    <w:rsid w:val="00DE2E4A"/>
    <w:rsid w:val="00DF2633"/>
    <w:rsid w:val="00DF485E"/>
    <w:rsid w:val="00E03220"/>
    <w:rsid w:val="00E10BA5"/>
    <w:rsid w:val="00E36EA3"/>
    <w:rsid w:val="00E41DF0"/>
    <w:rsid w:val="00E6105E"/>
    <w:rsid w:val="00E63420"/>
    <w:rsid w:val="00E669EC"/>
    <w:rsid w:val="00E729F7"/>
    <w:rsid w:val="00E80983"/>
    <w:rsid w:val="00E81462"/>
    <w:rsid w:val="00E83918"/>
    <w:rsid w:val="00E92057"/>
    <w:rsid w:val="00E924B2"/>
    <w:rsid w:val="00EA27E9"/>
    <w:rsid w:val="00EA6D66"/>
    <w:rsid w:val="00EB7AF5"/>
    <w:rsid w:val="00EE309C"/>
    <w:rsid w:val="00EE7301"/>
    <w:rsid w:val="00EF096C"/>
    <w:rsid w:val="00F13425"/>
    <w:rsid w:val="00F516D5"/>
    <w:rsid w:val="00F57AF8"/>
    <w:rsid w:val="00F6570F"/>
    <w:rsid w:val="00F9559D"/>
    <w:rsid w:val="00FB07DA"/>
    <w:rsid w:val="00FC503D"/>
    <w:rsid w:val="00FD44D1"/>
    <w:rsid w:val="00FD633B"/>
    <w:rsid w:val="01274138"/>
    <w:rsid w:val="01DC5A71"/>
    <w:rsid w:val="01FD1E26"/>
    <w:rsid w:val="021411C1"/>
    <w:rsid w:val="02772895"/>
    <w:rsid w:val="02837296"/>
    <w:rsid w:val="02B855E0"/>
    <w:rsid w:val="02F04D99"/>
    <w:rsid w:val="03354CF9"/>
    <w:rsid w:val="04344AAE"/>
    <w:rsid w:val="06A814E1"/>
    <w:rsid w:val="07C21812"/>
    <w:rsid w:val="07DD22E7"/>
    <w:rsid w:val="08511F63"/>
    <w:rsid w:val="08842BE8"/>
    <w:rsid w:val="0A186000"/>
    <w:rsid w:val="0A7A6AB0"/>
    <w:rsid w:val="0BC658E7"/>
    <w:rsid w:val="0C273F32"/>
    <w:rsid w:val="0C3D09CE"/>
    <w:rsid w:val="0CB554CD"/>
    <w:rsid w:val="0CE14499"/>
    <w:rsid w:val="0CE95A42"/>
    <w:rsid w:val="0F0F0615"/>
    <w:rsid w:val="0F0F6C74"/>
    <w:rsid w:val="0F3B1602"/>
    <w:rsid w:val="10035866"/>
    <w:rsid w:val="12437045"/>
    <w:rsid w:val="13492606"/>
    <w:rsid w:val="134F28E6"/>
    <w:rsid w:val="135D0E7E"/>
    <w:rsid w:val="13757C50"/>
    <w:rsid w:val="14DB2E38"/>
    <w:rsid w:val="14DF3C94"/>
    <w:rsid w:val="16DF5505"/>
    <w:rsid w:val="17753FB5"/>
    <w:rsid w:val="1C1F5D63"/>
    <w:rsid w:val="1CDE3565"/>
    <w:rsid w:val="1F0331CB"/>
    <w:rsid w:val="20096F6B"/>
    <w:rsid w:val="202546AE"/>
    <w:rsid w:val="207936CB"/>
    <w:rsid w:val="21455EA3"/>
    <w:rsid w:val="21C318CE"/>
    <w:rsid w:val="225646B2"/>
    <w:rsid w:val="234E1D64"/>
    <w:rsid w:val="240F73A3"/>
    <w:rsid w:val="24DF4204"/>
    <w:rsid w:val="259008E7"/>
    <w:rsid w:val="25A74A2D"/>
    <w:rsid w:val="25D742D8"/>
    <w:rsid w:val="268238A2"/>
    <w:rsid w:val="26843BF2"/>
    <w:rsid w:val="276E1B82"/>
    <w:rsid w:val="299415ED"/>
    <w:rsid w:val="29C25DEA"/>
    <w:rsid w:val="2AAD2CA8"/>
    <w:rsid w:val="2B7557E8"/>
    <w:rsid w:val="2B8A0228"/>
    <w:rsid w:val="2CF946DA"/>
    <w:rsid w:val="2DE54543"/>
    <w:rsid w:val="2FB61D5E"/>
    <w:rsid w:val="30637F2F"/>
    <w:rsid w:val="30C26FDC"/>
    <w:rsid w:val="32A674C2"/>
    <w:rsid w:val="33023576"/>
    <w:rsid w:val="3392414E"/>
    <w:rsid w:val="33AC082A"/>
    <w:rsid w:val="349F2E29"/>
    <w:rsid w:val="34A63907"/>
    <w:rsid w:val="35017441"/>
    <w:rsid w:val="358827F6"/>
    <w:rsid w:val="36BD2E6E"/>
    <w:rsid w:val="36F47994"/>
    <w:rsid w:val="3715733E"/>
    <w:rsid w:val="3757771A"/>
    <w:rsid w:val="38FE1CA1"/>
    <w:rsid w:val="39ED326F"/>
    <w:rsid w:val="3B135354"/>
    <w:rsid w:val="3B9B3040"/>
    <w:rsid w:val="3CCD58D9"/>
    <w:rsid w:val="3CCF45C1"/>
    <w:rsid w:val="3CEF293B"/>
    <w:rsid w:val="3D0E2B64"/>
    <w:rsid w:val="3D446707"/>
    <w:rsid w:val="3D89093B"/>
    <w:rsid w:val="3F93654E"/>
    <w:rsid w:val="413961F3"/>
    <w:rsid w:val="41753256"/>
    <w:rsid w:val="41927363"/>
    <w:rsid w:val="41FC766A"/>
    <w:rsid w:val="423F6DDA"/>
    <w:rsid w:val="424F2567"/>
    <w:rsid w:val="42C02674"/>
    <w:rsid w:val="4354245E"/>
    <w:rsid w:val="44962F52"/>
    <w:rsid w:val="45063C67"/>
    <w:rsid w:val="462B5932"/>
    <w:rsid w:val="465079FE"/>
    <w:rsid w:val="467B23FB"/>
    <w:rsid w:val="46871B84"/>
    <w:rsid w:val="46AF1669"/>
    <w:rsid w:val="472E11DF"/>
    <w:rsid w:val="474466B3"/>
    <w:rsid w:val="47A72728"/>
    <w:rsid w:val="47CD24AD"/>
    <w:rsid w:val="495046A3"/>
    <w:rsid w:val="4A41400A"/>
    <w:rsid w:val="4B7645CF"/>
    <w:rsid w:val="4BBF011B"/>
    <w:rsid w:val="4C662719"/>
    <w:rsid w:val="4D745D54"/>
    <w:rsid w:val="4E0206C3"/>
    <w:rsid w:val="4EA70318"/>
    <w:rsid w:val="4F5E0C9D"/>
    <w:rsid w:val="52C700C1"/>
    <w:rsid w:val="52E11E39"/>
    <w:rsid w:val="53362575"/>
    <w:rsid w:val="54A53571"/>
    <w:rsid w:val="5532217E"/>
    <w:rsid w:val="561F0412"/>
    <w:rsid w:val="564272F2"/>
    <w:rsid w:val="58D61C05"/>
    <w:rsid w:val="58E77B9F"/>
    <w:rsid w:val="59EC43C7"/>
    <w:rsid w:val="5A5A106D"/>
    <w:rsid w:val="5A6929EF"/>
    <w:rsid w:val="5A936EBF"/>
    <w:rsid w:val="5AFA01FC"/>
    <w:rsid w:val="5B0D3E2B"/>
    <w:rsid w:val="5BC80925"/>
    <w:rsid w:val="5C2B4299"/>
    <w:rsid w:val="5C7B46EE"/>
    <w:rsid w:val="5CFF0F64"/>
    <w:rsid w:val="5D172D67"/>
    <w:rsid w:val="5DEF2358"/>
    <w:rsid w:val="5E04424D"/>
    <w:rsid w:val="5F575D6B"/>
    <w:rsid w:val="5F5857A7"/>
    <w:rsid w:val="5FF25890"/>
    <w:rsid w:val="5FFD4D05"/>
    <w:rsid w:val="60EC0BB6"/>
    <w:rsid w:val="61C854E9"/>
    <w:rsid w:val="62BF49C9"/>
    <w:rsid w:val="653A2763"/>
    <w:rsid w:val="654A5C5E"/>
    <w:rsid w:val="65CE5D1B"/>
    <w:rsid w:val="65E07F97"/>
    <w:rsid w:val="6964776A"/>
    <w:rsid w:val="6A075F49"/>
    <w:rsid w:val="6B00244A"/>
    <w:rsid w:val="6B792C93"/>
    <w:rsid w:val="6C333BE5"/>
    <w:rsid w:val="6D4C589D"/>
    <w:rsid w:val="6DEF0CBA"/>
    <w:rsid w:val="6E02089C"/>
    <w:rsid w:val="6E600301"/>
    <w:rsid w:val="6E646988"/>
    <w:rsid w:val="6FBC351A"/>
    <w:rsid w:val="709B5FB2"/>
    <w:rsid w:val="71C068C6"/>
    <w:rsid w:val="73322EE9"/>
    <w:rsid w:val="738A413A"/>
    <w:rsid w:val="748C6E21"/>
    <w:rsid w:val="766F3F6C"/>
    <w:rsid w:val="76F543EB"/>
    <w:rsid w:val="789E30DE"/>
    <w:rsid w:val="78F25039"/>
    <w:rsid w:val="79DF5B0C"/>
    <w:rsid w:val="79F17394"/>
    <w:rsid w:val="7A0621D4"/>
    <w:rsid w:val="7ABE4530"/>
    <w:rsid w:val="7B4664B0"/>
    <w:rsid w:val="7BA53E87"/>
    <w:rsid w:val="7BA9728C"/>
    <w:rsid w:val="7C72462E"/>
    <w:rsid w:val="7D0D4032"/>
    <w:rsid w:val="7D6B3488"/>
    <w:rsid w:val="7FEF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6"/>
    <w:qFormat/>
    <w:uiPriority w:val="0"/>
    <w:rPr>
      <w:sz w:val="18"/>
      <w:szCs w:val="18"/>
    </w:rPr>
  </w:style>
  <w:style w:type="paragraph" w:styleId="4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rPr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semiHidden/>
    <w:unhideWhenUsed/>
    <w:qFormat/>
    <w:uiPriority w:val="0"/>
    <w:rPr>
      <w:color w:val="0000FF"/>
      <w:u w:val="single"/>
    </w:rPr>
  </w:style>
  <w:style w:type="paragraph" w:customStyle="1" w:styleId="11">
    <w:name w:val="msolistparagraph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2"/>
    </w:rPr>
  </w:style>
  <w:style w:type="paragraph" w:customStyle="1" w:styleId="12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hint="eastAsia" w:ascii="仿宋" w:hAnsi="仿宋" w:eastAsia="宋体" w:cs="Times New Roman"/>
      <w:color w:val="000000"/>
      <w:kern w:val="0"/>
      <w:sz w:val="24"/>
    </w:rPr>
  </w:style>
  <w:style w:type="character" w:customStyle="1" w:styleId="13">
    <w:name w:val="页眉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Char"/>
    <w:basedOn w:val="8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5">
    <w:name w:val="List Paragraph"/>
    <w:basedOn w:val="1"/>
    <w:unhideWhenUsed/>
    <w:qFormat/>
    <w:uiPriority w:val="34"/>
    <w:pPr>
      <w:ind w:firstLine="420" w:firstLineChars="200"/>
    </w:pPr>
  </w:style>
  <w:style w:type="character" w:customStyle="1" w:styleId="16">
    <w:name w:val="批注框文本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NormalCharacter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8">
    <w:name w:val="标题 3 Char"/>
    <w:basedOn w:val="8"/>
    <w:link w:val="2"/>
    <w:qFormat/>
    <w:uiPriority w:val="9"/>
    <w:rPr>
      <w:rFonts w:ascii="宋体" w:hAnsi="宋体" w:eastAsia="宋体" w:cs="宋体"/>
      <w:b/>
      <w:bCs/>
      <w:sz w:val="27"/>
      <w:szCs w:val="27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WORKGROUP</Company>
  <Pages>8</Pages>
  <Words>485</Words>
  <Characters>2765</Characters>
  <Lines>23</Lines>
  <Paragraphs>6</Paragraphs>
  <TotalTime>1</TotalTime>
  <ScaleCrop>false</ScaleCrop>
  <LinksUpToDate>false</LinksUpToDate>
  <CharactersWithSpaces>3244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2020-12-10T06:38:00Z</dcterms:created>
  <dc:creator>zj</dc:creator>
  <cp:lastModifiedBy>Administrator</cp:lastModifiedBy>
  <dcterms:modified xsi:type="dcterms:W3CDTF">2021-11-30T04:03:23Z</dcterms:modified>
  <cp:revision>110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011EB5A804F14B859EBED7817280BDD3</vt:lpwstr>
  </property>
</Properties>
</file>