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jc w:val="center"/>
        <w:rPr>
          <w:rFonts w:hint="eastAsia" w:ascii="仿宋" w:hAnsi="仿宋" w:eastAsia="仿宋" w:cs="仿宋"/>
          <w:b/>
          <w:bCs/>
          <w:color w:val="FF0000"/>
          <w:w w:val="62"/>
          <w:sz w:val="84"/>
          <w:szCs w:val="72"/>
        </w:rPr>
      </w:pPr>
      <w:r>
        <w:rPr>
          <w:rFonts w:hint="eastAsia" w:ascii="仿宋" w:hAnsi="仿宋" w:eastAsia="仿宋" w:cs="仿宋"/>
          <w:b/>
          <w:bCs/>
          <w:color w:val="FF0000"/>
          <w:w w:val="62"/>
          <w:sz w:val="84"/>
          <w:szCs w:val="72"/>
          <w:lang w:val="en-US" w:eastAsia="zh-CN"/>
        </w:rPr>
        <w:t>中国开发区协会投融资专业委员会</w:t>
      </w:r>
      <w:r>
        <w:rPr>
          <w:rFonts w:hint="eastAsia" w:ascii="仿宋" w:hAnsi="仿宋" w:eastAsia="仿宋" w:cs="仿宋"/>
          <w:b/>
          <w:bCs/>
          <w:color w:val="FF0000"/>
          <w:w w:val="62"/>
          <w:sz w:val="84"/>
          <w:szCs w:val="72"/>
        </w:rPr>
        <w:t>文件</w:t>
      </w:r>
    </w:p>
    <w:p>
      <w:pPr>
        <w:autoSpaceDE/>
        <w:autoSpaceDN/>
        <w:jc w:val="center"/>
        <w:rPr>
          <w:rFonts w:hint="eastAsia" w:ascii="仿宋" w:hAnsi="仿宋" w:eastAsia="仿宋" w:cs="仿宋"/>
          <w:sz w:val="32"/>
          <w:szCs w:val="32"/>
        </w:rPr>
      </w:pPr>
      <w:r>
        <w:rPr>
          <w:rFonts w:hint="eastAsia" w:ascii="仿宋" w:hAnsi="仿宋" w:eastAsia="仿宋" w:cs="仿宋"/>
          <w:sz w:val="32"/>
          <w:szCs w:val="32"/>
          <w:lang w:eastAsia="zh-CN"/>
        </w:rPr>
        <w:t>中</w:t>
      </w:r>
      <w:r>
        <w:rPr>
          <w:rFonts w:hint="eastAsia" w:ascii="仿宋" w:hAnsi="仿宋" w:eastAsia="仿宋" w:cs="仿宋"/>
          <w:sz w:val="32"/>
          <w:szCs w:val="32"/>
          <w:lang w:val="en-US" w:eastAsia="zh-CN"/>
        </w:rPr>
        <w:t>开协投融培</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001 </w:t>
      </w:r>
      <w:r>
        <w:rPr>
          <w:rFonts w:hint="eastAsia" w:ascii="仿宋" w:hAnsi="仿宋" w:eastAsia="仿宋" w:cs="仿宋"/>
          <w:sz w:val="32"/>
          <w:szCs w:val="32"/>
        </w:rPr>
        <w:t>号</w:t>
      </w:r>
    </w:p>
    <w:p>
      <w:pPr>
        <w:jc w:val="center"/>
        <w:rPr>
          <w:rFonts w:hint="default" w:ascii="仿宋" w:hAnsi="仿宋" w:eastAsia="仿宋" w:cs="仿宋"/>
          <w:b/>
          <w:bCs/>
          <w:kern w:val="2"/>
          <w:sz w:val="32"/>
          <w:szCs w:val="32"/>
        </w:rPr>
      </w:pPr>
      <w:r>
        <w:rPr>
          <w:rFonts w:hint="default" w:ascii="仿宋" w:hAnsi="仿宋" w:eastAsia="仿宋"/>
          <w:color w:val="000000"/>
          <w:sz w:val="32"/>
          <w:szCs w:val="32"/>
        </w:rPr>
        <w:pict>
          <v:rect id="_x0000_i1025" o:spt="1" style="height:1.5pt;width:415.3pt;" fillcolor="#FF0000" filled="t" stroked="f" coordsize="21600,21600" o:hr="t" o:hrstd="t" o:hrnoshade="t" o:hralign="center">
            <v:path/>
            <v:fill on="t" focussize="0,0"/>
            <v:stroke on="f"/>
            <v:imagedata o:title=""/>
            <o:lock v:ext="edit"/>
            <w10:wrap type="none"/>
            <w10:anchorlock/>
          </v:rect>
        </w:pict>
      </w:r>
    </w:p>
    <w:p>
      <w:pPr>
        <w:autoSpaceDE/>
        <w:autoSpaceDN/>
        <w:adjustRightInd/>
        <w:spacing w:line="410" w:lineRule="exact"/>
        <w:jc w:val="both"/>
        <w:rPr>
          <w:rFonts w:cs="宋体"/>
          <w:b/>
          <w:bCs/>
          <w:kern w:val="2"/>
          <w:sz w:val="36"/>
          <w:szCs w:val="36"/>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val="0"/>
          <w:kern w:val="2"/>
          <w:sz w:val="36"/>
          <w:szCs w:val="36"/>
        </w:rPr>
      </w:pPr>
      <w:r>
        <w:rPr>
          <w:rFonts w:hint="eastAsia" w:ascii="仿宋" w:hAnsi="仿宋" w:eastAsia="仿宋" w:cs="仿宋"/>
          <w:b/>
          <w:bCs w:val="0"/>
          <w:kern w:val="2"/>
          <w:sz w:val="36"/>
          <w:szCs w:val="36"/>
        </w:rPr>
        <w:t>关于举办</w:t>
      </w:r>
      <w:r>
        <w:rPr>
          <w:rFonts w:hint="eastAsia" w:ascii="仿宋" w:hAnsi="仿宋" w:eastAsia="仿宋" w:cs="仿宋"/>
          <w:b/>
          <w:bCs w:val="0"/>
          <w:kern w:val="2"/>
          <w:sz w:val="36"/>
          <w:szCs w:val="36"/>
          <w:lang w:eastAsia="zh-CN"/>
        </w:rPr>
        <w:t>“</w:t>
      </w:r>
      <w:r>
        <w:rPr>
          <w:rFonts w:hint="eastAsia" w:ascii="仿宋" w:hAnsi="仿宋" w:eastAsia="仿宋" w:cs="仿宋"/>
          <w:b/>
          <w:bCs w:val="0"/>
          <w:kern w:val="2"/>
          <w:sz w:val="36"/>
          <w:szCs w:val="36"/>
        </w:rPr>
        <w:t>债务严监管形势下城市更新 片区综合开发</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val="0"/>
          <w:kern w:val="2"/>
          <w:sz w:val="36"/>
          <w:szCs w:val="36"/>
        </w:rPr>
      </w:pPr>
      <w:r>
        <w:rPr>
          <w:rFonts w:hint="eastAsia" w:ascii="仿宋" w:hAnsi="仿宋" w:eastAsia="仿宋" w:cs="仿宋"/>
          <w:b/>
          <w:bCs w:val="0"/>
          <w:kern w:val="2"/>
          <w:sz w:val="36"/>
          <w:szCs w:val="36"/>
        </w:rPr>
        <w:t>‘两新一重’项目谋划与投融资实务培训班</w:t>
      </w:r>
      <w:r>
        <w:rPr>
          <w:rFonts w:hint="eastAsia" w:ascii="仿宋" w:hAnsi="仿宋" w:eastAsia="仿宋" w:cs="仿宋"/>
          <w:b/>
          <w:bCs w:val="0"/>
          <w:kern w:val="2"/>
          <w:sz w:val="36"/>
          <w:szCs w:val="36"/>
          <w:lang w:eastAsia="zh-CN"/>
        </w:rPr>
        <w:t>”</w:t>
      </w:r>
      <w:r>
        <w:rPr>
          <w:rFonts w:hint="eastAsia" w:ascii="仿宋" w:hAnsi="仿宋" w:eastAsia="仿宋" w:cs="仿宋"/>
          <w:b/>
          <w:bCs w:val="0"/>
          <w:kern w:val="2"/>
          <w:sz w:val="36"/>
          <w:szCs w:val="36"/>
        </w:rPr>
        <w:t>的通知</w:t>
      </w:r>
    </w:p>
    <w:p>
      <w:pPr>
        <w:pStyle w:val="11"/>
        <w:spacing w:before="0" w:after="0" w:line="428" w:lineRule="exact"/>
        <w:jc w:val="left"/>
        <w:rPr>
          <w:rFonts w:hint="default" w:ascii="仿宋" w:hAnsi="仿宋" w:eastAsia="仿宋" w:cs="仿宋"/>
          <w:kern w:val="2"/>
        </w:rPr>
      </w:pPr>
    </w:p>
    <w:p>
      <w:pPr>
        <w:pStyle w:val="11"/>
        <w:keepNext w:val="0"/>
        <w:keepLines w:val="0"/>
        <w:pageBreakBefore w:val="0"/>
        <w:widowControl w:val="0"/>
        <w:kinsoku/>
        <w:wordWrap/>
        <w:overflowPunct/>
        <w:topLinePunct w:val="0"/>
        <w:autoSpaceDE w:val="0"/>
        <w:autoSpaceDN w:val="0"/>
        <w:bidi w:val="0"/>
        <w:adjustRightInd w:val="0"/>
        <w:snapToGrid/>
        <w:spacing w:before="0" w:after="0" w:line="440" w:lineRule="exact"/>
        <w:jc w:val="left"/>
        <w:textAlignment w:val="auto"/>
        <w:rPr>
          <w:rFonts w:hint="default" w:ascii="仿宋" w:hAnsi="仿宋" w:eastAsia="仿宋" w:cs="仿宋"/>
          <w:b/>
          <w:bCs w:val="0"/>
          <w:kern w:val="2"/>
          <w:sz w:val="30"/>
          <w:szCs w:val="30"/>
        </w:rPr>
      </w:pPr>
      <w:r>
        <w:rPr>
          <w:rFonts w:ascii="仿宋" w:hAnsi="仿宋" w:eastAsia="仿宋" w:cs="仿宋"/>
          <w:b/>
          <w:bCs w:val="0"/>
          <w:kern w:val="2"/>
          <w:sz w:val="30"/>
          <w:szCs w:val="30"/>
        </w:rPr>
        <w:t>各有关单位:</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00" w:firstLineChars="200"/>
        <w:textAlignment w:val="auto"/>
        <w:rPr>
          <w:rFonts w:hint="eastAsia" w:ascii="仿宋" w:hAnsi="仿宋" w:eastAsia="仿宋" w:cs="仿宋"/>
          <w:color w:val="000000"/>
          <w:sz w:val="30"/>
          <w:szCs w:val="30"/>
          <w:lang w:val="en-US" w:eastAsia="zh-CN"/>
        </w:rPr>
      </w:pPr>
      <w:r>
        <w:rPr>
          <w:rFonts w:ascii="仿宋" w:hAnsi="仿宋" w:eastAsia="仿宋" w:cs="仿宋"/>
          <w:color w:val="000000"/>
          <w:kern w:val="2"/>
          <w:sz w:val="30"/>
          <w:szCs w:val="30"/>
        </w:rPr>
        <w:t>实施城市更新行动是党的十九届五中全会作出的重要决策</w:t>
      </w:r>
      <w:r>
        <w:rPr>
          <w:rFonts w:hint="eastAsia" w:ascii="仿宋" w:hAnsi="仿宋" w:eastAsia="仿宋" w:cs="仿宋"/>
          <w:color w:val="000000"/>
          <w:kern w:val="2"/>
          <w:sz w:val="30"/>
          <w:szCs w:val="30"/>
          <w:lang w:eastAsia="zh-CN"/>
        </w:rPr>
        <w:t>部</w:t>
      </w:r>
      <w:r>
        <w:rPr>
          <w:rFonts w:ascii="仿宋" w:hAnsi="仿宋" w:eastAsia="仿宋" w:cs="仿宋"/>
          <w:color w:val="000000"/>
          <w:kern w:val="2"/>
          <w:sz w:val="30"/>
          <w:szCs w:val="30"/>
        </w:rPr>
        <w:t>署，</w:t>
      </w:r>
      <w:r>
        <w:rPr>
          <w:rFonts w:hint="eastAsia" w:ascii="仿宋" w:hAnsi="仿宋" w:eastAsia="仿宋" w:cs="仿宋"/>
          <w:color w:val="000000"/>
          <w:kern w:val="2"/>
          <w:sz w:val="30"/>
          <w:szCs w:val="30"/>
          <w:lang w:eastAsia="zh-CN"/>
        </w:rPr>
        <w:t>《</w:t>
      </w:r>
      <w:r>
        <w:rPr>
          <w:rFonts w:hint="eastAsia" w:ascii="仿宋" w:hAnsi="仿宋" w:eastAsia="仿宋" w:cs="仿宋"/>
          <w:color w:val="000000"/>
          <w:kern w:val="2"/>
          <w:sz w:val="30"/>
          <w:szCs w:val="30"/>
          <w:lang w:val="en-US" w:eastAsia="zh-CN"/>
        </w:rPr>
        <w:t>国民经济和社会发展第十四个五年规划</w:t>
      </w:r>
      <w:r>
        <w:rPr>
          <w:rFonts w:ascii="仿宋" w:hAnsi="仿宋" w:eastAsia="仿宋" w:cs="仿宋"/>
          <w:color w:val="000000"/>
          <w:kern w:val="2"/>
          <w:sz w:val="30"/>
          <w:szCs w:val="30"/>
        </w:rPr>
        <w:t>和2035年远景目标纲要</w:t>
      </w:r>
      <w:r>
        <w:rPr>
          <w:rFonts w:hint="eastAsia" w:ascii="仿宋" w:hAnsi="仿宋" w:eastAsia="仿宋" w:cs="仿宋"/>
          <w:color w:val="000000"/>
          <w:kern w:val="2"/>
          <w:sz w:val="30"/>
          <w:szCs w:val="30"/>
          <w:lang w:eastAsia="zh-CN"/>
        </w:rPr>
        <w:t>》</w:t>
      </w:r>
      <w:r>
        <w:rPr>
          <w:rFonts w:hint="eastAsia" w:ascii="仿宋" w:hAnsi="仿宋" w:eastAsia="仿宋" w:cs="仿宋"/>
          <w:color w:val="000000"/>
          <w:kern w:val="2"/>
          <w:sz w:val="30"/>
          <w:szCs w:val="30"/>
          <w:lang w:val="en-US" w:eastAsia="zh-CN"/>
        </w:rPr>
        <w:t>也</w:t>
      </w:r>
      <w:r>
        <w:rPr>
          <w:rFonts w:ascii="仿宋" w:hAnsi="仿宋" w:eastAsia="仿宋" w:cs="仿宋"/>
          <w:color w:val="000000"/>
          <w:kern w:val="2"/>
          <w:sz w:val="30"/>
          <w:szCs w:val="30"/>
        </w:rPr>
        <w:t>明确</w:t>
      </w:r>
      <w:r>
        <w:rPr>
          <w:rFonts w:ascii="仿宋" w:hAnsi="仿宋" w:eastAsia="仿宋"/>
          <w:color w:val="000000"/>
          <w:sz w:val="30"/>
          <w:szCs w:val="30"/>
        </w:rPr>
        <w:t>提出</w:t>
      </w:r>
      <w:r>
        <w:rPr>
          <w:rFonts w:ascii="仿宋" w:hAnsi="仿宋" w:eastAsia="仿宋" w:cs="仿宋"/>
          <w:color w:val="000000"/>
          <w:kern w:val="2"/>
          <w:sz w:val="30"/>
          <w:szCs w:val="30"/>
        </w:rPr>
        <w:t>推进既促消费惠民生又调结构增后劲的</w:t>
      </w:r>
      <w:r>
        <w:rPr>
          <w:rFonts w:ascii="仿宋" w:hAnsi="仿宋" w:eastAsia="仿宋" w:cs="仿宋"/>
          <w:color w:val="000000"/>
          <w:sz w:val="30"/>
          <w:szCs w:val="30"/>
        </w:rPr>
        <w:t>新型基础设施、新型城镇化、交通水利等重大工程建设</w:t>
      </w:r>
      <w:r>
        <w:rPr>
          <w:rFonts w:hint="eastAsia" w:ascii="仿宋" w:hAnsi="仿宋" w:eastAsia="仿宋" w:cs="仿宋"/>
          <w:color w:val="000000"/>
          <w:sz w:val="30"/>
          <w:szCs w:val="30"/>
          <w:lang w:eastAsia="zh-CN"/>
        </w:rPr>
        <w:t>，</w:t>
      </w:r>
      <w:r>
        <w:rPr>
          <w:rFonts w:ascii="仿宋" w:hAnsi="仿宋" w:eastAsia="仿宋" w:cs="宋体"/>
          <w:color w:val="000000"/>
          <w:spacing w:val="7"/>
          <w:sz w:val="30"/>
          <w:szCs w:val="30"/>
        </w:rPr>
        <w:t>“两新一重”建设成为我国经济社会发展新热点和重要抓手，</w:t>
      </w:r>
      <w:r>
        <w:rPr>
          <w:rFonts w:ascii="仿宋" w:hAnsi="仿宋" w:eastAsia="仿宋" w:cs="仿宋"/>
          <w:color w:val="000000"/>
          <w:sz w:val="30"/>
          <w:szCs w:val="30"/>
        </w:rPr>
        <w:t>也对构建新发展格局具有重要的现实意义。</w:t>
      </w:r>
      <w:r>
        <w:rPr>
          <w:rFonts w:ascii="仿宋" w:hAnsi="仿宋" w:eastAsia="仿宋"/>
          <w:color w:val="000000"/>
          <w:sz w:val="30"/>
          <w:szCs w:val="30"/>
        </w:rPr>
        <w:t>住房和城乡建设部</w:t>
      </w:r>
      <w:r>
        <w:rPr>
          <w:rFonts w:hint="eastAsia" w:ascii="仿宋" w:hAnsi="仿宋" w:eastAsia="仿宋"/>
          <w:color w:val="000000"/>
          <w:sz w:val="30"/>
          <w:szCs w:val="30"/>
          <w:lang w:val="en-US" w:eastAsia="zh-CN"/>
        </w:rPr>
        <w:t>也</w:t>
      </w:r>
      <w:r>
        <w:rPr>
          <w:rFonts w:hint="eastAsia" w:ascii="仿宋" w:hAnsi="仿宋" w:eastAsia="仿宋"/>
          <w:color w:val="000000"/>
          <w:sz w:val="30"/>
          <w:szCs w:val="30"/>
          <w:lang w:eastAsia="zh-CN"/>
        </w:rPr>
        <w:t>发布</w:t>
      </w:r>
      <w:r>
        <w:rPr>
          <w:rFonts w:hint="eastAsia" w:ascii="仿宋" w:hAnsi="仿宋" w:eastAsia="仿宋"/>
          <w:color w:val="000000"/>
          <w:sz w:val="30"/>
          <w:szCs w:val="30"/>
          <w:lang w:val="en-US" w:eastAsia="zh-CN"/>
        </w:rPr>
        <w:t>了</w:t>
      </w:r>
      <w:r>
        <w:rPr>
          <w:rFonts w:ascii="仿宋" w:hAnsi="仿宋" w:eastAsia="仿宋"/>
          <w:color w:val="000000"/>
          <w:sz w:val="30"/>
          <w:szCs w:val="30"/>
        </w:rPr>
        <w:t>《关于在实施城市更新行动中防止大拆大建问题的通知》，指导各地积极稳妥实施城市更新行动。片区综合开发</w:t>
      </w:r>
      <w:r>
        <w:rPr>
          <w:rFonts w:ascii="仿宋" w:hAnsi="仿宋" w:eastAsia="仿宋" w:cs="仿宋"/>
          <w:color w:val="000000"/>
          <w:sz w:val="30"/>
          <w:szCs w:val="30"/>
        </w:rPr>
        <w:t>投资规模大、包含子项目多、涉及政策法规面广，也会面临诸多风险。近期</w:t>
      </w:r>
      <w:r>
        <w:rPr>
          <w:rStyle w:val="15"/>
          <w:rFonts w:ascii="仿宋" w:hAnsi="仿宋" w:eastAsia="仿宋"/>
          <w:b w:val="0"/>
          <w:color w:val="000000"/>
          <w:sz w:val="30"/>
          <w:szCs w:val="30"/>
        </w:rPr>
        <w:t>相关政策密集出台（</w:t>
      </w:r>
      <w:r>
        <w:rPr>
          <w:rFonts w:ascii="仿宋" w:hAnsi="仿宋" w:eastAsia="仿宋" w:cs="仿宋"/>
          <w:color w:val="000000"/>
          <w:sz w:val="30"/>
          <w:szCs w:val="30"/>
        </w:rPr>
        <w:t>国发〔2021〕5号、银保监发〔2021〕15号、财综〔2021〕19号等）</w:t>
      </w:r>
      <w:r>
        <w:rPr>
          <w:rFonts w:hint="eastAsia" w:ascii="仿宋" w:hAnsi="仿宋" w:eastAsia="仿宋" w:cs="仿宋"/>
          <w:color w:val="000000"/>
          <w:sz w:val="30"/>
          <w:szCs w:val="30"/>
          <w:lang w:eastAsia="zh-CN"/>
        </w:rPr>
        <w:t>，</w:t>
      </w:r>
      <w:r>
        <w:rPr>
          <w:rFonts w:ascii="仿宋" w:hAnsi="仿宋" w:eastAsia="仿宋" w:cs="仿宋"/>
          <w:color w:val="000000"/>
          <w:sz w:val="30"/>
          <w:szCs w:val="30"/>
        </w:rPr>
        <w:t>防范控制政府债务风险</w:t>
      </w:r>
      <w:r>
        <w:rPr>
          <w:rFonts w:hint="eastAsia" w:ascii="仿宋" w:hAnsi="仿宋" w:eastAsia="仿宋" w:cs="仿宋"/>
          <w:color w:val="000000"/>
          <w:sz w:val="30"/>
          <w:szCs w:val="30"/>
          <w:lang w:eastAsia="zh-CN"/>
        </w:rPr>
        <w:t>。</w:t>
      </w:r>
      <w:r>
        <w:rPr>
          <w:rFonts w:ascii="仿宋" w:hAnsi="仿宋" w:eastAsia="仿宋" w:cs="Arial"/>
          <w:color w:val="000000"/>
          <w:sz w:val="30"/>
          <w:szCs w:val="30"/>
          <w:shd w:val="clear" w:color="auto" w:fill="FFFFFF"/>
        </w:rPr>
        <w:t>为此，</w:t>
      </w:r>
      <w:r>
        <w:rPr>
          <w:rFonts w:hint="eastAsia" w:ascii="仿宋" w:hAnsi="仿宋" w:eastAsia="仿宋" w:cs="仿宋"/>
          <w:color w:val="000000" w:themeColor="text1"/>
          <w:sz w:val="30"/>
          <w:szCs w:val="30"/>
          <w:lang w:eastAsia="zh-CN"/>
          <w14:textFill>
            <w14:solidFill>
              <w14:schemeClr w14:val="tx1"/>
            </w14:solidFill>
          </w14:textFill>
        </w:rPr>
        <w:t>中国开发区协会投融资专业委员会联合北京中科</w:t>
      </w:r>
      <w:r>
        <w:rPr>
          <w:rFonts w:hint="eastAsia" w:ascii="仿宋" w:hAnsi="仿宋" w:eastAsia="仿宋" w:cs="仿宋"/>
          <w:color w:val="000000" w:themeColor="text1"/>
          <w:sz w:val="30"/>
          <w:szCs w:val="30"/>
          <w:lang w:val="en-US" w:eastAsia="zh-CN"/>
          <w14:textFill>
            <w14:solidFill>
              <w14:schemeClr w14:val="tx1"/>
            </w14:solidFill>
          </w14:textFill>
        </w:rPr>
        <w:t>领航</w:t>
      </w:r>
      <w:r>
        <w:rPr>
          <w:rFonts w:hint="eastAsia" w:ascii="仿宋" w:hAnsi="仿宋" w:eastAsia="仿宋" w:cs="仿宋"/>
          <w:color w:val="000000" w:themeColor="text1"/>
          <w:sz w:val="30"/>
          <w:szCs w:val="30"/>
          <w:lang w:eastAsia="zh-CN"/>
          <w14:textFill>
            <w14:solidFill>
              <w14:schemeClr w14:val="tx1"/>
            </w14:solidFill>
          </w14:textFill>
        </w:rPr>
        <w:t>教育咨询有限公司联合</w:t>
      </w:r>
      <w:r>
        <w:rPr>
          <w:rFonts w:ascii="仿宋" w:hAnsi="仿宋" w:eastAsia="仿宋" w:cs="仿宋"/>
          <w:color w:val="000000" w:themeColor="text1"/>
          <w:sz w:val="30"/>
          <w:szCs w:val="30"/>
          <w14:textFill>
            <w14:solidFill>
              <w14:schemeClr w14:val="tx1"/>
            </w14:solidFill>
          </w14:textFill>
        </w:rPr>
        <w:t>举办“</w:t>
      </w:r>
      <w:r>
        <w:rPr>
          <w:rFonts w:ascii="仿宋" w:hAnsi="仿宋" w:eastAsia="仿宋" w:cs="仿宋"/>
          <w:color w:val="000000"/>
          <w:sz w:val="30"/>
          <w:szCs w:val="30"/>
        </w:rPr>
        <w:t>债务严监管下城市更新、片区综合开发、‘两新一重’项目谋划与投融资实务培训班”</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现将有关事项通知如下：</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一、组织机构</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rPr>
        <w:t>主办单位：</w:t>
      </w:r>
      <w:r>
        <w:rPr>
          <w:rFonts w:hint="eastAsia" w:ascii="仿宋" w:hAnsi="仿宋" w:eastAsia="仿宋" w:cs="仿宋"/>
          <w:bCs/>
          <w:kern w:val="2"/>
          <w:sz w:val="28"/>
          <w:szCs w:val="28"/>
          <w:lang w:val="en-US" w:eastAsia="zh-CN"/>
        </w:rPr>
        <w:t>中国开发区协会项目投融资专业委员会</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承办单位：北京中科</w:t>
      </w:r>
      <w:r>
        <w:rPr>
          <w:rFonts w:hint="eastAsia" w:ascii="仿宋" w:hAnsi="仿宋" w:eastAsia="仿宋" w:cs="仿宋"/>
          <w:bCs/>
          <w:kern w:val="2"/>
          <w:sz w:val="28"/>
          <w:szCs w:val="28"/>
          <w:lang w:val="en-US" w:eastAsia="zh-CN"/>
        </w:rPr>
        <w:t>领航</w:t>
      </w:r>
      <w:r>
        <w:rPr>
          <w:rFonts w:hint="eastAsia" w:ascii="仿宋" w:hAnsi="仿宋" w:eastAsia="仿宋" w:cs="仿宋"/>
          <w:bCs/>
          <w:kern w:val="2"/>
          <w:sz w:val="28"/>
          <w:szCs w:val="28"/>
        </w:rPr>
        <w:t>教育咨询有限公司</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二、培训内容</w:t>
      </w:r>
    </w:p>
    <w:p>
      <w:pPr>
        <w:keepNext w:val="0"/>
        <w:keepLines w:val="0"/>
        <w:pageBreakBefore w:val="0"/>
        <w:widowControl w:val="0"/>
        <w:numPr>
          <w:ilvl w:val="0"/>
          <w:numId w:val="0"/>
        </w:numPr>
        <w:kinsoku/>
        <w:wordWrap/>
        <w:overflowPunct/>
        <w:topLinePunct w:val="0"/>
        <w:bidi w:val="0"/>
        <w:snapToGrid/>
        <w:spacing w:line="440" w:lineRule="exact"/>
        <w:ind w:firstLine="280" w:firstLineChars="100"/>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1.城市更新、片区开发、“两新一重”政策解读与实务</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2.城市更新与老旧小区改造实务及案例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3.城市更新项目投融资模式及案例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4.城市更新基金应用及案例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5.XOD模式实施城市更新项目及案例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6.“两新一重”建设内容解析与案例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7.“两新一重”建设谋划储备、项目包装及案例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8.片区综合开发投融资模式及案例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9.片区综合开发各类风险及防范</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10.片区综合开发中土地储备与交易及案例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11.地方政府参与片区开发要点及案例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12.城投公司如何参与片区开发（作用）及案例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13.商业银行等金融机构参与片区综合开发</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14.央企、国企参与片区综合开发模式探讨及案例</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三</w:t>
      </w:r>
      <w:r>
        <w:rPr>
          <w:rFonts w:hint="eastAsia" w:ascii="仿宋" w:hAnsi="仿宋" w:eastAsia="仿宋" w:cs="仿宋"/>
          <w:b/>
          <w:bCs/>
          <w:color w:val="000000"/>
          <w:sz w:val="28"/>
          <w:szCs w:val="28"/>
        </w:rPr>
        <w:t>、培训对象</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lang w:val="en-US" w:eastAsia="zh-CN"/>
        </w:rPr>
        <w:t>各</w:t>
      </w:r>
      <w:r>
        <w:rPr>
          <w:rFonts w:hint="eastAsia" w:ascii="仿宋" w:hAnsi="仿宋" w:eastAsia="仿宋" w:cs="仿宋"/>
          <w:bCs/>
          <w:kern w:val="2"/>
          <w:sz w:val="28"/>
          <w:szCs w:val="28"/>
        </w:rPr>
        <w:t>级发改、财政、教育、科技、司法、环保、住建、交通、水利、农业、林草、文旅、卫健、能源等政府职能部门工作人员；城投类平台公司、污水垃圾处理、供水供气供热、仓储物流、新能源、环境保护及建筑施工等行业企业管理人员；银行、证券、基金、信托、保险等金融机构专业人员。</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四</w:t>
      </w:r>
      <w:r>
        <w:rPr>
          <w:rFonts w:hint="eastAsia" w:ascii="仿宋" w:hAnsi="仿宋" w:eastAsia="仿宋" w:cs="仿宋"/>
          <w:b/>
          <w:bCs/>
          <w:color w:val="000000"/>
          <w:sz w:val="28"/>
          <w:szCs w:val="28"/>
        </w:rPr>
        <w:t>、授课专家</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邀请发改、财政、金融及法律等领域</w:t>
      </w:r>
      <w:r>
        <w:rPr>
          <w:rFonts w:hint="eastAsia" w:ascii="仿宋" w:hAnsi="仿宋" w:eastAsia="仿宋" w:cs="仿宋"/>
          <w:bCs/>
          <w:kern w:val="2"/>
          <w:sz w:val="28"/>
          <w:szCs w:val="28"/>
          <w:lang w:eastAsia="zh-CN"/>
        </w:rPr>
        <w:t>的</w:t>
      </w:r>
      <w:r>
        <w:rPr>
          <w:rFonts w:hint="eastAsia" w:ascii="仿宋" w:hAnsi="仿宋" w:eastAsia="仿宋" w:cs="仿宋"/>
          <w:bCs/>
          <w:kern w:val="2"/>
          <w:sz w:val="28"/>
          <w:szCs w:val="28"/>
        </w:rPr>
        <w:t>专家，采用专题讲座、现场答疑、互动交流等形式进行授课。</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五、时间地点</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2022年03月18日—03月21日  重庆市（18日全天报到）</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202</w:t>
      </w:r>
      <w:r>
        <w:rPr>
          <w:rFonts w:hint="eastAsia" w:ascii="仿宋" w:hAnsi="仿宋" w:eastAsia="仿宋" w:cs="仿宋"/>
          <w:bCs/>
          <w:kern w:val="2"/>
          <w:sz w:val="28"/>
          <w:szCs w:val="28"/>
          <w:lang w:val="en-US" w:eastAsia="zh-CN"/>
        </w:rPr>
        <w:t>2</w:t>
      </w:r>
      <w:r>
        <w:rPr>
          <w:rFonts w:hint="eastAsia" w:ascii="仿宋" w:hAnsi="仿宋" w:eastAsia="仿宋" w:cs="仿宋"/>
          <w:bCs/>
          <w:kern w:val="2"/>
          <w:sz w:val="28"/>
          <w:szCs w:val="28"/>
        </w:rPr>
        <w:t>年04月08日—04月11日  郑州市（08日全天报到）</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202</w:t>
      </w:r>
      <w:r>
        <w:rPr>
          <w:rFonts w:hint="eastAsia" w:ascii="仿宋" w:hAnsi="仿宋" w:eastAsia="仿宋" w:cs="仿宋"/>
          <w:bCs/>
          <w:kern w:val="2"/>
          <w:sz w:val="28"/>
          <w:szCs w:val="28"/>
          <w:lang w:val="en-US" w:eastAsia="zh-CN"/>
        </w:rPr>
        <w:t>2</w:t>
      </w:r>
      <w:r>
        <w:rPr>
          <w:rFonts w:hint="eastAsia" w:ascii="仿宋" w:hAnsi="仿宋" w:eastAsia="仿宋" w:cs="仿宋"/>
          <w:bCs/>
          <w:kern w:val="2"/>
          <w:sz w:val="28"/>
          <w:szCs w:val="28"/>
        </w:rPr>
        <w:t>年04月22日—04月25日  成都市（</w:t>
      </w:r>
      <w:r>
        <w:rPr>
          <w:rFonts w:hint="eastAsia" w:ascii="仿宋" w:hAnsi="仿宋" w:eastAsia="仿宋" w:cs="仿宋"/>
          <w:bCs/>
          <w:kern w:val="2"/>
          <w:sz w:val="28"/>
          <w:szCs w:val="28"/>
          <w:lang w:val="en-US" w:eastAsia="zh-CN"/>
        </w:rPr>
        <w:t>22</w:t>
      </w:r>
      <w:r>
        <w:rPr>
          <w:rFonts w:hint="eastAsia" w:ascii="仿宋" w:hAnsi="仿宋" w:eastAsia="仿宋" w:cs="仿宋"/>
          <w:bCs/>
          <w:kern w:val="2"/>
          <w:sz w:val="28"/>
          <w:szCs w:val="28"/>
        </w:rPr>
        <w:t>日全天报到）</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202</w:t>
      </w:r>
      <w:r>
        <w:rPr>
          <w:rFonts w:hint="eastAsia" w:ascii="仿宋" w:hAnsi="仿宋" w:eastAsia="仿宋" w:cs="仿宋"/>
          <w:bCs/>
          <w:kern w:val="2"/>
          <w:sz w:val="28"/>
          <w:szCs w:val="28"/>
          <w:lang w:val="en-US" w:eastAsia="zh-CN"/>
        </w:rPr>
        <w:t>2</w:t>
      </w:r>
      <w:r>
        <w:rPr>
          <w:rFonts w:hint="eastAsia" w:ascii="仿宋" w:hAnsi="仿宋" w:eastAsia="仿宋" w:cs="仿宋"/>
          <w:bCs/>
          <w:kern w:val="2"/>
          <w:sz w:val="28"/>
          <w:szCs w:val="28"/>
        </w:rPr>
        <w:t>年05月13日—05月16日  合肥市（13日全天报到）</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2022年05月27日—05月30日  西安市（27日全天报到）</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
          <w:bCs/>
          <w:color w:val="000000"/>
          <w:sz w:val="28"/>
          <w:szCs w:val="28"/>
          <w:lang w:eastAsia="zh-CN"/>
        </w:rPr>
      </w:pPr>
      <w:r>
        <w:rPr>
          <w:rFonts w:hint="eastAsia" w:ascii="仿宋" w:hAnsi="仿宋" w:eastAsia="仿宋" w:cs="仿宋"/>
          <w:bCs/>
          <w:kern w:val="2"/>
          <w:sz w:val="28"/>
          <w:szCs w:val="28"/>
          <w:lang w:eastAsia="zh-CN"/>
        </w:rPr>
        <w:t>（</w:t>
      </w:r>
      <w:r>
        <w:rPr>
          <w:rFonts w:hint="eastAsia" w:ascii="仿宋" w:hAnsi="仿宋" w:eastAsia="仿宋" w:cs="仿宋"/>
          <w:bCs/>
          <w:kern w:val="2"/>
          <w:sz w:val="28"/>
          <w:szCs w:val="28"/>
          <w:lang w:val="en-US" w:eastAsia="zh-CN"/>
        </w:rPr>
        <w:t>因疫情采取线上线下同步授课，费用不变，线上学员2022年可免费参加线下公开课一次。）</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Cs/>
          <w:kern w:val="2"/>
          <w:sz w:val="28"/>
          <w:szCs w:val="28"/>
        </w:rPr>
      </w:pPr>
      <w:r>
        <w:rPr>
          <w:rFonts w:hint="eastAsia" w:ascii="仿宋" w:hAnsi="仿宋" w:eastAsia="仿宋" w:cs="仿宋"/>
          <w:b/>
          <w:bCs/>
          <w:color w:val="000000"/>
          <w:sz w:val="28"/>
          <w:szCs w:val="28"/>
          <w:lang w:eastAsia="zh-CN"/>
        </w:rPr>
        <w:t>六</w:t>
      </w:r>
      <w:r>
        <w:rPr>
          <w:rFonts w:hint="eastAsia" w:ascii="仿宋" w:hAnsi="仿宋" w:eastAsia="仿宋" w:cs="仿宋"/>
          <w:b/>
          <w:bCs/>
          <w:color w:val="000000"/>
          <w:sz w:val="28"/>
          <w:szCs w:val="28"/>
        </w:rPr>
        <w:t>、</w:t>
      </w:r>
      <w:r>
        <w:rPr>
          <w:rFonts w:hint="eastAsia" w:ascii="仿宋" w:hAnsi="仿宋" w:eastAsia="仿宋" w:cs="仿宋"/>
          <w:b/>
          <w:bCs/>
          <w:color w:val="000000"/>
          <w:sz w:val="28"/>
          <w:szCs w:val="28"/>
          <w:lang w:eastAsia="zh-CN"/>
        </w:rPr>
        <w:t>培训费用</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A.</w:t>
      </w:r>
      <w:r>
        <w:rPr>
          <w:rFonts w:hint="eastAsia" w:ascii="仿宋" w:hAnsi="仿宋" w:eastAsia="仿宋" w:cs="仿宋"/>
          <w:bCs/>
          <w:kern w:val="2"/>
          <w:sz w:val="28"/>
          <w:szCs w:val="28"/>
          <w:lang w:val="en-US" w:eastAsia="zh-CN"/>
        </w:rPr>
        <w:t>3600</w:t>
      </w:r>
      <w:r>
        <w:rPr>
          <w:rFonts w:hint="eastAsia" w:ascii="仿宋" w:hAnsi="仿宋" w:eastAsia="仿宋" w:cs="仿宋"/>
          <w:bCs/>
          <w:kern w:val="2"/>
          <w:sz w:val="28"/>
          <w:szCs w:val="28"/>
        </w:rPr>
        <w:t>元/人（含培训、资料、电子课件、场地</w:t>
      </w:r>
      <w:r>
        <w:rPr>
          <w:rFonts w:hint="eastAsia" w:ascii="仿宋" w:hAnsi="仿宋" w:eastAsia="仿宋" w:cs="仿宋"/>
          <w:bCs/>
          <w:kern w:val="2"/>
          <w:sz w:val="28"/>
          <w:szCs w:val="28"/>
          <w:lang w:eastAsia="zh-CN"/>
        </w:rPr>
        <w:t>费</w:t>
      </w:r>
      <w:r>
        <w:rPr>
          <w:rFonts w:hint="eastAsia" w:ascii="仿宋" w:hAnsi="仿宋" w:eastAsia="仿宋" w:cs="仿宋"/>
          <w:bCs/>
          <w:kern w:val="2"/>
          <w:sz w:val="28"/>
          <w:szCs w:val="28"/>
        </w:rPr>
        <w:t>及培训期间午餐），住宿统一安排，费用自理。</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B.</w:t>
      </w:r>
      <w:r>
        <w:rPr>
          <w:rFonts w:hint="eastAsia" w:ascii="仿宋" w:hAnsi="仿宋" w:eastAsia="仿宋" w:cs="仿宋"/>
          <w:bCs/>
          <w:kern w:val="2"/>
          <w:sz w:val="28"/>
          <w:szCs w:val="28"/>
          <w:lang w:val="en-US" w:eastAsia="zh-CN"/>
        </w:rPr>
        <w:t>560</w:t>
      </w:r>
      <w:r>
        <w:rPr>
          <w:rFonts w:hint="eastAsia" w:ascii="仿宋" w:hAnsi="仿宋" w:eastAsia="仿宋" w:cs="仿宋"/>
          <w:bCs/>
          <w:kern w:val="2"/>
          <w:sz w:val="28"/>
          <w:szCs w:val="28"/>
        </w:rPr>
        <w:t>0元/人（含培训、资料、电子课件、场地</w:t>
      </w:r>
      <w:r>
        <w:rPr>
          <w:rFonts w:hint="eastAsia" w:ascii="仿宋" w:hAnsi="仿宋" w:eastAsia="仿宋" w:cs="仿宋"/>
          <w:bCs/>
          <w:kern w:val="2"/>
          <w:sz w:val="28"/>
          <w:szCs w:val="28"/>
          <w:lang w:eastAsia="zh-CN"/>
        </w:rPr>
        <w:t>费</w:t>
      </w:r>
      <w:r>
        <w:rPr>
          <w:rFonts w:hint="eastAsia" w:ascii="仿宋" w:hAnsi="仿宋" w:eastAsia="仿宋" w:cs="仿宋"/>
          <w:bCs/>
          <w:kern w:val="2"/>
          <w:sz w:val="28"/>
          <w:szCs w:val="28"/>
        </w:rPr>
        <w:t>、证书及培训期间午餐），住宿统一安排，费用自理。培训结束后，经考核合格，由国家职业资格培训鉴定实验基地颁发《投融资分析师》高级证书，证书申报需提供申报表、二寸白底免冠彩色照片（电子版）、身份证复印件、学历证书复印件各一份。</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证书查询：http://www.nptb.org/</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val="en-US" w:eastAsia="zh-CN"/>
        </w:rPr>
        <w:t>七、</w:t>
      </w:r>
      <w:r>
        <w:rPr>
          <w:rFonts w:hint="eastAsia" w:ascii="仿宋" w:hAnsi="仿宋" w:eastAsia="仿宋" w:cs="仿宋"/>
          <w:b/>
          <w:bCs/>
          <w:color w:val="000000"/>
          <w:sz w:val="28"/>
          <w:szCs w:val="28"/>
          <w:lang w:eastAsia="zh-CN"/>
        </w:rPr>
        <w:t>课程权益</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1.同主题课程本人全年免费复训，每次交300元资料费即可；</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2.免费赠送中建科信集团编著的《“两新一重”建设投融资政策解读》专著（中国金融出版社），免费赠送本主题线上视频课程；</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3.免费定期推送各类行业政策新闻及专家解读等相关资讯； </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4.咨询服务9折优惠。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val="en-US" w:eastAsia="zh-CN"/>
        </w:rPr>
        <w:t>八</w:t>
      </w:r>
      <w:r>
        <w:rPr>
          <w:rFonts w:hint="eastAsia" w:ascii="仿宋" w:hAnsi="仿宋" w:eastAsia="仿宋" w:cs="仿宋"/>
          <w:b/>
          <w:bCs/>
          <w:color w:val="000000"/>
          <w:sz w:val="28"/>
          <w:szCs w:val="28"/>
          <w:lang w:eastAsia="zh-CN"/>
        </w:rPr>
        <w:t>、联系方式</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color w:val="auto"/>
          <w:kern w:val="2"/>
          <w:sz w:val="28"/>
          <w:szCs w:val="28"/>
          <w:u w:val="none"/>
        </w:rPr>
      </w:pPr>
      <w:r>
        <w:rPr>
          <w:rFonts w:hint="eastAsia" w:ascii="仿宋" w:hAnsi="仿宋" w:eastAsia="仿宋" w:cs="仿宋"/>
          <w:bCs/>
          <w:color w:val="auto"/>
          <w:kern w:val="2"/>
          <w:sz w:val="28"/>
          <w:szCs w:val="28"/>
          <w:u w:val="none"/>
        </w:rPr>
        <w:t xml:space="preserve">报名负责人：聂红军 主任18211071700（微信）   </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color w:val="auto"/>
          <w:kern w:val="2"/>
          <w:sz w:val="28"/>
          <w:szCs w:val="28"/>
          <w:u w:val="none"/>
        </w:rPr>
      </w:pPr>
      <w:r>
        <w:rPr>
          <w:rFonts w:hint="eastAsia" w:ascii="仿宋" w:hAnsi="仿宋" w:eastAsia="仿宋" w:cs="仿宋"/>
          <w:bCs/>
          <w:color w:val="auto"/>
          <w:kern w:val="2"/>
          <w:sz w:val="28"/>
          <w:szCs w:val="28"/>
          <w:u w:val="none"/>
        </w:rPr>
        <w:t xml:space="preserve">电  话：010-87697580      邮    箱：zqgphwz@126.com  </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color w:val="auto"/>
          <w:kern w:val="2"/>
          <w:sz w:val="28"/>
          <w:szCs w:val="28"/>
          <w:u w:val="none"/>
        </w:rPr>
      </w:pPr>
      <w:r>
        <w:rPr>
          <w:rFonts w:hint="eastAsia" w:ascii="仿宋" w:hAnsi="仿宋" w:eastAsia="仿宋" w:cs="仿宋"/>
          <w:bCs/>
          <w:color w:val="auto"/>
          <w:kern w:val="2"/>
          <w:sz w:val="28"/>
          <w:szCs w:val="28"/>
          <w:u w:val="none"/>
        </w:rPr>
        <w:t>qq咨询：3177524020        网址查询：http://www.zqgpchina.cn/</w:t>
      </w:r>
      <w:r>
        <w:rPr>
          <w:rFonts w:hint="eastAsia" w:ascii="仿宋" w:hAnsi="仿宋" w:eastAsia="仿宋" w:cs="仿宋"/>
          <w:bCs/>
          <w:color w:val="auto"/>
          <w:kern w:val="2"/>
          <w:sz w:val="28"/>
          <w:szCs w:val="28"/>
          <w:u w:val="none"/>
        </w:rPr>
        <w:drawing>
          <wp:anchor distT="0" distB="0" distL="114300" distR="114300" simplePos="0" relativeHeight="251659264" behindDoc="1" locked="0" layoutInCell="1" allowOverlap="1">
            <wp:simplePos x="0" y="0"/>
            <wp:positionH relativeFrom="column">
              <wp:posOffset>2765425</wp:posOffset>
            </wp:positionH>
            <wp:positionV relativeFrom="paragraph">
              <wp:posOffset>396875</wp:posOffset>
            </wp:positionV>
            <wp:extent cx="2343150" cy="2266950"/>
            <wp:effectExtent l="0" t="0" r="0" b="0"/>
            <wp:wrapNone/>
            <wp:docPr id="3" name="图片 3" descr="WPS图片编辑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PS图片编辑4"/>
                    <pic:cNvPicPr>
                      <a:picLocks noChangeAspect="1"/>
                    </pic:cNvPicPr>
                  </pic:nvPicPr>
                  <pic:blipFill>
                    <a:blip r:embed="rId6"/>
                    <a:stretch>
                      <a:fillRect/>
                    </a:stretch>
                  </pic:blipFill>
                  <pic:spPr>
                    <a:xfrm>
                      <a:off x="0" y="0"/>
                      <a:ext cx="2343150" cy="2266950"/>
                    </a:xfrm>
                    <a:prstGeom prst="rect">
                      <a:avLst/>
                    </a:prstGeom>
                  </pic:spPr>
                </pic:pic>
              </a:graphicData>
            </a:graphic>
          </wp:anchor>
        </w:drawing>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600" w:firstLineChars="200"/>
        <w:textAlignment w:val="auto"/>
        <w:rPr>
          <w:rFonts w:hint="eastAsia" w:ascii="仿宋" w:hAnsi="仿宋" w:eastAsia="仿宋"/>
          <w:sz w:val="30"/>
          <w:szCs w:val="30"/>
          <w:lang w:eastAsia="zh-CN"/>
        </w:rPr>
      </w:pPr>
    </w:p>
    <w:p>
      <w:pPr>
        <w:pStyle w:val="5"/>
        <w:keepNext w:val="0"/>
        <w:keepLines w:val="0"/>
        <w:pageBreakBefore w:val="0"/>
        <w:widowControl w:val="0"/>
        <w:kinsoku/>
        <w:wordWrap/>
        <w:overflowPunct/>
        <w:topLinePunct w:val="0"/>
        <w:autoSpaceDE/>
        <w:autoSpaceDN/>
        <w:bidi w:val="0"/>
        <w:adjustRightInd/>
        <w:snapToGrid/>
        <w:spacing w:line="240" w:lineRule="auto"/>
        <w:ind w:firstLine="3300" w:firstLineChars="1100"/>
        <w:textAlignment w:val="auto"/>
        <w:rPr>
          <w:rFonts w:hint="eastAsia" w:ascii="仿宋" w:hAnsi="仿宋" w:eastAsia="仿宋"/>
          <w:sz w:val="30"/>
          <w:szCs w:val="30"/>
          <w:lang w:eastAsia="zh-CN"/>
        </w:rPr>
      </w:pPr>
    </w:p>
    <w:p>
      <w:pPr>
        <w:pStyle w:val="5"/>
        <w:keepNext w:val="0"/>
        <w:keepLines w:val="0"/>
        <w:pageBreakBefore w:val="0"/>
        <w:widowControl w:val="0"/>
        <w:kinsoku/>
        <w:wordWrap/>
        <w:overflowPunct/>
        <w:topLinePunct w:val="0"/>
        <w:autoSpaceDE/>
        <w:autoSpaceDN/>
        <w:bidi w:val="0"/>
        <w:adjustRightInd/>
        <w:snapToGrid/>
        <w:spacing w:line="240" w:lineRule="auto"/>
        <w:ind w:firstLine="3300" w:firstLineChars="1100"/>
        <w:textAlignment w:val="auto"/>
        <w:rPr>
          <w:rFonts w:hint="eastAsia" w:ascii="仿宋" w:hAnsi="仿宋" w:eastAsia="仿宋"/>
          <w:sz w:val="30"/>
          <w:szCs w:val="30"/>
          <w:lang w:eastAsia="zh-CN"/>
        </w:rPr>
      </w:pPr>
    </w:p>
    <w:p>
      <w:pPr>
        <w:pStyle w:val="5"/>
        <w:keepNext w:val="0"/>
        <w:keepLines w:val="0"/>
        <w:pageBreakBefore w:val="0"/>
        <w:widowControl w:val="0"/>
        <w:kinsoku/>
        <w:wordWrap/>
        <w:overflowPunct/>
        <w:topLinePunct w:val="0"/>
        <w:autoSpaceDE/>
        <w:autoSpaceDN/>
        <w:bidi w:val="0"/>
        <w:adjustRightInd/>
        <w:snapToGrid/>
        <w:spacing w:line="440" w:lineRule="exact"/>
        <w:ind w:firstLine="3300" w:firstLineChars="1100"/>
        <w:textAlignment w:val="auto"/>
        <w:rPr>
          <w:rFonts w:hint="eastAsia" w:ascii="仿宋" w:hAnsi="仿宋" w:eastAsia="宋体"/>
          <w:sz w:val="30"/>
          <w:szCs w:val="30"/>
          <w:lang w:val="en-US" w:eastAsia="zh-CN"/>
        </w:rPr>
      </w:pPr>
      <w:r>
        <w:rPr>
          <w:rFonts w:hint="eastAsia" w:ascii="仿宋" w:hAnsi="仿宋" w:eastAsia="仿宋"/>
          <w:sz w:val="30"/>
          <w:szCs w:val="30"/>
          <w:lang w:eastAsia="zh-CN"/>
        </w:rPr>
        <w:t>中国</w:t>
      </w:r>
      <w:r>
        <w:rPr>
          <w:rFonts w:hint="eastAsia" w:ascii="仿宋" w:hAnsi="仿宋" w:eastAsia="仿宋"/>
          <w:sz w:val="30"/>
          <w:szCs w:val="30"/>
          <w:lang w:val="en-US" w:eastAsia="zh-CN"/>
        </w:rPr>
        <w:t>开发区协会投融资专业委员会</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600" w:firstLineChars="200"/>
        <w:textAlignment w:val="auto"/>
        <w:rPr>
          <w:rFonts w:hint="eastAsia" w:ascii="黑体" w:hAnsi="黑体" w:eastAsia="黑体" w:cs="黑体"/>
          <w:sz w:val="28"/>
          <w:szCs w:val="28"/>
          <w:lang w:eastAsia="zh-CN"/>
        </w:rPr>
      </w:pPr>
      <w:r>
        <w:rPr>
          <w:rFonts w:hint="eastAsia" w:ascii="仿宋" w:hAnsi="仿宋" w:eastAsia="仿宋"/>
          <w:sz w:val="30"/>
          <w:szCs w:val="30"/>
          <w:lang w:eastAsia="zh-CN"/>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lang w:eastAsia="zh-CN"/>
        </w:rPr>
        <w:t xml:space="preserve">     </w:t>
      </w:r>
      <w:r>
        <w:rPr>
          <w:rFonts w:hint="eastAsia" w:ascii="仿宋" w:hAnsi="仿宋" w:eastAsia="仿宋"/>
          <w:sz w:val="30"/>
          <w:szCs w:val="30"/>
          <w:lang w:val="en-US" w:eastAsia="zh-CN"/>
        </w:rPr>
        <w:t xml:space="preserve"> 2022</w:t>
      </w:r>
      <w:r>
        <w:rPr>
          <w:rFonts w:hint="eastAsia" w:ascii="仿宋" w:hAnsi="仿宋" w:eastAsia="仿宋"/>
          <w:sz w:val="30"/>
          <w:szCs w:val="30"/>
          <w:lang w:eastAsia="zh-CN"/>
        </w:rPr>
        <w:t>年</w:t>
      </w:r>
      <w:r>
        <w:rPr>
          <w:rFonts w:hint="eastAsia" w:ascii="仿宋" w:hAnsi="仿宋" w:eastAsia="仿宋"/>
          <w:sz w:val="30"/>
          <w:szCs w:val="30"/>
          <w:lang w:val="en-US" w:eastAsia="zh-CN"/>
        </w:rPr>
        <w:t>1月6</w:t>
      </w:r>
      <w:r>
        <w:rPr>
          <w:rFonts w:hint="eastAsia" w:ascii="仿宋" w:hAnsi="仿宋" w:eastAsia="仿宋"/>
          <w:sz w:val="30"/>
          <w:szCs w:val="30"/>
          <w:lang w:eastAsia="zh-CN"/>
        </w:rPr>
        <w:t>日</w:t>
      </w:r>
    </w:p>
    <w:p>
      <w:pPr>
        <w:pStyle w:val="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eastAsia="zh-CN"/>
        </w:rPr>
        <w:t>附件</w:t>
      </w:r>
      <w:r>
        <w:rPr>
          <w:rFonts w:hint="eastAsia" w:ascii="仿宋" w:hAnsi="仿宋" w:eastAsia="仿宋" w:cs="仿宋"/>
          <w:b/>
          <w:bCs/>
          <w:sz w:val="28"/>
          <w:szCs w:val="28"/>
          <w:lang w:val="en-US" w:eastAsia="zh-CN"/>
        </w:rPr>
        <w:t>一、</w:t>
      </w:r>
    </w:p>
    <w:p>
      <w:pPr>
        <w:pStyle w:val="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sz w:val="28"/>
          <w:szCs w:val="28"/>
          <w:lang w:eastAsia="zh-CN"/>
        </w:rPr>
      </w:pPr>
      <w:r>
        <w:rPr>
          <w:rFonts w:hint="eastAsia" w:ascii="仿宋" w:hAnsi="仿宋" w:eastAsia="仿宋" w:cs="仿宋"/>
          <w:b/>
          <w:bCs/>
          <w:sz w:val="28"/>
          <w:szCs w:val="28"/>
          <w:lang w:eastAsia="zh-CN"/>
        </w:rPr>
        <w:t>培训内容</w:t>
      </w:r>
    </w:p>
    <w:p>
      <w:pPr>
        <w:keepNext w:val="0"/>
        <w:keepLines w:val="0"/>
        <w:pageBreakBefore w:val="0"/>
        <w:widowControl w:val="0"/>
        <w:numPr>
          <w:ilvl w:val="0"/>
          <w:numId w:val="0"/>
        </w:numPr>
        <w:kinsoku/>
        <w:wordWrap/>
        <w:overflowPunct/>
        <w:topLinePunct w:val="0"/>
        <w:bidi w:val="0"/>
        <w:snapToGrid/>
        <w:spacing w:line="440" w:lineRule="exact"/>
        <w:ind w:firstLine="280" w:firstLineChars="100"/>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eastAsia="zh-CN"/>
        </w:rPr>
        <w:t>（一）</w:t>
      </w:r>
      <w:r>
        <w:rPr>
          <w:rFonts w:hint="eastAsia" w:ascii="仿宋" w:hAnsi="仿宋" w:eastAsia="仿宋" w:cs="仿宋"/>
          <w:bCs/>
          <w:kern w:val="2"/>
          <w:sz w:val="28"/>
          <w:szCs w:val="28"/>
          <w:lang w:val="en-US" w:eastAsia="zh-CN"/>
        </w:rPr>
        <w:t>城市更新、片区开发、“两新一重”政策解读与实务</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168" w:rightChars="-70" w:firstLine="400" w:firstLineChars="0"/>
        <w:jc w:val="left"/>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《国务院关于进一步深化预算管理制度改革意见》（国发〔2021〕5号）解读</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《银行保险机构进一步做好地方政府隐性债务风险防范化解工作的指导意见》（银保监发〔2021〕15号）解读</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《关于将国有土地使用权出让收入、四项政府非税收入划转税务部门征收有关问题的通知》（财综〔2021〕19号）解读</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《土地征收成片开发标准（试行）》的通知（自然资规〔2020〕5号）解读</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《2021年新型城镇化和城乡融合发展重点任务》（发改规划〔2021〕493号）内容解读</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《关于在实施城市更新行动中防止大拆大建问题的通知》（建科〔2021〕63号）解读</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5" w:leftChars="0" w:right="-168" w:rightChars="-70" w:hanging="425"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地方省市新出台城市更新政策相关内容解读</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（二）城市更新与老旧小区改造实务及案例</w:t>
      </w:r>
    </w:p>
    <w:p>
      <w:pPr>
        <w:keepNext w:val="0"/>
        <w:keepLines w:val="0"/>
        <w:pageBreakBefore w:val="0"/>
        <w:widowControl w:val="0"/>
        <w:numPr>
          <w:ilvl w:val="0"/>
          <w:numId w:val="3"/>
        </w:numPr>
        <w:tabs>
          <w:tab w:val="clear" w:pos="420"/>
        </w:tabs>
        <w:kinsoku/>
        <w:wordWrap/>
        <w:overflowPunct/>
        <w:topLinePunct w:val="0"/>
        <w:autoSpaceDE/>
        <w:autoSpaceDN/>
        <w:bidi w:val="0"/>
        <w:adjustRightInd/>
        <w:snapToGrid/>
        <w:spacing w:line="440" w:lineRule="exact"/>
        <w:ind w:left="845" w:leftChars="0" w:right="-168" w:rightChars="-70" w:hanging="425"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城市更新的拆迁类、改建类、整治类内容解析</w:t>
      </w:r>
    </w:p>
    <w:p>
      <w:pPr>
        <w:keepNext w:val="0"/>
        <w:keepLines w:val="0"/>
        <w:pageBreakBefore w:val="0"/>
        <w:widowControl w:val="0"/>
        <w:numPr>
          <w:ilvl w:val="0"/>
          <w:numId w:val="3"/>
        </w:numPr>
        <w:tabs>
          <w:tab w:val="clear" w:pos="420"/>
        </w:tabs>
        <w:kinsoku/>
        <w:wordWrap/>
        <w:overflowPunct/>
        <w:topLinePunct w:val="0"/>
        <w:autoSpaceDE/>
        <w:autoSpaceDN/>
        <w:bidi w:val="0"/>
        <w:adjustRightInd/>
        <w:snapToGrid/>
        <w:spacing w:line="440" w:lineRule="exact"/>
        <w:ind w:left="845" w:leftChars="0" w:right="-168" w:rightChars="-70" w:hanging="425"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城市更新实施主体的确定方式及实例</w:t>
      </w:r>
      <w:r>
        <w:rPr>
          <w:rFonts w:hint="eastAsia" w:ascii="仿宋" w:hAnsi="仿宋" w:eastAsia="仿宋" w:cs="仿宋"/>
          <w:bCs/>
          <w:kern w:val="2"/>
          <w:sz w:val="28"/>
          <w:szCs w:val="28"/>
          <w:lang w:val="en-US" w:eastAsia="zh-CN"/>
        </w:rPr>
        <w:tab/>
      </w:r>
    </w:p>
    <w:p>
      <w:pPr>
        <w:keepNext w:val="0"/>
        <w:keepLines w:val="0"/>
        <w:pageBreakBefore w:val="0"/>
        <w:widowControl w:val="0"/>
        <w:numPr>
          <w:ilvl w:val="0"/>
          <w:numId w:val="3"/>
        </w:numPr>
        <w:tabs>
          <w:tab w:val="clear" w:pos="420"/>
        </w:tabs>
        <w:kinsoku/>
        <w:wordWrap/>
        <w:overflowPunct/>
        <w:topLinePunct w:val="0"/>
        <w:autoSpaceDE/>
        <w:autoSpaceDN/>
        <w:bidi w:val="0"/>
        <w:adjustRightInd/>
        <w:snapToGrid/>
        <w:spacing w:line="440" w:lineRule="exact"/>
        <w:ind w:left="845" w:leftChars="0" w:right="-168" w:rightChars="-70" w:hanging="425"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城市更新村改、城改和厂改实施方式及案例</w:t>
      </w:r>
    </w:p>
    <w:p>
      <w:pPr>
        <w:keepNext w:val="0"/>
        <w:keepLines w:val="0"/>
        <w:pageBreakBefore w:val="0"/>
        <w:widowControl w:val="0"/>
        <w:numPr>
          <w:ilvl w:val="0"/>
          <w:numId w:val="3"/>
        </w:numPr>
        <w:tabs>
          <w:tab w:val="clear" w:pos="420"/>
        </w:tabs>
        <w:kinsoku/>
        <w:wordWrap/>
        <w:overflowPunct/>
        <w:topLinePunct w:val="0"/>
        <w:autoSpaceDE/>
        <w:autoSpaceDN/>
        <w:bidi w:val="0"/>
        <w:adjustRightInd/>
        <w:snapToGrid/>
        <w:spacing w:line="440" w:lineRule="exact"/>
        <w:ind w:left="845" w:leftChars="0" w:right="-168" w:rightChars="-70" w:hanging="425"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城市更新项目计划立项和专项规划报批</w:t>
      </w:r>
    </w:p>
    <w:p>
      <w:pPr>
        <w:keepNext w:val="0"/>
        <w:keepLines w:val="0"/>
        <w:pageBreakBefore w:val="0"/>
        <w:widowControl w:val="0"/>
        <w:numPr>
          <w:ilvl w:val="0"/>
          <w:numId w:val="3"/>
        </w:numPr>
        <w:tabs>
          <w:tab w:val="clear" w:pos="420"/>
        </w:tabs>
        <w:kinsoku/>
        <w:wordWrap/>
        <w:overflowPunct/>
        <w:topLinePunct w:val="0"/>
        <w:autoSpaceDE/>
        <w:autoSpaceDN/>
        <w:bidi w:val="0"/>
        <w:adjustRightInd/>
        <w:snapToGrid/>
        <w:spacing w:line="440" w:lineRule="exact"/>
        <w:ind w:left="845" w:leftChars="0" w:right="-168" w:rightChars="-70" w:hanging="425"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老旧小区改造投资平衡方式及典型案例分析</w:t>
      </w:r>
    </w:p>
    <w:p>
      <w:pPr>
        <w:keepNext w:val="0"/>
        <w:keepLines w:val="0"/>
        <w:pageBreakBefore w:val="0"/>
        <w:widowControl w:val="0"/>
        <w:numPr>
          <w:ilvl w:val="0"/>
          <w:numId w:val="3"/>
        </w:numPr>
        <w:tabs>
          <w:tab w:val="clear" w:pos="420"/>
        </w:tabs>
        <w:kinsoku/>
        <w:wordWrap/>
        <w:overflowPunct/>
        <w:topLinePunct w:val="0"/>
        <w:autoSpaceDE/>
        <w:autoSpaceDN/>
        <w:bidi w:val="0"/>
        <w:adjustRightInd/>
        <w:snapToGrid/>
        <w:spacing w:line="440" w:lineRule="exact"/>
        <w:ind w:left="845" w:leftChars="0" w:right="-168" w:rightChars="-70" w:hanging="425"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城市更新项目融资方式及案例</w:t>
      </w:r>
    </w:p>
    <w:p>
      <w:pPr>
        <w:keepNext w:val="0"/>
        <w:keepLines w:val="0"/>
        <w:pageBreakBefore w:val="0"/>
        <w:widowControl w:val="0"/>
        <w:numPr>
          <w:ilvl w:val="0"/>
          <w:numId w:val="3"/>
        </w:numPr>
        <w:tabs>
          <w:tab w:val="clear" w:pos="420"/>
        </w:tabs>
        <w:kinsoku/>
        <w:wordWrap/>
        <w:overflowPunct/>
        <w:topLinePunct w:val="0"/>
        <w:autoSpaceDE/>
        <w:autoSpaceDN/>
        <w:bidi w:val="0"/>
        <w:adjustRightInd/>
        <w:snapToGrid/>
        <w:spacing w:line="440" w:lineRule="exact"/>
        <w:ind w:left="845" w:leftChars="0" w:right="-168" w:rightChars="-70" w:hanging="425"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社会资本参与城市更新模式及案例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(三)城市更新项目投融资模式及案例</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845" w:leftChars="0" w:right="-168" w:rightChars="-70" w:hanging="425"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项目代建制应用及案例</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845" w:leftChars="0" w:right="-168" w:rightChars="-70" w:hanging="425"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授权开发的ABO模式及案例</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845" w:leftChars="0" w:right="-168" w:rightChars="-70" w:hanging="425"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PPP模式及开发性PPP模式在城市更新的应用及案例</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845" w:leftChars="0" w:right="-168" w:rightChars="-70" w:hanging="425"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特许经营模式在城市更新的应用及案例</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845" w:leftChars="0" w:right="-168" w:rightChars="-70" w:hanging="425"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特许经营与PPP模式差异点分析</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845" w:leftChars="0" w:right="-168" w:rightChars="-70" w:hanging="425"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政府购买服务的合理应用及案例</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845" w:leftChars="0" w:right="-168" w:rightChars="-70" w:hanging="425"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投资人+EPC模式应用分析及案例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(四)城市更新基金应用及案例</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城市更新基金设立模式及案例</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上海、天津、无锡等城市更新基金设立方式</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城市更新基金解决片区开发资金困境方式及案例</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城市更新基金解决部分征地拆迁安置补偿费及案例</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片区开发以施工企业出资与工程量设立基金运作及案例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(五)XOD模式实施城市更新项目及案例</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XOD模式的内涵、特点及发展理念</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XOD模式下基础设施和城市土地一体化开发利用及案例</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XOD模式投资回报机制及土地增值溢价反哺的设置</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XOD模式怎样解决钱、地、人及产业（从哪里来）</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某市园博园项目“BOT+EPC+RC+XOD”模式案例</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在城市更新推行XOD面临主要障碍及应对措施</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(六)“两新一重”建设内容解析与案例</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基础设施投资下滑与“两新一重”建设</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“两新一重”建设内容解析及案例分析</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“两新一重”建设与片区综合开发实务</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“两新一重”建设资金构成分析与社会资本投资</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新基建项目风险性和回报率之股债融资关系及案例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(七)“两新一重”建设谋划储备、项目包装及案例</w:t>
      </w:r>
    </w:p>
    <w:p>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“两新一重”建设的前期谋划</w:t>
      </w:r>
    </w:p>
    <w:p>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“两新一重”建设采用的投融资模式及可行性</w:t>
      </w:r>
    </w:p>
    <w:p>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政府立项与平台公司立项的项目优势分析</w:t>
      </w:r>
    </w:p>
    <w:p>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土地资源利用及资金筹集</w:t>
      </w:r>
    </w:p>
    <w:p>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立项程序及政府采购程序解析及案例</w:t>
      </w:r>
    </w:p>
    <w:p>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项目建设中政府隐性债务的规避措施</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(八)片区综合开发投融资模式及案例</w:t>
      </w:r>
    </w:p>
    <w:p>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PPP模式在片区综合开发应用存在短板及案例</w:t>
      </w:r>
    </w:p>
    <w:p>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政府授权国企与投资者合作模式</w:t>
      </w:r>
    </w:p>
    <w:p>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ABO模式自身存在的短板及缓释措施与案例</w:t>
      </w:r>
    </w:p>
    <w:p>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地方政府对国有企业政策及资源支持途径及案例</w:t>
      </w:r>
    </w:p>
    <w:p>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投资人+EPC模式合规性与违规性分析及片区包装设计</w:t>
      </w:r>
    </w:p>
    <w:p>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投资人+EPC模式所涉及资产归属及回报机制设计</w:t>
      </w:r>
    </w:p>
    <w:p>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right="-168" w:rightChars="-70" w:firstLine="400" w:firstLineChars="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封闭运作、滚动开发、自求平衡模式解析及架构图分析</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(九)片区综合开发各类风险及防范</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1.片区开发合规性的风险</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（1）避免增加政府债务</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（2）授权开发模式的合规性</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（3）项目本身的合规性</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2.项目可融资性风险</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（1）交易结构设置问题带来融资不确定性</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（2）项目组合性质不合理带来融资不确定性</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（3）存在违反财预〔2017〕50号文及银保监发〔2021〕15号文的情形</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3.项目投资风险</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（1）缺乏前期投资资金平衡方案有效分析</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（2）单纯依靠土地出让收入为回款来源而盲目上马项目</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（3）土地一二级联动未能实现对项目投资带来不确定性</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4.政府方付费的风险</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（1）政府未能按与实施主体协议约定足额付费</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（2）受土地指标或土地出让金未达到预期收益</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（3）政府挪用土地出让金未能及时返还给实施主体</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（4）因受审计限制未能及时付款风险</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5.项目运营风险</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(十)片区综合开发中土地储备与交易及案例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1.怎样理解不得以预期土地出让收入作为偿债资金来源的融资</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2.土地出让金作为片区开发支出与土地预期出让收入界定</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3.土地储备（一级开发）主要环节解析</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4.土地储备中两类主体分析及案例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5.土地储备中一、二级开发联动探讨及案例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6.土地储备中购买服务和采购工程及案例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7.土地储备中的不合规模式及案例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8.拆迁安置及前期开发资金解决方式探讨及案例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(十一)地方政府参与片区开发要点及案例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1.地方政府如何规范授权国企成为实施主体及案例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2.地方政府如何合规利用财政资金对片区开发补贴</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3.地方政府对片区产业招商、税收增量实施财政奖励</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4.地方政府专项债券怎样支持片区项目及案例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5.地方政府如何对实施主体建立绩效机制及案例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(十二)城投公司如何参与片区开发（作用）及案例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1.城投公司能通过政府授权获得项目业主或实施主体吗</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2.城投公司怎样参与前期土地拆迁、收储及注意的问题</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3.城投公司怎样选择投资人，公开招标关键环节及问题</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4.城投公司的项目立项，资产所属及项目公司设立</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5.前期拆迁款、安置费、补偿款解决的几种方式</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6.片区开发中资产归属及资产转移问题探讨</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(十三)商业银行等金融机构参与片区综合开发</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1.金融机构支持实体经济发展相关政策解读</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2.15号文之后，商业银行如何介入城市更新项目？</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3.商业银行参与片区开发子项目建设</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4.片区综合开发收益性与贷款可行性</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5.片区中公益性项目与土地出让金平衡方式风险点</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6.投资人+EPC模式后期融资及政府贷款贴息</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(十四)央企、国企参与片区综合开发模式探讨及案例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1.开发型PPP模式在片区综合开发应用与案例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2.企业主导片区综合开发模式分析及案例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3.如何寻求政府财政合规的支持、支持途径及案例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4.“庞大项目”资本金的筹集渠道及合规性问题</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5.政府对片区项目补贴方式、补贴类型及范围</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6.如何争取地方政府专项债券对项目支持及案例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hAnsi="仿宋" w:cs="仿宋"/>
          <w:bCs/>
          <w:kern w:val="2"/>
          <w:sz w:val="28"/>
          <w:szCs w:val="28"/>
          <w:lang w:eastAsia="zh-CN"/>
        </w:rPr>
      </w:pPr>
      <w:r>
        <w:rPr>
          <w:rFonts w:hint="eastAsia" w:ascii="仿宋" w:hAnsi="仿宋" w:eastAsia="仿宋" w:cs="仿宋"/>
          <w:bCs/>
          <w:kern w:val="2"/>
          <w:sz w:val="28"/>
          <w:szCs w:val="28"/>
          <w:lang w:val="en-US" w:eastAsia="zh-CN"/>
        </w:rPr>
        <w:t>7.近期央企、国企投资开工片区开发案例分析</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color w:val="auto"/>
          <w:kern w:val="2"/>
          <w:sz w:val="28"/>
          <w:szCs w:val="28"/>
          <w:u w:val="none"/>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right="-168" w:rightChars="-70"/>
        <w:jc w:val="both"/>
        <w:textAlignment w:val="auto"/>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附件二、</w:t>
      </w:r>
    </w:p>
    <w:p>
      <w:pPr>
        <w:keepNext w:val="0"/>
        <w:keepLines w:val="0"/>
        <w:pageBreakBefore w:val="0"/>
        <w:widowControl w:val="0"/>
        <w:kinsoku/>
        <w:wordWrap/>
        <w:overflowPunct/>
        <w:topLinePunct w:val="0"/>
        <w:autoSpaceDE/>
        <w:autoSpaceDN/>
        <w:bidi w:val="0"/>
        <w:adjustRightInd/>
        <w:snapToGrid/>
        <w:spacing w:line="480" w:lineRule="exact"/>
        <w:ind w:right="-168" w:rightChars="-70"/>
        <w:jc w:val="center"/>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w:t>
      </w:r>
      <w:r>
        <w:rPr>
          <w:rFonts w:hint="eastAsia" w:ascii="仿宋" w:hAnsi="仿宋" w:eastAsia="仿宋" w:cs="仿宋"/>
          <w:b/>
          <w:sz w:val="28"/>
          <w:szCs w:val="28"/>
        </w:rPr>
        <w:t>债务严监管形势下城市更新 片区综合开发</w:t>
      </w:r>
    </w:p>
    <w:p>
      <w:pPr>
        <w:keepNext w:val="0"/>
        <w:keepLines w:val="0"/>
        <w:pageBreakBefore w:val="0"/>
        <w:widowControl w:val="0"/>
        <w:kinsoku/>
        <w:wordWrap/>
        <w:overflowPunct/>
        <w:topLinePunct w:val="0"/>
        <w:autoSpaceDE/>
        <w:autoSpaceDN/>
        <w:bidi w:val="0"/>
        <w:adjustRightInd/>
        <w:snapToGrid/>
        <w:spacing w:line="480" w:lineRule="exact"/>
        <w:ind w:right="-168" w:rightChars="-70"/>
        <w:jc w:val="center"/>
        <w:textAlignment w:val="auto"/>
        <w:rPr>
          <w:rFonts w:hint="eastAsia" w:ascii="仿宋" w:hAnsi="仿宋" w:eastAsia="仿宋" w:cs="仿宋"/>
          <w:b/>
          <w:sz w:val="28"/>
          <w:szCs w:val="28"/>
        </w:rPr>
      </w:pPr>
      <w:r>
        <w:rPr>
          <w:rFonts w:hint="eastAsia" w:ascii="仿宋" w:hAnsi="仿宋" w:eastAsia="仿宋" w:cs="仿宋"/>
          <w:b/>
          <w:sz w:val="28"/>
          <w:szCs w:val="28"/>
        </w:rPr>
        <w:t>‘两新一重’项目谋划与投融资实务培训班</w:t>
      </w:r>
      <w:r>
        <w:rPr>
          <w:rFonts w:hint="eastAsia" w:ascii="仿宋" w:hAnsi="仿宋" w:eastAsia="仿宋" w:cs="仿宋"/>
          <w:b/>
          <w:sz w:val="28"/>
          <w:szCs w:val="28"/>
          <w:lang w:val="en-US" w:eastAsia="zh-CN"/>
        </w:rPr>
        <w:t>”</w:t>
      </w:r>
      <w:r>
        <w:rPr>
          <w:rFonts w:hint="eastAsia" w:ascii="仿宋" w:hAnsi="仿宋" w:eastAsia="仿宋" w:cs="仿宋"/>
          <w:b/>
          <w:sz w:val="28"/>
          <w:szCs w:val="28"/>
        </w:rPr>
        <w:t>报名回执表</w:t>
      </w:r>
    </w:p>
    <w:tbl>
      <w:tblPr>
        <w:tblStyle w:val="13"/>
        <w:tblpPr w:leftFromText="180" w:rightFromText="180" w:vertAnchor="text" w:horzAnchor="page" w:tblpX="1259" w:tblpY="290"/>
        <w:tblOverlap w:val="never"/>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016"/>
        <w:gridCol w:w="1117"/>
        <w:gridCol w:w="1986"/>
        <w:gridCol w:w="1155"/>
        <w:gridCol w:w="125"/>
        <w:gridCol w:w="707"/>
        <w:gridCol w:w="134"/>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665" w:type="dxa"/>
            <w:vAlign w:val="center"/>
          </w:tcPr>
          <w:p>
            <w:pPr>
              <w:spacing w:line="440" w:lineRule="exact"/>
              <w:ind w:right="-168" w:rightChars="-70"/>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5399" w:type="dxa"/>
            <w:gridSpan w:val="5"/>
            <w:vAlign w:val="center"/>
          </w:tcPr>
          <w:p>
            <w:pPr>
              <w:spacing w:line="440" w:lineRule="exact"/>
              <w:ind w:right="-168" w:rightChars="-70"/>
              <w:jc w:val="center"/>
              <w:rPr>
                <w:rFonts w:hint="eastAsia" w:ascii="仿宋" w:hAnsi="仿宋" w:eastAsia="仿宋" w:cs="仿宋"/>
                <w:sz w:val="24"/>
                <w:szCs w:val="24"/>
              </w:rPr>
            </w:pPr>
          </w:p>
        </w:tc>
        <w:tc>
          <w:tcPr>
            <w:tcW w:w="841" w:type="dxa"/>
            <w:gridSpan w:val="2"/>
            <w:vAlign w:val="center"/>
          </w:tcPr>
          <w:p>
            <w:pPr>
              <w:spacing w:line="440" w:lineRule="exact"/>
              <w:ind w:right="-168" w:rightChars="-70"/>
              <w:rPr>
                <w:rFonts w:hint="eastAsia" w:ascii="仿宋" w:hAnsi="仿宋" w:eastAsia="仿宋" w:cs="仿宋"/>
                <w:sz w:val="24"/>
                <w:szCs w:val="24"/>
              </w:rPr>
            </w:pPr>
            <w:r>
              <w:rPr>
                <w:rFonts w:hint="eastAsia" w:ascii="仿宋" w:hAnsi="仿宋" w:eastAsia="仿宋" w:cs="仿宋"/>
                <w:sz w:val="24"/>
                <w:szCs w:val="24"/>
              </w:rPr>
              <w:t>邮</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编</w:t>
            </w:r>
          </w:p>
        </w:tc>
        <w:tc>
          <w:tcPr>
            <w:tcW w:w="1854" w:type="dxa"/>
            <w:vAlign w:val="center"/>
          </w:tcPr>
          <w:p>
            <w:pPr>
              <w:spacing w:line="440" w:lineRule="exact"/>
              <w:ind w:right="-168" w:rightChars="-70" w:firstLine="96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665" w:type="dxa"/>
            <w:vAlign w:val="center"/>
          </w:tcPr>
          <w:p>
            <w:pPr>
              <w:spacing w:line="440" w:lineRule="exact"/>
              <w:ind w:right="-168" w:rightChars="-70"/>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8094" w:type="dxa"/>
            <w:gridSpan w:val="8"/>
            <w:vAlign w:val="center"/>
          </w:tcPr>
          <w:p>
            <w:pPr>
              <w:spacing w:line="440" w:lineRule="exact"/>
              <w:ind w:right="-168" w:rightChars="-70" w:firstLine="96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65" w:type="dxa"/>
            <w:vAlign w:val="center"/>
          </w:tcPr>
          <w:p>
            <w:pPr>
              <w:spacing w:line="440" w:lineRule="exact"/>
              <w:ind w:right="-168" w:rightChars="-70"/>
              <w:jc w:val="center"/>
              <w:rPr>
                <w:rFonts w:hint="eastAsia" w:ascii="仿宋" w:hAnsi="仿宋" w:eastAsia="仿宋" w:cs="仿宋"/>
                <w:sz w:val="24"/>
                <w:szCs w:val="24"/>
              </w:rPr>
            </w:pPr>
            <w:r>
              <w:rPr>
                <w:rFonts w:hint="eastAsia" w:ascii="仿宋" w:hAnsi="仿宋" w:eastAsia="仿宋" w:cs="仿宋"/>
                <w:sz w:val="24"/>
                <w:szCs w:val="24"/>
              </w:rPr>
              <w:t>联</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系</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人</w:t>
            </w:r>
          </w:p>
        </w:tc>
        <w:tc>
          <w:tcPr>
            <w:tcW w:w="2133" w:type="dxa"/>
            <w:gridSpan w:val="2"/>
            <w:vAlign w:val="center"/>
          </w:tcPr>
          <w:p>
            <w:pPr>
              <w:spacing w:line="440" w:lineRule="exact"/>
              <w:ind w:right="-168" w:rightChars="-70" w:firstLine="960"/>
              <w:rPr>
                <w:rFonts w:hint="eastAsia" w:ascii="仿宋" w:hAnsi="仿宋" w:eastAsia="仿宋" w:cs="仿宋"/>
                <w:sz w:val="24"/>
                <w:szCs w:val="24"/>
              </w:rPr>
            </w:pPr>
          </w:p>
        </w:tc>
        <w:tc>
          <w:tcPr>
            <w:tcW w:w="3266" w:type="dxa"/>
            <w:gridSpan w:val="3"/>
            <w:vAlign w:val="center"/>
          </w:tcPr>
          <w:p>
            <w:pPr>
              <w:spacing w:line="440" w:lineRule="exact"/>
              <w:ind w:right="-168" w:rightChars="-70"/>
              <w:jc w:val="center"/>
              <w:rPr>
                <w:rFonts w:hint="eastAsia" w:ascii="仿宋" w:hAnsi="仿宋" w:eastAsia="仿宋" w:cs="仿宋"/>
                <w:sz w:val="24"/>
                <w:szCs w:val="24"/>
              </w:rPr>
            </w:pPr>
            <w:r>
              <w:rPr>
                <w:rFonts w:hint="eastAsia" w:ascii="仿宋" w:hAnsi="仿宋" w:eastAsia="仿宋" w:cs="仿宋"/>
                <w:sz w:val="24"/>
                <w:szCs w:val="24"/>
              </w:rPr>
              <w:t>部门职务</w:t>
            </w:r>
          </w:p>
        </w:tc>
        <w:tc>
          <w:tcPr>
            <w:tcW w:w="2695" w:type="dxa"/>
            <w:gridSpan w:val="3"/>
            <w:vAlign w:val="center"/>
          </w:tcPr>
          <w:p>
            <w:pPr>
              <w:spacing w:line="440" w:lineRule="exact"/>
              <w:ind w:right="-168" w:rightChars="-70" w:firstLine="96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665" w:type="dxa"/>
            <w:vAlign w:val="center"/>
          </w:tcPr>
          <w:p>
            <w:pPr>
              <w:spacing w:line="440" w:lineRule="exact"/>
              <w:ind w:right="-168" w:rightChars="-70"/>
              <w:jc w:val="center"/>
              <w:rPr>
                <w:rFonts w:hint="eastAsia" w:ascii="仿宋" w:hAnsi="仿宋" w:eastAsia="仿宋" w:cs="仿宋"/>
                <w:sz w:val="24"/>
                <w:szCs w:val="24"/>
              </w:rPr>
            </w:pPr>
            <w:r>
              <w:rPr>
                <w:rFonts w:hint="eastAsia" w:ascii="仿宋" w:hAnsi="仿宋" w:eastAsia="仿宋" w:cs="仿宋"/>
                <w:sz w:val="24"/>
                <w:szCs w:val="24"/>
              </w:rPr>
              <w:t>办公电话</w:t>
            </w:r>
          </w:p>
        </w:tc>
        <w:tc>
          <w:tcPr>
            <w:tcW w:w="2133" w:type="dxa"/>
            <w:gridSpan w:val="2"/>
            <w:vAlign w:val="center"/>
          </w:tcPr>
          <w:p>
            <w:pPr>
              <w:spacing w:line="440" w:lineRule="exact"/>
              <w:ind w:right="-168" w:rightChars="-70"/>
              <w:rPr>
                <w:rFonts w:hint="eastAsia" w:ascii="仿宋" w:hAnsi="仿宋" w:eastAsia="仿宋" w:cs="仿宋"/>
                <w:sz w:val="24"/>
                <w:szCs w:val="24"/>
              </w:rPr>
            </w:pPr>
          </w:p>
        </w:tc>
        <w:tc>
          <w:tcPr>
            <w:tcW w:w="3266" w:type="dxa"/>
            <w:gridSpan w:val="3"/>
            <w:vAlign w:val="center"/>
          </w:tcPr>
          <w:p>
            <w:pPr>
              <w:spacing w:line="440" w:lineRule="exact"/>
              <w:ind w:right="-168" w:rightChars="-70"/>
              <w:jc w:val="center"/>
              <w:rPr>
                <w:rFonts w:hint="eastAsia" w:ascii="仿宋" w:hAnsi="仿宋" w:eastAsia="仿宋" w:cs="仿宋"/>
                <w:sz w:val="24"/>
                <w:szCs w:val="24"/>
              </w:rPr>
            </w:pPr>
            <w:r>
              <w:rPr>
                <w:rFonts w:hint="eastAsia" w:ascii="仿宋" w:hAnsi="仿宋" w:eastAsia="仿宋" w:cs="仿宋"/>
                <w:sz w:val="24"/>
                <w:szCs w:val="24"/>
              </w:rPr>
              <w:t>手    机</w:t>
            </w:r>
          </w:p>
        </w:tc>
        <w:tc>
          <w:tcPr>
            <w:tcW w:w="2695" w:type="dxa"/>
            <w:gridSpan w:val="3"/>
            <w:vAlign w:val="center"/>
          </w:tcPr>
          <w:p>
            <w:pPr>
              <w:spacing w:line="440" w:lineRule="exact"/>
              <w:ind w:right="-168" w:rightChars="-70" w:firstLine="96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665" w:type="dxa"/>
            <w:vAlign w:val="center"/>
          </w:tcPr>
          <w:p>
            <w:pPr>
              <w:spacing w:line="440" w:lineRule="exact"/>
              <w:ind w:right="-168" w:rightChars="-70"/>
              <w:jc w:val="center"/>
              <w:rPr>
                <w:rFonts w:hint="eastAsia" w:ascii="仿宋" w:hAnsi="仿宋" w:eastAsia="仿宋" w:cs="仿宋"/>
                <w:sz w:val="24"/>
                <w:szCs w:val="24"/>
              </w:rPr>
            </w:pPr>
            <w:r>
              <w:rPr>
                <w:rFonts w:hint="eastAsia" w:ascii="仿宋" w:hAnsi="仿宋" w:eastAsia="仿宋" w:cs="仿宋"/>
                <w:sz w:val="24"/>
                <w:szCs w:val="24"/>
              </w:rPr>
              <w:t xml:space="preserve">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真</w:t>
            </w:r>
          </w:p>
        </w:tc>
        <w:tc>
          <w:tcPr>
            <w:tcW w:w="2133" w:type="dxa"/>
            <w:gridSpan w:val="2"/>
            <w:vAlign w:val="center"/>
          </w:tcPr>
          <w:p>
            <w:pPr>
              <w:spacing w:line="440" w:lineRule="exact"/>
              <w:ind w:right="-168" w:rightChars="-70"/>
              <w:rPr>
                <w:rFonts w:hint="eastAsia" w:ascii="仿宋" w:hAnsi="仿宋" w:eastAsia="仿宋" w:cs="仿宋"/>
                <w:sz w:val="24"/>
                <w:szCs w:val="24"/>
              </w:rPr>
            </w:pPr>
          </w:p>
        </w:tc>
        <w:tc>
          <w:tcPr>
            <w:tcW w:w="3266" w:type="dxa"/>
            <w:gridSpan w:val="3"/>
            <w:vAlign w:val="center"/>
          </w:tcPr>
          <w:p>
            <w:pPr>
              <w:spacing w:line="440" w:lineRule="exact"/>
              <w:ind w:right="-168" w:rightChars="-70"/>
              <w:jc w:val="center"/>
              <w:rPr>
                <w:rFonts w:hint="eastAsia" w:ascii="仿宋" w:hAnsi="仿宋" w:eastAsia="仿宋" w:cs="仿宋"/>
                <w:sz w:val="24"/>
                <w:szCs w:val="24"/>
              </w:rPr>
            </w:pPr>
            <w:r>
              <w:rPr>
                <w:rFonts w:hint="eastAsia" w:ascii="仿宋" w:hAnsi="仿宋" w:eastAsia="仿宋" w:cs="仿宋"/>
                <w:sz w:val="24"/>
                <w:szCs w:val="24"/>
              </w:rPr>
              <w:t>电子信箱</w:t>
            </w:r>
          </w:p>
        </w:tc>
        <w:tc>
          <w:tcPr>
            <w:tcW w:w="2695" w:type="dxa"/>
            <w:gridSpan w:val="3"/>
            <w:vAlign w:val="center"/>
          </w:tcPr>
          <w:p>
            <w:pPr>
              <w:spacing w:line="440" w:lineRule="exact"/>
              <w:ind w:right="-168" w:rightChars="-70" w:firstLine="96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665" w:type="dxa"/>
            <w:vAlign w:val="center"/>
          </w:tcPr>
          <w:p>
            <w:pPr>
              <w:spacing w:line="440" w:lineRule="exact"/>
              <w:ind w:right="-168" w:rightChars="-70"/>
              <w:jc w:val="center"/>
              <w:rPr>
                <w:rFonts w:hint="eastAsia" w:ascii="仿宋" w:hAnsi="仿宋" w:eastAsia="仿宋" w:cs="仿宋"/>
                <w:sz w:val="24"/>
                <w:szCs w:val="24"/>
              </w:rPr>
            </w:pPr>
            <w:r>
              <w:rPr>
                <w:rFonts w:hint="eastAsia" w:ascii="仿宋" w:hAnsi="仿宋" w:eastAsia="仿宋" w:cs="仿宋"/>
                <w:sz w:val="24"/>
                <w:szCs w:val="24"/>
              </w:rPr>
              <w:t>参训人员</w:t>
            </w:r>
          </w:p>
        </w:tc>
        <w:tc>
          <w:tcPr>
            <w:tcW w:w="1016" w:type="dxa"/>
            <w:vAlign w:val="center"/>
          </w:tcPr>
          <w:p>
            <w:pPr>
              <w:spacing w:line="440" w:lineRule="exact"/>
              <w:ind w:right="-168" w:rightChars="-70"/>
              <w:jc w:val="center"/>
              <w:rPr>
                <w:rFonts w:hint="eastAsia" w:ascii="仿宋" w:hAnsi="仿宋" w:eastAsia="仿宋" w:cs="仿宋"/>
                <w:sz w:val="24"/>
                <w:szCs w:val="24"/>
              </w:rPr>
            </w:pPr>
            <w:r>
              <w:rPr>
                <w:rFonts w:hint="eastAsia" w:ascii="仿宋" w:hAnsi="仿宋" w:eastAsia="仿宋" w:cs="仿宋"/>
                <w:sz w:val="24"/>
                <w:szCs w:val="24"/>
              </w:rPr>
              <w:t>性</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别</w:t>
            </w:r>
          </w:p>
        </w:tc>
        <w:tc>
          <w:tcPr>
            <w:tcW w:w="1117" w:type="dxa"/>
            <w:vAlign w:val="center"/>
          </w:tcPr>
          <w:p>
            <w:pPr>
              <w:spacing w:line="440" w:lineRule="exact"/>
              <w:ind w:right="-168" w:rightChars="-70"/>
              <w:jc w:val="center"/>
              <w:rPr>
                <w:rFonts w:hint="eastAsia" w:ascii="仿宋" w:hAnsi="仿宋" w:eastAsia="仿宋" w:cs="仿宋"/>
                <w:sz w:val="24"/>
                <w:szCs w:val="24"/>
              </w:rPr>
            </w:pPr>
            <w:r>
              <w:rPr>
                <w:rFonts w:hint="eastAsia" w:ascii="仿宋" w:hAnsi="仿宋" w:eastAsia="仿宋" w:cs="仿宋"/>
                <w:sz w:val="24"/>
                <w:szCs w:val="24"/>
              </w:rPr>
              <w:t>职</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务</w:t>
            </w:r>
          </w:p>
        </w:tc>
        <w:tc>
          <w:tcPr>
            <w:tcW w:w="1986" w:type="dxa"/>
            <w:vAlign w:val="center"/>
          </w:tcPr>
          <w:p>
            <w:pPr>
              <w:spacing w:line="440" w:lineRule="exact"/>
              <w:ind w:right="-168" w:rightChars="-70"/>
              <w:jc w:val="center"/>
              <w:rPr>
                <w:rFonts w:hint="eastAsia" w:ascii="仿宋" w:hAnsi="仿宋" w:eastAsia="仿宋" w:cs="仿宋"/>
                <w:sz w:val="24"/>
                <w:szCs w:val="24"/>
              </w:rPr>
            </w:pPr>
            <w:r>
              <w:rPr>
                <w:rFonts w:hint="eastAsia" w:ascii="仿宋" w:hAnsi="仿宋" w:eastAsia="仿宋" w:cs="仿宋"/>
                <w:sz w:val="24"/>
                <w:szCs w:val="24"/>
              </w:rPr>
              <w:t>电</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话</w:t>
            </w:r>
          </w:p>
        </w:tc>
        <w:tc>
          <w:tcPr>
            <w:tcW w:w="1987" w:type="dxa"/>
            <w:gridSpan w:val="3"/>
            <w:vAlign w:val="center"/>
          </w:tcPr>
          <w:p>
            <w:pPr>
              <w:spacing w:line="440" w:lineRule="exact"/>
              <w:ind w:right="-168" w:rightChars="-70"/>
              <w:jc w:val="center"/>
              <w:rPr>
                <w:rFonts w:hint="eastAsia" w:ascii="仿宋" w:hAnsi="仿宋" w:eastAsia="仿宋" w:cs="仿宋"/>
                <w:sz w:val="24"/>
                <w:szCs w:val="24"/>
              </w:rPr>
            </w:pPr>
            <w:r>
              <w:rPr>
                <w:rFonts w:hint="eastAsia" w:ascii="仿宋" w:hAnsi="仿宋" w:eastAsia="仿宋" w:cs="仿宋"/>
                <w:sz w:val="24"/>
                <w:szCs w:val="24"/>
              </w:rPr>
              <w:t>手</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机</w:t>
            </w:r>
          </w:p>
        </w:tc>
        <w:tc>
          <w:tcPr>
            <w:tcW w:w="1988" w:type="dxa"/>
            <w:gridSpan w:val="2"/>
            <w:vAlign w:val="center"/>
          </w:tcPr>
          <w:p>
            <w:pPr>
              <w:spacing w:line="440" w:lineRule="exact"/>
              <w:ind w:right="-168" w:rightChars="-70"/>
              <w:jc w:val="center"/>
              <w:rPr>
                <w:rFonts w:hint="eastAsia" w:ascii="仿宋" w:hAnsi="仿宋" w:eastAsia="仿宋" w:cs="仿宋"/>
                <w:sz w:val="24"/>
                <w:szCs w:val="24"/>
              </w:rPr>
            </w:pPr>
            <w:r>
              <w:rPr>
                <w:rFonts w:hint="eastAsia" w:ascii="仿宋" w:hAnsi="仿宋" w:eastAsia="仿宋" w:cs="仿宋"/>
                <w:sz w:val="24"/>
                <w:szCs w:val="24"/>
              </w:rPr>
              <w:t>邮</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65" w:type="dxa"/>
            <w:vAlign w:val="center"/>
          </w:tcPr>
          <w:p>
            <w:pPr>
              <w:spacing w:line="440" w:lineRule="exact"/>
              <w:ind w:right="-168" w:rightChars="-70"/>
              <w:rPr>
                <w:rFonts w:hint="eastAsia" w:ascii="仿宋" w:hAnsi="仿宋" w:eastAsia="仿宋" w:cs="仿宋"/>
                <w:sz w:val="24"/>
                <w:szCs w:val="24"/>
              </w:rPr>
            </w:pPr>
          </w:p>
        </w:tc>
        <w:tc>
          <w:tcPr>
            <w:tcW w:w="1016" w:type="dxa"/>
            <w:vAlign w:val="center"/>
          </w:tcPr>
          <w:p>
            <w:pPr>
              <w:spacing w:line="440" w:lineRule="exact"/>
              <w:ind w:right="-168" w:rightChars="-70"/>
              <w:rPr>
                <w:rFonts w:hint="eastAsia" w:ascii="仿宋" w:hAnsi="仿宋" w:eastAsia="仿宋" w:cs="仿宋"/>
                <w:sz w:val="24"/>
                <w:szCs w:val="24"/>
              </w:rPr>
            </w:pPr>
          </w:p>
        </w:tc>
        <w:tc>
          <w:tcPr>
            <w:tcW w:w="1117" w:type="dxa"/>
            <w:vAlign w:val="center"/>
          </w:tcPr>
          <w:p>
            <w:pPr>
              <w:spacing w:line="440" w:lineRule="exact"/>
              <w:ind w:right="-168" w:rightChars="-70"/>
              <w:rPr>
                <w:rFonts w:hint="eastAsia" w:ascii="仿宋" w:hAnsi="仿宋" w:eastAsia="仿宋" w:cs="仿宋"/>
                <w:sz w:val="24"/>
                <w:szCs w:val="24"/>
              </w:rPr>
            </w:pPr>
          </w:p>
        </w:tc>
        <w:tc>
          <w:tcPr>
            <w:tcW w:w="1986" w:type="dxa"/>
            <w:vAlign w:val="center"/>
          </w:tcPr>
          <w:p>
            <w:pPr>
              <w:spacing w:line="440" w:lineRule="exact"/>
              <w:ind w:right="-168" w:rightChars="-70"/>
              <w:rPr>
                <w:rFonts w:hint="eastAsia" w:ascii="仿宋" w:hAnsi="仿宋" w:eastAsia="仿宋" w:cs="仿宋"/>
                <w:sz w:val="24"/>
                <w:szCs w:val="24"/>
              </w:rPr>
            </w:pPr>
          </w:p>
        </w:tc>
        <w:tc>
          <w:tcPr>
            <w:tcW w:w="1987" w:type="dxa"/>
            <w:gridSpan w:val="3"/>
            <w:vAlign w:val="center"/>
          </w:tcPr>
          <w:p>
            <w:pPr>
              <w:spacing w:line="440" w:lineRule="exact"/>
              <w:ind w:right="-168" w:rightChars="-70"/>
              <w:rPr>
                <w:rFonts w:hint="eastAsia" w:ascii="仿宋" w:hAnsi="仿宋" w:eastAsia="仿宋" w:cs="仿宋"/>
                <w:sz w:val="24"/>
                <w:szCs w:val="24"/>
              </w:rPr>
            </w:pPr>
          </w:p>
        </w:tc>
        <w:tc>
          <w:tcPr>
            <w:tcW w:w="1988" w:type="dxa"/>
            <w:gridSpan w:val="2"/>
            <w:vAlign w:val="center"/>
          </w:tcPr>
          <w:p>
            <w:pPr>
              <w:spacing w:line="440" w:lineRule="exact"/>
              <w:ind w:right="-168" w:rightChars="-7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665" w:type="dxa"/>
            <w:vAlign w:val="center"/>
          </w:tcPr>
          <w:p>
            <w:pPr>
              <w:spacing w:line="440" w:lineRule="exact"/>
              <w:ind w:right="-168" w:rightChars="-70"/>
              <w:rPr>
                <w:rFonts w:hint="eastAsia" w:ascii="仿宋" w:hAnsi="仿宋" w:eastAsia="仿宋" w:cs="仿宋"/>
                <w:sz w:val="24"/>
                <w:szCs w:val="24"/>
              </w:rPr>
            </w:pPr>
          </w:p>
        </w:tc>
        <w:tc>
          <w:tcPr>
            <w:tcW w:w="1016" w:type="dxa"/>
            <w:vAlign w:val="center"/>
          </w:tcPr>
          <w:p>
            <w:pPr>
              <w:spacing w:line="440" w:lineRule="exact"/>
              <w:ind w:right="-168" w:rightChars="-70"/>
              <w:rPr>
                <w:rFonts w:hint="eastAsia" w:ascii="仿宋" w:hAnsi="仿宋" w:eastAsia="仿宋" w:cs="仿宋"/>
                <w:sz w:val="24"/>
                <w:szCs w:val="24"/>
              </w:rPr>
            </w:pPr>
          </w:p>
        </w:tc>
        <w:tc>
          <w:tcPr>
            <w:tcW w:w="1117" w:type="dxa"/>
            <w:vAlign w:val="center"/>
          </w:tcPr>
          <w:p>
            <w:pPr>
              <w:spacing w:line="440" w:lineRule="exact"/>
              <w:ind w:right="-168" w:rightChars="-70"/>
              <w:rPr>
                <w:rFonts w:hint="eastAsia" w:ascii="仿宋" w:hAnsi="仿宋" w:eastAsia="仿宋" w:cs="仿宋"/>
                <w:sz w:val="24"/>
                <w:szCs w:val="24"/>
              </w:rPr>
            </w:pPr>
          </w:p>
        </w:tc>
        <w:tc>
          <w:tcPr>
            <w:tcW w:w="1986" w:type="dxa"/>
            <w:vAlign w:val="center"/>
          </w:tcPr>
          <w:p>
            <w:pPr>
              <w:spacing w:line="440" w:lineRule="exact"/>
              <w:ind w:right="-168" w:rightChars="-70"/>
              <w:rPr>
                <w:rFonts w:hint="eastAsia" w:ascii="仿宋" w:hAnsi="仿宋" w:eastAsia="仿宋" w:cs="仿宋"/>
                <w:sz w:val="24"/>
                <w:szCs w:val="24"/>
              </w:rPr>
            </w:pPr>
          </w:p>
        </w:tc>
        <w:tc>
          <w:tcPr>
            <w:tcW w:w="1987" w:type="dxa"/>
            <w:gridSpan w:val="3"/>
            <w:vAlign w:val="center"/>
          </w:tcPr>
          <w:p>
            <w:pPr>
              <w:spacing w:line="440" w:lineRule="exact"/>
              <w:ind w:right="-168" w:rightChars="-70"/>
              <w:rPr>
                <w:rFonts w:hint="eastAsia" w:ascii="仿宋" w:hAnsi="仿宋" w:eastAsia="仿宋" w:cs="仿宋"/>
                <w:sz w:val="24"/>
                <w:szCs w:val="24"/>
              </w:rPr>
            </w:pPr>
          </w:p>
        </w:tc>
        <w:tc>
          <w:tcPr>
            <w:tcW w:w="1988" w:type="dxa"/>
            <w:gridSpan w:val="2"/>
            <w:vAlign w:val="center"/>
          </w:tcPr>
          <w:p>
            <w:pPr>
              <w:spacing w:line="440" w:lineRule="exact"/>
              <w:ind w:right="-168" w:rightChars="-7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65" w:type="dxa"/>
            <w:vAlign w:val="center"/>
          </w:tcPr>
          <w:p>
            <w:pPr>
              <w:spacing w:line="440" w:lineRule="exact"/>
              <w:ind w:right="-168" w:rightChars="-70"/>
              <w:rPr>
                <w:rFonts w:hint="eastAsia" w:ascii="仿宋" w:hAnsi="仿宋" w:eastAsia="仿宋" w:cs="仿宋"/>
                <w:sz w:val="24"/>
                <w:szCs w:val="24"/>
              </w:rPr>
            </w:pPr>
          </w:p>
        </w:tc>
        <w:tc>
          <w:tcPr>
            <w:tcW w:w="1016" w:type="dxa"/>
            <w:vAlign w:val="center"/>
          </w:tcPr>
          <w:p>
            <w:pPr>
              <w:spacing w:line="440" w:lineRule="exact"/>
              <w:ind w:right="-168" w:rightChars="-70"/>
              <w:rPr>
                <w:rFonts w:hint="eastAsia" w:ascii="仿宋" w:hAnsi="仿宋" w:eastAsia="仿宋" w:cs="仿宋"/>
                <w:sz w:val="24"/>
                <w:szCs w:val="24"/>
              </w:rPr>
            </w:pPr>
          </w:p>
        </w:tc>
        <w:tc>
          <w:tcPr>
            <w:tcW w:w="1117" w:type="dxa"/>
            <w:vAlign w:val="center"/>
          </w:tcPr>
          <w:p>
            <w:pPr>
              <w:spacing w:line="440" w:lineRule="exact"/>
              <w:ind w:right="-168" w:rightChars="-70"/>
              <w:rPr>
                <w:rFonts w:hint="eastAsia" w:ascii="仿宋" w:hAnsi="仿宋" w:eastAsia="仿宋" w:cs="仿宋"/>
                <w:sz w:val="24"/>
                <w:szCs w:val="24"/>
              </w:rPr>
            </w:pPr>
          </w:p>
        </w:tc>
        <w:tc>
          <w:tcPr>
            <w:tcW w:w="1986" w:type="dxa"/>
            <w:vAlign w:val="center"/>
          </w:tcPr>
          <w:p>
            <w:pPr>
              <w:spacing w:line="440" w:lineRule="exact"/>
              <w:ind w:right="-168" w:rightChars="-70"/>
              <w:rPr>
                <w:rFonts w:hint="eastAsia" w:ascii="仿宋" w:hAnsi="仿宋" w:eastAsia="仿宋" w:cs="仿宋"/>
                <w:sz w:val="24"/>
                <w:szCs w:val="24"/>
              </w:rPr>
            </w:pPr>
          </w:p>
        </w:tc>
        <w:tc>
          <w:tcPr>
            <w:tcW w:w="1987" w:type="dxa"/>
            <w:gridSpan w:val="3"/>
            <w:vAlign w:val="center"/>
          </w:tcPr>
          <w:p>
            <w:pPr>
              <w:spacing w:line="440" w:lineRule="exact"/>
              <w:ind w:right="-168" w:rightChars="-70"/>
              <w:rPr>
                <w:rFonts w:hint="eastAsia" w:ascii="仿宋" w:hAnsi="仿宋" w:eastAsia="仿宋" w:cs="仿宋"/>
                <w:sz w:val="24"/>
                <w:szCs w:val="24"/>
              </w:rPr>
            </w:pPr>
          </w:p>
        </w:tc>
        <w:tc>
          <w:tcPr>
            <w:tcW w:w="1988" w:type="dxa"/>
            <w:gridSpan w:val="2"/>
            <w:vAlign w:val="center"/>
          </w:tcPr>
          <w:p>
            <w:pPr>
              <w:spacing w:line="440" w:lineRule="exact"/>
              <w:ind w:right="-168" w:rightChars="-7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65" w:type="dxa"/>
            <w:vAlign w:val="center"/>
          </w:tcPr>
          <w:p>
            <w:pPr>
              <w:spacing w:line="440" w:lineRule="exact"/>
              <w:ind w:right="-168" w:rightChars="-70"/>
              <w:rPr>
                <w:rFonts w:hint="eastAsia" w:ascii="仿宋" w:hAnsi="仿宋" w:eastAsia="仿宋" w:cs="仿宋"/>
                <w:sz w:val="24"/>
                <w:szCs w:val="24"/>
              </w:rPr>
            </w:pPr>
          </w:p>
        </w:tc>
        <w:tc>
          <w:tcPr>
            <w:tcW w:w="1016" w:type="dxa"/>
            <w:vAlign w:val="center"/>
          </w:tcPr>
          <w:p>
            <w:pPr>
              <w:spacing w:line="440" w:lineRule="exact"/>
              <w:ind w:right="-168" w:rightChars="-70"/>
              <w:rPr>
                <w:rFonts w:hint="eastAsia" w:ascii="仿宋" w:hAnsi="仿宋" w:eastAsia="仿宋" w:cs="仿宋"/>
                <w:sz w:val="24"/>
                <w:szCs w:val="24"/>
              </w:rPr>
            </w:pPr>
          </w:p>
        </w:tc>
        <w:tc>
          <w:tcPr>
            <w:tcW w:w="1117" w:type="dxa"/>
            <w:vAlign w:val="center"/>
          </w:tcPr>
          <w:p>
            <w:pPr>
              <w:spacing w:line="440" w:lineRule="exact"/>
              <w:ind w:right="-168" w:rightChars="-70"/>
              <w:rPr>
                <w:rFonts w:hint="eastAsia" w:ascii="仿宋" w:hAnsi="仿宋" w:eastAsia="仿宋" w:cs="仿宋"/>
                <w:sz w:val="24"/>
                <w:szCs w:val="24"/>
              </w:rPr>
            </w:pPr>
          </w:p>
        </w:tc>
        <w:tc>
          <w:tcPr>
            <w:tcW w:w="1986" w:type="dxa"/>
            <w:vAlign w:val="center"/>
          </w:tcPr>
          <w:p>
            <w:pPr>
              <w:spacing w:line="440" w:lineRule="exact"/>
              <w:ind w:right="-168" w:rightChars="-70"/>
              <w:rPr>
                <w:rFonts w:hint="eastAsia" w:ascii="仿宋" w:hAnsi="仿宋" w:eastAsia="仿宋" w:cs="仿宋"/>
                <w:sz w:val="24"/>
                <w:szCs w:val="24"/>
              </w:rPr>
            </w:pPr>
          </w:p>
        </w:tc>
        <w:tc>
          <w:tcPr>
            <w:tcW w:w="1987" w:type="dxa"/>
            <w:gridSpan w:val="3"/>
            <w:vAlign w:val="center"/>
          </w:tcPr>
          <w:p>
            <w:pPr>
              <w:spacing w:line="440" w:lineRule="exact"/>
              <w:ind w:right="-168" w:rightChars="-70"/>
              <w:rPr>
                <w:rFonts w:hint="eastAsia" w:ascii="仿宋" w:hAnsi="仿宋" w:eastAsia="仿宋" w:cs="仿宋"/>
                <w:sz w:val="24"/>
                <w:szCs w:val="24"/>
              </w:rPr>
            </w:pPr>
          </w:p>
        </w:tc>
        <w:tc>
          <w:tcPr>
            <w:tcW w:w="1988" w:type="dxa"/>
            <w:gridSpan w:val="2"/>
            <w:vAlign w:val="center"/>
          </w:tcPr>
          <w:p>
            <w:pPr>
              <w:spacing w:line="440" w:lineRule="exact"/>
              <w:ind w:right="-168" w:rightChars="-7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65" w:type="dxa"/>
            <w:vAlign w:val="center"/>
          </w:tcPr>
          <w:p>
            <w:pPr>
              <w:spacing w:line="440" w:lineRule="exact"/>
              <w:ind w:right="-168" w:rightChars="-70"/>
              <w:rPr>
                <w:rFonts w:hint="eastAsia" w:ascii="仿宋" w:hAnsi="仿宋" w:eastAsia="仿宋" w:cs="仿宋"/>
                <w:sz w:val="24"/>
                <w:szCs w:val="24"/>
              </w:rPr>
            </w:pPr>
          </w:p>
        </w:tc>
        <w:tc>
          <w:tcPr>
            <w:tcW w:w="1016" w:type="dxa"/>
            <w:vAlign w:val="center"/>
          </w:tcPr>
          <w:p>
            <w:pPr>
              <w:spacing w:line="440" w:lineRule="exact"/>
              <w:ind w:right="-168" w:rightChars="-70"/>
              <w:rPr>
                <w:rFonts w:hint="eastAsia" w:ascii="仿宋" w:hAnsi="仿宋" w:eastAsia="仿宋" w:cs="仿宋"/>
                <w:sz w:val="24"/>
                <w:szCs w:val="24"/>
              </w:rPr>
            </w:pPr>
          </w:p>
        </w:tc>
        <w:tc>
          <w:tcPr>
            <w:tcW w:w="1117" w:type="dxa"/>
            <w:vAlign w:val="center"/>
          </w:tcPr>
          <w:p>
            <w:pPr>
              <w:spacing w:line="440" w:lineRule="exact"/>
              <w:ind w:right="-168" w:rightChars="-70"/>
              <w:rPr>
                <w:rFonts w:hint="eastAsia" w:ascii="仿宋" w:hAnsi="仿宋" w:eastAsia="仿宋" w:cs="仿宋"/>
                <w:sz w:val="24"/>
                <w:szCs w:val="24"/>
              </w:rPr>
            </w:pPr>
          </w:p>
        </w:tc>
        <w:tc>
          <w:tcPr>
            <w:tcW w:w="1986" w:type="dxa"/>
            <w:vAlign w:val="center"/>
          </w:tcPr>
          <w:p>
            <w:pPr>
              <w:spacing w:line="440" w:lineRule="exact"/>
              <w:ind w:right="-168" w:rightChars="-70"/>
              <w:rPr>
                <w:rFonts w:hint="eastAsia" w:ascii="仿宋" w:hAnsi="仿宋" w:eastAsia="仿宋" w:cs="仿宋"/>
                <w:sz w:val="24"/>
                <w:szCs w:val="24"/>
              </w:rPr>
            </w:pPr>
          </w:p>
        </w:tc>
        <w:tc>
          <w:tcPr>
            <w:tcW w:w="1987" w:type="dxa"/>
            <w:gridSpan w:val="3"/>
            <w:vAlign w:val="center"/>
          </w:tcPr>
          <w:p>
            <w:pPr>
              <w:spacing w:line="440" w:lineRule="exact"/>
              <w:ind w:right="-168" w:rightChars="-70"/>
              <w:rPr>
                <w:rFonts w:hint="eastAsia" w:ascii="仿宋" w:hAnsi="仿宋" w:eastAsia="仿宋" w:cs="仿宋"/>
                <w:sz w:val="24"/>
                <w:szCs w:val="24"/>
              </w:rPr>
            </w:pPr>
          </w:p>
        </w:tc>
        <w:tc>
          <w:tcPr>
            <w:tcW w:w="1988" w:type="dxa"/>
            <w:gridSpan w:val="2"/>
            <w:vAlign w:val="center"/>
          </w:tcPr>
          <w:p>
            <w:pPr>
              <w:spacing w:line="440" w:lineRule="exact"/>
              <w:ind w:right="-168" w:rightChars="-7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665" w:type="dxa"/>
            <w:vAlign w:val="center"/>
          </w:tcPr>
          <w:p>
            <w:pPr>
              <w:spacing w:line="440" w:lineRule="exact"/>
              <w:ind w:right="-168" w:rightChars="-70"/>
              <w:rPr>
                <w:rFonts w:hint="eastAsia" w:ascii="仿宋" w:hAnsi="仿宋" w:eastAsia="仿宋" w:cs="仿宋"/>
                <w:sz w:val="24"/>
                <w:szCs w:val="24"/>
              </w:rPr>
            </w:pPr>
          </w:p>
        </w:tc>
        <w:tc>
          <w:tcPr>
            <w:tcW w:w="1016" w:type="dxa"/>
            <w:vAlign w:val="center"/>
          </w:tcPr>
          <w:p>
            <w:pPr>
              <w:spacing w:line="440" w:lineRule="exact"/>
              <w:ind w:right="-168" w:rightChars="-70"/>
              <w:rPr>
                <w:rFonts w:hint="eastAsia" w:ascii="仿宋" w:hAnsi="仿宋" w:eastAsia="仿宋" w:cs="仿宋"/>
                <w:sz w:val="24"/>
                <w:szCs w:val="24"/>
              </w:rPr>
            </w:pPr>
          </w:p>
        </w:tc>
        <w:tc>
          <w:tcPr>
            <w:tcW w:w="1117" w:type="dxa"/>
            <w:vAlign w:val="center"/>
          </w:tcPr>
          <w:p>
            <w:pPr>
              <w:spacing w:line="440" w:lineRule="exact"/>
              <w:ind w:right="-168" w:rightChars="-70"/>
              <w:rPr>
                <w:rFonts w:hint="eastAsia" w:ascii="仿宋" w:hAnsi="仿宋" w:eastAsia="仿宋" w:cs="仿宋"/>
                <w:sz w:val="24"/>
                <w:szCs w:val="24"/>
              </w:rPr>
            </w:pPr>
          </w:p>
        </w:tc>
        <w:tc>
          <w:tcPr>
            <w:tcW w:w="1986" w:type="dxa"/>
            <w:vAlign w:val="center"/>
          </w:tcPr>
          <w:p>
            <w:pPr>
              <w:spacing w:line="440" w:lineRule="exact"/>
              <w:ind w:right="-168" w:rightChars="-70"/>
              <w:rPr>
                <w:rFonts w:hint="eastAsia" w:ascii="仿宋" w:hAnsi="仿宋" w:eastAsia="仿宋" w:cs="仿宋"/>
                <w:sz w:val="24"/>
                <w:szCs w:val="24"/>
              </w:rPr>
            </w:pPr>
          </w:p>
        </w:tc>
        <w:tc>
          <w:tcPr>
            <w:tcW w:w="1987" w:type="dxa"/>
            <w:gridSpan w:val="3"/>
            <w:vAlign w:val="center"/>
          </w:tcPr>
          <w:p>
            <w:pPr>
              <w:spacing w:line="440" w:lineRule="exact"/>
              <w:ind w:right="-168" w:rightChars="-70"/>
              <w:rPr>
                <w:rFonts w:hint="eastAsia" w:ascii="仿宋" w:hAnsi="仿宋" w:eastAsia="仿宋" w:cs="仿宋"/>
                <w:sz w:val="24"/>
                <w:szCs w:val="24"/>
              </w:rPr>
            </w:pPr>
          </w:p>
        </w:tc>
        <w:tc>
          <w:tcPr>
            <w:tcW w:w="1988" w:type="dxa"/>
            <w:gridSpan w:val="2"/>
            <w:vAlign w:val="center"/>
          </w:tcPr>
          <w:p>
            <w:pPr>
              <w:spacing w:line="440" w:lineRule="exact"/>
              <w:ind w:right="-168" w:rightChars="-7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65" w:type="dxa"/>
            <w:vAlign w:val="center"/>
          </w:tcPr>
          <w:p>
            <w:pPr>
              <w:spacing w:line="440" w:lineRule="exact"/>
              <w:ind w:right="-168" w:rightChars="-70"/>
              <w:jc w:val="center"/>
              <w:rPr>
                <w:rFonts w:hint="eastAsia" w:ascii="仿宋" w:hAnsi="仿宋" w:eastAsia="仿宋" w:cs="仿宋"/>
                <w:color w:val="FF0000"/>
                <w:sz w:val="24"/>
                <w:szCs w:val="24"/>
              </w:rPr>
            </w:pPr>
            <w:r>
              <w:rPr>
                <w:rFonts w:hint="eastAsia" w:ascii="仿宋" w:hAnsi="仿宋" w:eastAsia="仿宋" w:cs="仿宋"/>
                <w:sz w:val="24"/>
                <w:szCs w:val="24"/>
              </w:rPr>
              <w:t>参训地点</w:t>
            </w:r>
          </w:p>
        </w:tc>
        <w:tc>
          <w:tcPr>
            <w:tcW w:w="2133" w:type="dxa"/>
            <w:gridSpan w:val="2"/>
            <w:vAlign w:val="center"/>
          </w:tcPr>
          <w:p>
            <w:pPr>
              <w:spacing w:line="440" w:lineRule="exact"/>
              <w:ind w:right="-168" w:rightChars="-70" w:firstLine="960" w:firstLineChars="400"/>
              <w:rPr>
                <w:rFonts w:hint="eastAsia" w:ascii="仿宋" w:hAnsi="仿宋" w:eastAsia="仿宋" w:cs="仿宋"/>
                <w:color w:val="FF0000"/>
                <w:sz w:val="24"/>
                <w:szCs w:val="24"/>
              </w:rPr>
            </w:pPr>
          </w:p>
        </w:tc>
        <w:tc>
          <w:tcPr>
            <w:tcW w:w="1986" w:type="dxa"/>
            <w:vAlign w:val="center"/>
          </w:tcPr>
          <w:p>
            <w:pPr>
              <w:spacing w:line="440" w:lineRule="exact"/>
              <w:ind w:right="-168" w:rightChars="-70"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证书申报</w:t>
            </w:r>
          </w:p>
        </w:tc>
        <w:tc>
          <w:tcPr>
            <w:tcW w:w="3975" w:type="dxa"/>
            <w:gridSpan w:val="5"/>
            <w:vAlign w:val="center"/>
          </w:tcPr>
          <w:p>
            <w:pPr>
              <w:spacing w:line="440" w:lineRule="exact"/>
              <w:ind w:right="-168" w:rightChars="-70"/>
              <w:rPr>
                <w:rFonts w:hint="eastAsia" w:ascii="仿宋" w:hAnsi="仿宋" w:eastAsia="仿宋" w:cs="仿宋"/>
                <w:color w:val="000000"/>
                <w:sz w:val="24"/>
                <w:szCs w:val="24"/>
              </w:rPr>
            </w:pPr>
            <w:r>
              <w:rPr>
                <w:rFonts w:hint="eastAsia" w:ascii="仿宋" w:hAnsi="仿宋" w:eastAsia="仿宋" w:cs="仿宋"/>
                <w:color w:val="000000"/>
                <w:sz w:val="24"/>
                <w:szCs w:val="24"/>
              </w:rPr>
              <w:t>《投融资</w:t>
            </w:r>
            <w:r>
              <w:rPr>
                <w:rFonts w:hint="eastAsia" w:ascii="仿宋" w:hAnsi="仿宋" w:eastAsia="仿宋" w:cs="仿宋"/>
                <w:color w:val="000000"/>
                <w:sz w:val="24"/>
                <w:szCs w:val="24"/>
                <w:lang w:val="en-US" w:eastAsia="zh-CN"/>
              </w:rPr>
              <w:t>分析师</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高级</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665" w:type="dxa"/>
            <w:vAlign w:val="center"/>
          </w:tcPr>
          <w:p>
            <w:pPr>
              <w:spacing w:line="440" w:lineRule="exact"/>
              <w:ind w:right="-168" w:rightChars="-70"/>
              <w:jc w:val="center"/>
              <w:rPr>
                <w:rFonts w:hint="eastAsia" w:ascii="仿宋" w:hAnsi="仿宋" w:eastAsia="仿宋" w:cs="仿宋"/>
                <w:sz w:val="24"/>
                <w:szCs w:val="24"/>
              </w:rPr>
            </w:pPr>
            <w:r>
              <w:rPr>
                <w:rFonts w:hint="eastAsia" w:ascii="仿宋" w:hAnsi="仿宋" w:eastAsia="仿宋" w:cs="仿宋"/>
                <w:sz w:val="24"/>
                <w:szCs w:val="24"/>
              </w:rPr>
              <w:t>收费标准</w:t>
            </w:r>
          </w:p>
        </w:tc>
        <w:tc>
          <w:tcPr>
            <w:tcW w:w="8094" w:type="dxa"/>
            <w:gridSpan w:val="8"/>
            <w:vAlign w:val="center"/>
          </w:tcPr>
          <w:p>
            <w:pPr>
              <w:spacing w:line="440" w:lineRule="exact"/>
              <w:ind w:right="-168" w:rightChars="-70" w:firstLine="240" w:firstLineChars="100"/>
              <w:jc w:val="both"/>
              <w:rPr>
                <w:rFonts w:hint="eastAsia" w:ascii="仿宋" w:hAnsi="仿宋" w:eastAsia="仿宋" w:cs="仿宋"/>
                <w:sz w:val="24"/>
                <w:szCs w:val="24"/>
              </w:rPr>
            </w:pPr>
            <w:r>
              <w:rPr>
                <w:rFonts w:hint="eastAsia" w:ascii="仿宋" w:hAnsi="仿宋" w:eastAsia="仿宋" w:cs="仿宋"/>
                <w:sz w:val="24"/>
                <w:szCs w:val="24"/>
              </w:rPr>
              <w:t>A：</w:t>
            </w:r>
            <w:r>
              <w:rPr>
                <w:rFonts w:hint="eastAsia" w:ascii="仿宋" w:hAnsi="仿宋" w:eastAsia="仿宋" w:cs="仿宋"/>
                <w:sz w:val="24"/>
                <w:szCs w:val="24"/>
                <w:lang w:val="en-US" w:eastAsia="zh-CN"/>
              </w:rPr>
              <w:t>3600</w:t>
            </w:r>
            <w:r>
              <w:rPr>
                <w:rFonts w:hint="eastAsia" w:ascii="仿宋" w:hAnsi="仿宋" w:eastAsia="仿宋" w:cs="仿宋"/>
                <w:sz w:val="24"/>
                <w:szCs w:val="24"/>
              </w:rPr>
              <w:t>元□       B：</w:t>
            </w:r>
            <w:r>
              <w:rPr>
                <w:rFonts w:hint="eastAsia" w:ascii="仿宋" w:hAnsi="仿宋" w:eastAsia="仿宋" w:cs="仿宋"/>
                <w:sz w:val="24"/>
                <w:szCs w:val="24"/>
                <w:lang w:val="en-US" w:eastAsia="zh-CN"/>
              </w:rPr>
              <w:t>560</w:t>
            </w:r>
            <w:r>
              <w:rPr>
                <w:rFonts w:hint="eastAsia" w:ascii="仿宋" w:hAnsi="仿宋" w:eastAsia="仿宋" w:cs="仿宋"/>
                <w:sz w:val="24"/>
                <w:szCs w:val="24"/>
              </w:rPr>
              <w:t xml:space="preserve">0元□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665" w:type="dxa"/>
            <w:vAlign w:val="center"/>
          </w:tcPr>
          <w:p>
            <w:pPr>
              <w:spacing w:line="440" w:lineRule="exact"/>
              <w:ind w:right="-168" w:rightChars="-70"/>
              <w:jc w:val="center"/>
              <w:rPr>
                <w:rFonts w:hint="eastAsia" w:ascii="仿宋" w:hAnsi="仿宋" w:eastAsia="仿宋" w:cs="仿宋"/>
                <w:sz w:val="24"/>
                <w:szCs w:val="24"/>
              </w:rPr>
            </w:pPr>
            <w:r>
              <w:rPr>
                <w:rFonts w:hint="eastAsia" w:ascii="仿宋" w:hAnsi="仿宋" w:eastAsia="仿宋" w:cs="仿宋"/>
                <w:sz w:val="24"/>
                <w:szCs w:val="24"/>
              </w:rPr>
              <w:t>住宿</w:t>
            </w:r>
            <w:r>
              <w:rPr>
                <w:rFonts w:hint="eastAsia" w:ascii="仿宋" w:hAnsi="仿宋" w:eastAsia="仿宋" w:cs="仿宋"/>
                <w:sz w:val="24"/>
                <w:szCs w:val="24"/>
                <w:lang w:eastAsia="zh-CN"/>
              </w:rPr>
              <w:t>方式</w:t>
            </w:r>
          </w:p>
        </w:tc>
        <w:tc>
          <w:tcPr>
            <w:tcW w:w="8094" w:type="dxa"/>
            <w:gridSpan w:val="8"/>
            <w:vAlign w:val="center"/>
          </w:tcPr>
          <w:p>
            <w:pPr>
              <w:spacing w:line="440" w:lineRule="exact"/>
              <w:ind w:right="-168" w:rightChars="-70" w:firstLine="240" w:firstLineChars="100"/>
              <w:jc w:val="both"/>
              <w:rPr>
                <w:rFonts w:hint="eastAsia" w:ascii="仿宋" w:hAnsi="仿宋" w:eastAsia="仿宋" w:cs="仿宋"/>
                <w:sz w:val="24"/>
                <w:szCs w:val="24"/>
              </w:rPr>
            </w:pPr>
            <w:r>
              <w:rPr>
                <w:rFonts w:hint="eastAsia" w:ascii="仿宋" w:hAnsi="仿宋" w:eastAsia="仿宋" w:cs="仿宋"/>
                <w:sz w:val="24"/>
                <w:szCs w:val="24"/>
              </w:rPr>
              <w:t>单住□         合住□          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65" w:type="dxa"/>
            <w:vAlign w:val="center"/>
          </w:tcPr>
          <w:p>
            <w:pPr>
              <w:spacing w:line="440" w:lineRule="exact"/>
              <w:ind w:right="-168" w:rightChars="-70"/>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4119" w:type="dxa"/>
            <w:gridSpan w:val="3"/>
          </w:tcPr>
          <w:p>
            <w:pPr>
              <w:widowControl/>
              <w:spacing w:line="440" w:lineRule="exact"/>
              <w:ind w:right="-168" w:rightChars="-70" w:firstLine="240" w:firstLineChars="100"/>
              <w:jc w:val="both"/>
              <w:rPr>
                <w:rFonts w:hint="eastAsia" w:ascii="仿宋" w:hAnsi="仿宋" w:eastAsia="仿宋" w:cs="仿宋"/>
                <w:sz w:val="24"/>
                <w:szCs w:val="24"/>
              </w:rPr>
            </w:pPr>
            <w:r>
              <w:rPr>
                <w:rFonts w:hint="eastAsia" w:ascii="仿宋" w:hAnsi="仿宋" w:eastAsia="仿宋" w:cs="仿宋"/>
                <w:sz w:val="24"/>
                <w:szCs w:val="24"/>
                <w:lang w:eastAsia="zh-CN"/>
              </w:rPr>
              <w:t>转账</w:t>
            </w:r>
            <w:r>
              <w:rPr>
                <w:rFonts w:hint="eastAsia" w:ascii="仿宋" w:hAnsi="仿宋" w:eastAsia="仿宋" w:cs="仿宋"/>
                <w:sz w:val="24"/>
                <w:szCs w:val="24"/>
              </w:rPr>
              <w:t>汇款</w:t>
            </w:r>
            <w:r>
              <w:rPr>
                <w:rFonts w:hint="eastAsia" w:ascii="仿宋" w:hAnsi="仿宋" w:eastAsia="仿宋" w:cs="仿宋"/>
                <w:sz w:val="24"/>
                <w:szCs w:val="24"/>
              </w:rPr>
              <w:sym w:font="Wingdings 2" w:char="00A3"/>
            </w:r>
            <w:r>
              <w:rPr>
                <w:rFonts w:hint="eastAsia" w:ascii="仿宋" w:hAnsi="仿宋" w:eastAsia="仿宋" w:cs="仿宋"/>
                <w:sz w:val="24"/>
                <w:szCs w:val="24"/>
              </w:rPr>
              <w:t xml:space="preserve">     现场交费</w:t>
            </w:r>
            <w:r>
              <w:rPr>
                <w:rFonts w:hint="eastAsia" w:ascii="仿宋" w:hAnsi="仿宋" w:eastAsia="仿宋" w:cs="仿宋"/>
                <w:sz w:val="24"/>
                <w:szCs w:val="24"/>
              </w:rPr>
              <w:sym w:font="Wingdings 2" w:char="00A3"/>
            </w:r>
            <w:r>
              <w:rPr>
                <w:rFonts w:hint="eastAsia" w:ascii="仿宋" w:hAnsi="仿宋" w:eastAsia="仿宋" w:cs="仿宋"/>
                <w:sz w:val="24"/>
                <w:szCs w:val="24"/>
              </w:rPr>
              <w:t xml:space="preserve"> </w:t>
            </w:r>
          </w:p>
        </w:tc>
        <w:tc>
          <w:tcPr>
            <w:tcW w:w="1155" w:type="dxa"/>
          </w:tcPr>
          <w:p>
            <w:pPr>
              <w:widowControl/>
              <w:spacing w:line="440" w:lineRule="exact"/>
              <w:ind w:right="-168" w:rightChars="-70"/>
              <w:jc w:val="center"/>
              <w:rPr>
                <w:rFonts w:hint="eastAsia" w:ascii="仿宋" w:hAnsi="仿宋" w:eastAsia="仿宋" w:cs="仿宋"/>
                <w:sz w:val="24"/>
                <w:szCs w:val="24"/>
              </w:rPr>
            </w:pPr>
            <w:r>
              <w:rPr>
                <w:rFonts w:hint="eastAsia" w:ascii="仿宋" w:hAnsi="仿宋" w:eastAsia="仿宋" w:cs="仿宋"/>
                <w:sz w:val="24"/>
                <w:szCs w:val="24"/>
              </w:rPr>
              <w:t>金额</w:t>
            </w:r>
          </w:p>
        </w:tc>
        <w:tc>
          <w:tcPr>
            <w:tcW w:w="2820" w:type="dxa"/>
            <w:gridSpan w:val="4"/>
          </w:tcPr>
          <w:p>
            <w:pPr>
              <w:widowControl/>
              <w:spacing w:line="440" w:lineRule="exact"/>
              <w:ind w:right="-168" w:rightChars="-7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665" w:type="dxa"/>
            <w:vAlign w:val="center"/>
          </w:tcPr>
          <w:p>
            <w:pPr>
              <w:spacing w:line="440" w:lineRule="exact"/>
              <w:ind w:right="-168" w:rightChars="-70"/>
              <w:jc w:val="center"/>
              <w:rPr>
                <w:rFonts w:hint="eastAsia" w:ascii="仿宋" w:hAnsi="仿宋" w:eastAsia="仿宋" w:cs="仿宋"/>
                <w:sz w:val="24"/>
                <w:szCs w:val="24"/>
                <w:highlight w:val="yellow"/>
              </w:rPr>
            </w:pPr>
            <w:r>
              <w:rPr>
                <w:rFonts w:hint="eastAsia" w:ascii="仿宋" w:hAnsi="仿宋" w:eastAsia="仿宋" w:cs="仿宋"/>
                <w:sz w:val="24"/>
                <w:szCs w:val="24"/>
                <w:lang w:val="zh-CN"/>
              </w:rPr>
              <w:t>收款信息</w:t>
            </w:r>
          </w:p>
        </w:tc>
        <w:tc>
          <w:tcPr>
            <w:tcW w:w="8094" w:type="dxa"/>
            <w:gridSpan w:val="8"/>
            <w:vAlign w:val="center"/>
          </w:tcPr>
          <w:p>
            <w:pPr>
              <w:widowControl/>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户  名: 北京中科领航教育咨询有限公司</w:t>
            </w:r>
          </w:p>
          <w:p>
            <w:pPr>
              <w:widowControl/>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开户行：中国工商银行股份有限公司北京半壁店支行</w:t>
            </w:r>
          </w:p>
          <w:p>
            <w:pPr>
              <w:widowControl/>
              <w:spacing w:line="440" w:lineRule="exact"/>
              <w:rPr>
                <w:rFonts w:hint="eastAsia" w:ascii="仿宋" w:hAnsi="仿宋" w:eastAsia="仿宋" w:cs="仿宋"/>
                <w:sz w:val="24"/>
                <w:szCs w:val="24"/>
                <w:highlight w:val="yellow"/>
              </w:rPr>
            </w:pPr>
            <w:r>
              <w:rPr>
                <w:rFonts w:hint="eastAsia" w:ascii="仿宋" w:hAnsi="仿宋" w:eastAsia="仿宋" w:cs="仿宋"/>
                <w:color w:val="000000" w:themeColor="text1"/>
                <w:sz w:val="24"/>
                <w:szCs w:val="24"/>
                <w:highlight w:val="none"/>
                <w14:textFill>
                  <w14:solidFill>
                    <w14:schemeClr w14:val="tx1"/>
                  </w14:solidFill>
                </w14:textFill>
              </w:rPr>
              <w:t>账  号：0200247009200076612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665" w:type="dxa"/>
            <w:vAlign w:val="center"/>
          </w:tcPr>
          <w:p>
            <w:pPr>
              <w:spacing w:line="440" w:lineRule="exact"/>
              <w:ind w:right="-168" w:rightChars="-70"/>
              <w:jc w:val="center"/>
              <w:rPr>
                <w:rFonts w:hint="eastAsia" w:ascii="仿宋" w:hAnsi="仿宋" w:eastAsia="仿宋" w:cs="仿宋"/>
                <w:b/>
                <w:bCs/>
                <w:sz w:val="24"/>
                <w:szCs w:val="24"/>
              </w:rPr>
            </w:pPr>
            <w:r>
              <w:rPr>
                <w:rFonts w:hint="eastAsia" w:ascii="仿宋" w:hAnsi="仿宋" w:eastAsia="仿宋" w:cs="仿宋"/>
                <w:sz w:val="24"/>
                <w:szCs w:val="24"/>
              </w:rPr>
              <w:t>备</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注</w:t>
            </w:r>
          </w:p>
        </w:tc>
        <w:tc>
          <w:tcPr>
            <w:tcW w:w="5274" w:type="dxa"/>
            <w:gridSpan w:val="4"/>
            <w:vAlign w:val="center"/>
          </w:tcPr>
          <w:p>
            <w:pPr>
              <w:spacing w:line="440" w:lineRule="exact"/>
              <w:ind w:right="-168" w:rightChars="-70"/>
              <w:rPr>
                <w:rStyle w:val="15"/>
                <w:rFonts w:hint="eastAsia" w:ascii="仿宋" w:hAnsi="仿宋" w:eastAsia="仿宋" w:cs="仿宋"/>
                <w:b w:val="0"/>
                <w:bCs w:val="0"/>
                <w:color w:val="000000"/>
                <w:sz w:val="24"/>
                <w:szCs w:val="24"/>
                <w:lang w:val="zh-CN"/>
              </w:rPr>
            </w:pPr>
            <w:r>
              <w:rPr>
                <w:rStyle w:val="15"/>
                <w:rFonts w:hint="eastAsia" w:ascii="仿宋" w:hAnsi="仿宋" w:eastAsia="仿宋" w:cs="仿宋"/>
                <w:b w:val="0"/>
                <w:bCs w:val="0"/>
                <w:color w:val="000000"/>
                <w:sz w:val="24"/>
                <w:szCs w:val="24"/>
                <w:lang w:val="zh-CN"/>
              </w:rPr>
              <w:t>请将《报名回执表》发送至会务组，并于报名3</w:t>
            </w:r>
          </w:p>
          <w:p>
            <w:pPr>
              <w:spacing w:line="440" w:lineRule="exact"/>
              <w:ind w:right="-168" w:rightChars="-70"/>
              <w:rPr>
                <w:rFonts w:hint="eastAsia" w:ascii="仿宋" w:hAnsi="仿宋" w:eastAsia="仿宋" w:cs="仿宋"/>
                <w:sz w:val="24"/>
                <w:szCs w:val="24"/>
              </w:rPr>
            </w:pPr>
            <w:r>
              <w:rPr>
                <w:rStyle w:val="15"/>
                <w:rFonts w:hint="eastAsia" w:ascii="仿宋" w:hAnsi="仿宋" w:eastAsia="仿宋" w:cs="仿宋"/>
                <w:b w:val="0"/>
                <w:bCs w:val="0"/>
                <w:color w:val="000000"/>
                <w:sz w:val="24"/>
                <w:szCs w:val="24"/>
                <w:lang w:val="zh-CN"/>
              </w:rPr>
              <w:t>日内将培训费汇至指定账户，会务组确认后即发《报到通知》，详细说明培训安排具体事项。</w:t>
            </w:r>
          </w:p>
        </w:tc>
        <w:tc>
          <w:tcPr>
            <w:tcW w:w="2820" w:type="dxa"/>
            <w:gridSpan w:val="4"/>
            <w:vAlign w:val="center"/>
          </w:tcPr>
          <w:p>
            <w:pPr>
              <w:spacing w:line="440" w:lineRule="exact"/>
              <w:ind w:right="-168" w:rightChars="-70" w:firstLine="480" w:firstLineChars="200"/>
              <w:jc w:val="both"/>
              <w:rPr>
                <w:rFonts w:hint="eastAsia" w:ascii="仿宋" w:hAnsi="仿宋" w:eastAsia="仿宋" w:cs="仿宋"/>
                <w:sz w:val="24"/>
                <w:szCs w:val="24"/>
              </w:rPr>
            </w:pPr>
            <w:r>
              <w:rPr>
                <w:rFonts w:hint="eastAsia" w:ascii="仿宋" w:hAnsi="仿宋" w:eastAsia="仿宋" w:cs="仿宋"/>
                <w:sz w:val="24"/>
                <w:szCs w:val="24"/>
              </w:rPr>
              <w:t>单位印章</w:t>
            </w:r>
          </w:p>
          <w:p>
            <w:pPr>
              <w:spacing w:line="440" w:lineRule="exact"/>
              <w:ind w:right="-168" w:rightChars="-70"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rPr>
              <w:t>2022</w:t>
            </w:r>
            <w:r>
              <w:rPr>
                <w:rFonts w:hint="eastAsia" w:ascii="仿宋" w:hAnsi="仿宋" w:eastAsia="仿宋" w:cs="仿宋"/>
                <w:sz w:val="24"/>
                <w:szCs w:val="24"/>
              </w:rPr>
              <w:t>年  月  日</w:t>
            </w:r>
          </w:p>
        </w:tc>
      </w:tr>
    </w:tbl>
    <w:p>
      <w:pPr>
        <w:keepNext w:val="0"/>
        <w:keepLines w:val="0"/>
        <w:pageBreakBefore w:val="0"/>
        <w:widowControl w:val="0"/>
        <w:kinsoku/>
        <w:wordWrap/>
        <w:overflowPunct/>
        <w:topLinePunct w:val="0"/>
        <w:bidi w:val="0"/>
        <w:snapToGrid/>
        <w:spacing w:line="440" w:lineRule="exact"/>
        <w:textAlignment w:val="auto"/>
        <w:rPr>
          <w:rStyle w:val="15"/>
          <w:rFonts w:hint="eastAsia" w:ascii="仿宋" w:hAnsi="仿宋" w:eastAsia="仿宋" w:cs="仿宋"/>
          <w:b w:val="0"/>
          <w:bCs w:val="0"/>
          <w:color w:val="000000"/>
          <w:sz w:val="24"/>
          <w:szCs w:val="24"/>
          <w:lang w:val="zh-CN"/>
        </w:rPr>
      </w:pPr>
      <w:r>
        <w:rPr>
          <w:rStyle w:val="15"/>
          <w:rFonts w:hint="eastAsia" w:ascii="仿宋" w:hAnsi="仿宋" w:eastAsia="仿宋" w:cs="仿宋"/>
          <w:b w:val="0"/>
          <w:bCs w:val="0"/>
          <w:color w:val="000000"/>
          <w:sz w:val="24"/>
          <w:szCs w:val="24"/>
          <w:lang w:val="zh-CN"/>
        </w:rPr>
        <w:t xml:space="preserve">报名负责人：聂红军 主任18211071700（微信）   </w:t>
      </w:r>
    </w:p>
    <w:p>
      <w:pPr>
        <w:keepNext w:val="0"/>
        <w:keepLines w:val="0"/>
        <w:pageBreakBefore w:val="0"/>
        <w:widowControl w:val="0"/>
        <w:kinsoku/>
        <w:wordWrap/>
        <w:overflowPunct/>
        <w:topLinePunct w:val="0"/>
        <w:bidi w:val="0"/>
        <w:snapToGrid/>
        <w:spacing w:line="440" w:lineRule="exact"/>
        <w:textAlignment w:val="auto"/>
        <w:rPr>
          <w:rStyle w:val="15"/>
          <w:rFonts w:hint="eastAsia" w:ascii="仿宋" w:hAnsi="仿宋" w:eastAsia="仿宋" w:cs="仿宋"/>
          <w:b w:val="0"/>
          <w:bCs w:val="0"/>
          <w:color w:val="000000"/>
          <w:sz w:val="24"/>
          <w:szCs w:val="24"/>
          <w:lang w:val="zh-CN"/>
        </w:rPr>
      </w:pPr>
      <w:r>
        <w:rPr>
          <w:rStyle w:val="15"/>
          <w:rFonts w:hint="eastAsia" w:ascii="仿宋" w:hAnsi="仿宋" w:eastAsia="仿宋" w:cs="仿宋"/>
          <w:b w:val="0"/>
          <w:bCs w:val="0"/>
          <w:color w:val="000000"/>
          <w:sz w:val="24"/>
          <w:szCs w:val="24"/>
          <w:lang w:val="zh-CN"/>
        </w:rPr>
        <w:t xml:space="preserve">电  话：010-87697580      邮    箱：zqgphwz@126.com  </w:t>
      </w:r>
    </w:p>
    <w:p>
      <w:pPr>
        <w:keepNext w:val="0"/>
        <w:keepLines w:val="0"/>
        <w:pageBreakBefore w:val="0"/>
        <w:widowControl w:val="0"/>
        <w:kinsoku/>
        <w:wordWrap/>
        <w:overflowPunct/>
        <w:topLinePunct w:val="0"/>
        <w:bidi w:val="0"/>
        <w:snapToGrid/>
        <w:spacing w:line="440" w:lineRule="exact"/>
        <w:textAlignment w:val="auto"/>
        <w:rPr>
          <w:rFonts w:hint="eastAsia" w:ascii="仿宋" w:hAnsi="仿宋" w:eastAsia="仿宋" w:cs="仿宋"/>
          <w:bCs/>
          <w:color w:val="auto"/>
          <w:kern w:val="2"/>
          <w:sz w:val="24"/>
          <w:szCs w:val="24"/>
          <w:u w:val="none"/>
        </w:rPr>
      </w:pPr>
      <w:r>
        <w:rPr>
          <w:rStyle w:val="15"/>
          <w:rFonts w:hint="eastAsia" w:ascii="仿宋" w:hAnsi="仿宋" w:eastAsia="仿宋" w:cs="仿宋"/>
          <w:b w:val="0"/>
          <w:bCs w:val="0"/>
          <w:color w:val="000000"/>
          <w:sz w:val="24"/>
          <w:szCs w:val="24"/>
          <w:lang w:val="zh-CN"/>
        </w:rPr>
        <w:t>qq咨询：3177524020        网址查询：http://www.zqgpchina.cn/</w:t>
      </w:r>
      <w:bookmarkStart w:id="0" w:name="_GoBack"/>
      <w:bookmarkEnd w:id="0"/>
    </w:p>
    <w:p>
      <w:pPr>
        <w:spacing w:line="440" w:lineRule="exact"/>
        <w:ind w:right="-168" w:rightChars="-70"/>
        <w:rPr>
          <w:rStyle w:val="15"/>
          <w:rFonts w:hint="eastAsia" w:ascii="仿宋" w:hAnsi="仿宋" w:eastAsia="仿宋" w:cs="仿宋"/>
          <w:b w:val="0"/>
          <w:bCs w:val="0"/>
          <w:color w:val="000000"/>
          <w:sz w:val="24"/>
          <w:szCs w:val="24"/>
          <w:lang w:val="zh-CN" w:eastAsia="zh-CN"/>
        </w:rPr>
      </w:pPr>
    </w:p>
    <w:sectPr>
      <w:footerReference r:id="rId3" w:type="default"/>
      <w:footerReference r:id="rId4" w:type="even"/>
      <w:pgSz w:w="11906" w:h="16838"/>
      <w:pgMar w:top="1440" w:right="1106" w:bottom="1440" w:left="144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Cambria">
    <w:altName w:val="Palatino Linotype"/>
    <w:panose1 w:val="02040503050406030204"/>
    <w:charset w:val="00"/>
    <w:family w:val="roman"/>
    <w:pitch w:val="default"/>
    <w:sig w:usb0="00000000" w:usb1="00000000" w:usb2="02000000" w:usb3="00000000" w:csb0="2000019F" w:csb1="00000000"/>
  </w:font>
  <w:font w:name="微软雅黑">
    <w:panose1 w:val="020B0503020204020204"/>
    <w:charset w:val="86"/>
    <w:family w:val="swiss"/>
    <w:pitch w:val="default"/>
    <w:sig w:usb0="80000287" w:usb1="0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ightChars="150"/>
      <w:jc w:val="righ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8"/>
                              <w:szCs w:val="28"/>
                            </w:rPr>
                            <w:id w:val="-254517534"/>
                            <w:docPartObj>
                              <w:docPartGallery w:val="autotext"/>
                            </w:docPartObj>
                          </w:sdtPr>
                          <w:sdtEndPr>
                            <w:rPr>
                              <w:sz w:val="28"/>
                              <w:szCs w:val="28"/>
                            </w:rPr>
                          </w:sdtEndPr>
                          <w:sdtContent>
                            <w:p>
                              <w:pPr>
                                <w:pStyle w:val="8"/>
                                <w:ind w:right="360" w:rightChars="150"/>
                                <w:jc w:val="right"/>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1</w:t>
                              </w:r>
                              <w:r>
                                <w:rPr>
                                  <w:sz w:val="28"/>
                                  <w:szCs w:val="28"/>
                                </w:rPr>
                                <w:fldChar w:fldCharType="end"/>
                              </w:r>
                              <w:r>
                                <w:rPr>
                                  <w:sz w:val="28"/>
                                  <w:szCs w:val="28"/>
                                </w:rPr>
                                <w:t>-</w:t>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sz w:val="28"/>
                        <w:szCs w:val="28"/>
                      </w:rPr>
                      <w:id w:val="-254517534"/>
                      <w:docPartObj>
                        <w:docPartGallery w:val="autotext"/>
                      </w:docPartObj>
                    </w:sdtPr>
                    <w:sdtEndPr>
                      <w:rPr>
                        <w:sz w:val="28"/>
                        <w:szCs w:val="28"/>
                      </w:rPr>
                    </w:sdtEndPr>
                    <w:sdtContent>
                      <w:p>
                        <w:pPr>
                          <w:pStyle w:val="8"/>
                          <w:ind w:right="360" w:rightChars="150"/>
                          <w:jc w:val="right"/>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1</w:t>
                        </w:r>
                        <w:r>
                          <w:rPr>
                            <w:sz w:val="28"/>
                            <w:szCs w:val="28"/>
                          </w:rPr>
                          <w:fldChar w:fldCharType="end"/>
                        </w:r>
                        <w:r>
                          <w:rPr>
                            <w:sz w:val="28"/>
                            <w:szCs w:val="28"/>
                          </w:rPr>
                          <w:t>-</w:t>
                        </w:r>
                      </w:p>
                    </w:sdtContent>
                  </w:sdt>
                  <w:p>
                    <w:pPr>
                      <w:pStyle w:val="2"/>
                    </w:pPr>
                  </w:p>
                </w:txbxContent>
              </v:textbox>
            </v:shape>
          </w:pict>
        </mc:Fallback>
      </mc:AlternateContent>
    </w:r>
  </w:p>
  <w:p>
    <w:pPr>
      <w:pStyle w:val="8"/>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80" w:leftChars="200"/>
      <w:rPr>
        <w:rFonts w:hint="default"/>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8"/>
                              <w:szCs w:val="28"/>
                            </w:rPr>
                            <w:id w:val="-958252006"/>
                            <w:docPartObj>
                              <w:docPartGallery w:val="autotext"/>
                            </w:docPartObj>
                          </w:sdtPr>
                          <w:sdtEndPr>
                            <w:rPr>
                              <w:sz w:val="28"/>
                              <w:szCs w:val="28"/>
                            </w:rPr>
                          </w:sdtEndPr>
                          <w:sdtContent>
                            <w:p>
                              <w:pPr>
                                <w:pStyle w:val="8"/>
                                <w:ind w:left="480" w:leftChars="200"/>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w:t>
                              </w:r>
                              <w:r>
                                <w:rPr>
                                  <w:sz w:val="28"/>
                                  <w:szCs w:val="28"/>
                                </w:rPr>
                                <w:fldChar w:fldCharType="end"/>
                              </w:r>
                              <w:r>
                                <w:rPr>
                                  <w:sz w:val="28"/>
                                  <w:szCs w:val="28"/>
                                </w:rPr>
                                <w:t>-</w:t>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rPr>
                        <w:sz w:val="28"/>
                        <w:szCs w:val="28"/>
                      </w:rPr>
                      <w:id w:val="-958252006"/>
                      <w:docPartObj>
                        <w:docPartGallery w:val="autotext"/>
                      </w:docPartObj>
                    </w:sdtPr>
                    <w:sdtEndPr>
                      <w:rPr>
                        <w:sz w:val="28"/>
                        <w:szCs w:val="28"/>
                      </w:rPr>
                    </w:sdtEndPr>
                    <w:sdtContent>
                      <w:p>
                        <w:pPr>
                          <w:pStyle w:val="8"/>
                          <w:ind w:left="480" w:leftChars="200"/>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w:t>
                        </w:r>
                        <w:r>
                          <w:rPr>
                            <w:sz w:val="28"/>
                            <w:szCs w:val="28"/>
                          </w:rPr>
                          <w:fldChar w:fldCharType="end"/>
                        </w:r>
                        <w:r>
                          <w:rPr>
                            <w:sz w:val="28"/>
                            <w:szCs w:val="28"/>
                          </w:rPr>
                          <w:t>-</w:t>
                        </w:r>
                      </w:p>
                    </w:sdtContent>
                  </w:sdt>
                  <w:p>
                    <w:pPr>
                      <w:pStyle w:val="2"/>
                    </w:pPr>
                  </w:p>
                </w:txbxContent>
              </v:textbox>
            </v:shape>
          </w:pict>
        </mc:Fallback>
      </mc:AlternateContent>
    </w:r>
  </w:p>
  <w:p>
    <w:pPr>
      <w:pStyle w:val="8"/>
      <w:rPr>
        <w:rFonts w:hint="default"/>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1BFDE2"/>
    <w:multiLevelType w:val="singleLevel"/>
    <w:tmpl w:val="881BFDE2"/>
    <w:lvl w:ilvl="0" w:tentative="0">
      <w:start w:val="1"/>
      <w:numFmt w:val="decimal"/>
      <w:suff w:val="nothing"/>
      <w:lvlText w:val="%1．"/>
      <w:lvlJc w:val="left"/>
      <w:pPr>
        <w:ind w:left="0" w:firstLine="400"/>
      </w:pPr>
      <w:rPr>
        <w:rFonts w:hint="default"/>
      </w:rPr>
    </w:lvl>
  </w:abstractNum>
  <w:abstractNum w:abstractNumId="1">
    <w:nsid w:val="A7A94B38"/>
    <w:multiLevelType w:val="singleLevel"/>
    <w:tmpl w:val="A7A94B38"/>
    <w:lvl w:ilvl="0" w:tentative="0">
      <w:start w:val="1"/>
      <w:numFmt w:val="decimal"/>
      <w:suff w:val="nothing"/>
      <w:lvlText w:val="%1．"/>
      <w:lvlJc w:val="left"/>
      <w:pPr>
        <w:ind w:left="0" w:firstLine="400"/>
      </w:pPr>
      <w:rPr>
        <w:rFonts w:hint="default"/>
      </w:rPr>
    </w:lvl>
  </w:abstractNum>
  <w:abstractNum w:abstractNumId="2">
    <w:nsid w:val="B7D24F16"/>
    <w:multiLevelType w:val="singleLevel"/>
    <w:tmpl w:val="B7D24F16"/>
    <w:lvl w:ilvl="0" w:tentative="0">
      <w:start w:val="1"/>
      <w:numFmt w:val="decimal"/>
      <w:lvlText w:val="%1."/>
      <w:lvlJc w:val="left"/>
      <w:pPr>
        <w:tabs>
          <w:tab w:val="left" w:pos="420"/>
        </w:tabs>
        <w:ind w:left="845" w:hanging="425"/>
      </w:pPr>
      <w:rPr>
        <w:rFonts w:hint="default"/>
      </w:rPr>
    </w:lvl>
  </w:abstractNum>
  <w:abstractNum w:abstractNumId="3">
    <w:nsid w:val="C3EE8D4A"/>
    <w:multiLevelType w:val="singleLevel"/>
    <w:tmpl w:val="C3EE8D4A"/>
    <w:lvl w:ilvl="0" w:tentative="0">
      <w:start w:val="1"/>
      <w:numFmt w:val="decimal"/>
      <w:suff w:val="nothing"/>
      <w:lvlText w:val="%1．"/>
      <w:lvlJc w:val="left"/>
      <w:pPr>
        <w:ind w:left="0" w:firstLine="400"/>
      </w:pPr>
      <w:rPr>
        <w:rFonts w:hint="default"/>
      </w:rPr>
    </w:lvl>
  </w:abstractNum>
  <w:abstractNum w:abstractNumId="4">
    <w:nsid w:val="D50CCCEF"/>
    <w:multiLevelType w:val="singleLevel"/>
    <w:tmpl w:val="D50CCCEF"/>
    <w:lvl w:ilvl="0" w:tentative="0">
      <w:start w:val="1"/>
      <w:numFmt w:val="decimal"/>
      <w:lvlText w:val="%1."/>
      <w:lvlJc w:val="left"/>
      <w:pPr>
        <w:ind w:left="425" w:hanging="425"/>
      </w:pPr>
      <w:rPr>
        <w:rFonts w:hint="default"/>
      </w:rPr>
    </w:lvl>
  </w:abstractNum>
  <w:abstractNum w:abstractNumId="5">
    <w:nsid w:val="226185E5"/>
    <w:multiLevelType w:val="singleLevel"/>
    <w:tmpl w:val="226185E5"/>
    <w:lvl w:ilvl="0" w:tentative="0">
      <w:start w:val="1"/>
      <w:numFmt w:val="decimal"/>
      <w:suff w:val="nothing"/>
      <w:lvlText w:val="%1．"/>
      <w:lvlJc w:val="left"/>
      <w:pPr>
        <w:ind w:left="0" w:firstLine="400"/>
      </w:pPr>
      <w:rPr>
        <w:rFonts w:hint="default"/>
      </w:rPr>
    </w:lvl>
  </w:abstractNum>
  <w:abstractNum w:abstractNumId="6">
    <w:nsid w:val="350AF593"/>
    <w:multiLevelType w:val="singleLevel"/>
    <w:tmpl w:val="350AF593"/>
    <w:lvl w:ilvl="0" w:tentative="0">
      <w:start w:val="1"/>
      <w:numFmt w:val="decimal"/>
      <w:lvlText w:val="%1."/>
      <w:lvlJc w:val="left"/>
      <w:pPr>
        <w:tabs>
          <w:tab w:val="left" w:pos="420"/>
        </w:tabs>
        <w:ind w:left="845" w:hanging="425"/>
      </w:pPr>
      <w:rPr>
        <w:rFonts w:hint="default"/>
      </w:rPr>
    </w:lvl>
  </w:abstractNum>
  <w:abstractNum w:abstractNumId="7">
    <w:nsid w:val="426F2F5C"/>
    <w:multiLevelType w:val="singleLevel"/>
    <w:tmpl w:val="426F2F5C"/>
    <w:lvl w:ilvl="0" w:tentative="0">
      <w:start w:val="1"/>
      <w:numFmt w:val="decimal"/>
      <w:suff w:val="nothing"/>
      <w:lvlText w:val="%1．"/>
      <w:lvlJc w:val="left"/>
      <w:pPr>
        <w:ind w:left="0" w:firstLine="400"/>
      </w:pPr>
      <w:rPr>
        <w:rFonts w:hint="default"/>
      </w:rPr>
    </w:lvl>
  </w:abstractNum>
  <w:abstractNum w:abstractNumId="8">
    <w:nsid w:val="43CEA840"/>
    <w:multiLevelType w:val="singleLevel"/>
    <w:tmpl w:val="43CEA840"/>
    <w:lvl w:ilvl="0" w:tentative="0">
      <w:start w:val="1"/>
      <w:numFmt w:val="decimal"/>
      <w:suff w:val="nothing"/>
      <w:lvlText w:val="%1．"/>
      <w:lvlJc w:val="left"/>
      <w:pPr>
        <w:ind w:left="0" w:firstLine="400"/>
      </w:pPr>
      <w:rPr>
        <w:rFonts w:hint="default"/>
      </w:rPr>
    </w:lvl>
  </w:abstractNum>
  <w:num w:numId="1">
    <w:abstractNumId w:val="5"/>
  </w:num>
  <w:num w:numId="2">
    <w:abstractNumId w:val="4"/>
  </w:num>
  <w:num w:numId="3">
    <w:abstractNumId w:val="2"/>
  </w:num>
  <w:num w:numId="4">
    <w:abstractNumId w:val="6"/>
  </w:num>
  <w:num w:numId="5">
    <w:abstractNumId w:val="8"/>
  </w:num>
  <w:num w:numId="6">
    <w:abstractNumId w:val="7"/>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evenAndOddHeaders w:val="1"/>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18"/>
    <w:rsid w:val="000060D7"/>
    <w:rsid w:val="000111BB"/>
    <w:rsid w:val="00023D51"/>
    <w:rsid w:val="00035C2D"/>
    <w:rsid w:val="000600BF"/>
    <w:rsid w:val="00067BD4"/>
    <w:rsid w:val="00087F1D"/>
    <w:rsid w:val="00093904"/>
    <w:rsid w:val="0009632B"/>
    <w:rsid w:val="000A20EB"/>
    <w:rsid w:val="000A7220"/>
    <w:rsid w:val="000A7831"/>
    <w:rsid w:val="000B5CF0"/>
    <w:rsid w:val="000E468A"/>
    <w:rsid w:val="000E747A"/>
    <w:rsid w:val="000F0735"/>
    <w:rsid w:val="000F7BCE"/>
    <w:rsid w:val="001035D1"/>
    <w:rsid w:val="001320AD"/>
    <w:rsid w:val="0014146F"/>
    <w:rsid w:val="00156D13"/>
    <w:rsid w:val="00167157"/>
    <w:rsid w:val="00171C47"/>
    <w:rsid w:val="00172FAF"/>
    <w:rsid w:val="001A03C5"/>
    <w:rsid w:val="001A1960"/>
    <w:rsid w:val="001A20D8"/>
    <w:rsid w:val="001A4683"/>
    <w:rsid w:val="001B15FC"/>
    <w:rsid w:val="001B6553"/>
    <w:rsid w:val="001C423C"/>
    <w:rsid w:val="001C571B"/>
    <w:rsid w:val="001C6B09"/>
    <w:rsid w:val="001D03C8"/>
    <w:rsid w:val="001D5820"/>
    <w:rsid w:val="001E7CDF"/>
    <w:rsid w:val="001F1A19"/>
    <w:rsid w:val="001F266D"/>
    <w:rsid w:val="001F2CC6"/>
    <w:rsid w:val="001F5DBA"/>
    <w:rsid w:val="002016D4"/>
    <w:rsid w:val="00252DF4"/>
    <w:rsid w:val="00257030"/>
    <w:rsid w:val="00262218"/>
    <w:rsid w:val="002646BE"/>
    <w:rsid w:val="002649AB"/>
    <w:rsid w:val="002733FA"/>
    <w:rsid w:val="0028588B"/>
    <w:rsid w:val="002919D3"/>
    <w:rsid w:val="002A349F"/>
    <w:rsid w:val="002A5354"/>
    <w:rsid w:val="002B53F2"/>
    <w:rsid w:val="002D124A"/>
    <w:rsid w:val="002D7C2D"/>
    <w:rsid w:val="002E23AC"/>
    <w:rsid w:val="002E252B"/>
    <w:rsid w:val="002E68A3"/>
    <w:rsid w:val="003018BD"/>
    <w:rsid w:val="00301960"/>
    <w:rsid w:val="003025AF"/>
    <w:rsid w:val="00303B6C"/>
    <w:rsid w:val="00310991"/>
    <w:rsid w:val="00360AC6"/>
    <w:rsid w:val="00366D1D"/>
    <w:rsid w:val="00376650"/>
    <w:rsid w:val="00393856"/>
    <w:rsid w:val="003A143C"/>
    <w:rsid w:val="003B1F67"/>
    <w:rsid w:val="003B3EB7"/>
    <w:rsid w:val="003D100F"/>
    <w:rsid w:val="003D3698"/>
    <w:rsid w:val="003E36E5"/>
    <w:rsid w:val="003F712A"/>
    <w:rsid w:val="0041034A"/>
    <w:rsid w:val="004127EC"/>
    <w:rsid w:val="0042016E"/>
    <w:rsid w:val="0042243A"/>
    <w:rsid w:val="00426A34"/>
    <w:rsid w:val="00434663"/>
    <w:rsid w:val="00444929"/>
    <w:rsid w:val="00450BE4"/>
    <w:rsid w:val="004763CA"/>
    <w:rsid w:val="00490AAB"/>
    <w:rsid w:val="00495BA6"/>
    <w:rsid w:val="004A0262"/>
    <w:rsid w:val="004A6A62"/>
    <w:rsid w:val="004B699A"/>
    <w:rsid w:val="004C0FD2"/>
    <w:rsid w:val="004C2C6B"/>
    <w:rsid w:val="004E28AE"/>
    <w:rsid w:val="004E3822"/>
    <w:rsid w:val="004E3CED"/>
    <w:rsid w:val="0050140A"/>
    <w:rsid w:val="00507BEB"/>
    <w:rsid w:val="00510FDD"/>
    <w:rsid w:val="0052322D"/>
    <w:rsid w:val="00525627"/>
    <w:rsid w:val="005258A8"/>
    <w:rsid w:val="005575C8"/>
    <w:rsid w:val="00564065"/>
    <w:rsid w:val="00581594"/>
    <w:rsid w:val="005A0E7F"/>
    <w:rsid w:val="005A7E85"/>
    <w:rsid w:val="005C6042"/>
    <w:rsid w:val="005C63A3"/>
    <w:rsid w:val="005E5393"/>
    <w:rsid w:val="005F7916"/>
    <w:rsid w:val="006011E8"/>
    <w:rsid w:val="00601C30"/>
    <w:rsid w:val="00605B40"/>
    <w:rsid w:val="006068B5"/>
    <w:rsid w:val="00616606"/>
    <w:rsid w:val="00623CB5"/>
    <w:rsid w:val="00657822"/>
    <w:rsid w:val="00661261"/>
    <w:rsid w:val="00663868"/>
    <w:rsid w:val="00670351"/>
    <w:rsid w:val="00671816"/>
    <w:rsid w:val="00672D7A"/>
    <w:rsid w:val="00690B87"/>
    <w:rsid w:val="006935D1"/>
    <w:rsid w:val="00696DB7"/>
    <w:rsid w:val="006A355D"/>
    <w:rsid w:val="006C14B9"/>
    <w:rsid w:val="006C6164"/>
    <w:rsid w:val="006D0653"/>
    <w:rsid w:val="006D5246"/>
    <w:rsid w:val="006D6D3A"/>
    <w:rsid w:val="006E23D4"/>
    <w:rsid w:val="006F10FB"/>
    <w:rsid w:val="006F117C"/>
    <w:rsid w:val="006F58F0"/>
    <w:rsid w:val="00706D80"/>
    <w:rsid w:val="00724E89"/>
    <w:rsid w:val="00725132"/>
    <w:rsid w:val="007326A8"/>
    <w:rsid w:val="00734A9F"/>
    <w:rsid w:val="00742394"/>
    <w:rsid w:val="00760628"/>
    <w:rsid w:val="0076246C"/>
    <w:rsid w:val="0078469F"/>
    <w:rsid w:val="00786320"/>
    <w:rsid w:val="00786656"/>
    <w:rsid w:val="0079109A"/>
    <w:rsid w:val="007A06B7"/>
    <w:rsid w:val="007B7767"/>
    <w:rsid w:val="007C0E89"/>
    <w:rsid w:val="007D6FC3"/>
    <w:rsid w:val="007F29DF"/>
    <w:rsid w:val="007F3558"/>
    <w:rsid w:val="007F5FC8"/>
    <w:rsid w:val="00806B9B"/>
    <w:rsid w:val="00832BCD"/>
    <w:rsid w:val="008334D8"/>
    <w:rsid w:val="00836D30"/>
    <w:rsid w:val="00842479"/>
    <w:rsid w:val="00843C21"/>
    <w:rsid w:val="0084500E"/>
    <w:rsid w:val="008517C1"/>
    <w:rsid w:val="0085248F"/>
    <w:rsid w:val="008560B9"/>
    <w:rsid w:val="00860964"/>
    <w:rsid w:val="00870AC6"/>
    <w:rsid w:val="00874B8D"/>
    <w:rsid w:val="00881445"/>
    <w:rsid w:val="00882120"/>
    <w:rsid w:val="00887DE2"/>
    <w:rsid w:val="008A1681"/>
    <w:rsid w:val="008A39AB"/>
    <w:rsid w:val="008B199B"/>
    <w:rsid w:val="008B3631"/>
    <w:rsid w:val="008B744D"/>
    <w:rsid w:val="008C0FEA"/>
    <w:rsid w:val="008E378E"/>
    <w:rsid w:val="008E49F9"/>
    <w:rsid w:val="008E633F"/>
    <w:rsid w:val="008E79C6"/>
    <w:rsid w:val="00903625"/>
    <w:rsid w:val="009046C5"/>
    <w:rsid w:val="00905AB3"/>
    <w:rsid w:val="00916B96"/>
    <w:rsid w:val="009176A2"/>
    <w:rsid w:val="00920D6E"/>
    <w:rsid w:val="00925ADE"/>
    <w:rsid w:val="0092687A"/>
    <w:rsid w:val="009308F0"/>
    <w:rsid w:val="00930C9B"/>
    <w:rsid w:val="009472B7"/>
    <w:rsid w:val="009477CB"/>
    <w:rsid w:val="00956E6B"/>
    <w:rsid w:val="00957A5B"/>
    <w:rsid w:val="009601BE"/>
    <w:rsid w:val="00962D0E"/>
    <w:rsid w:val="00963D3B"/>
    <w:rsid w:val="00971829"/>
    <w:rsid w:val="00972342"/>
    <w:rsid w:val="00981D3A"/>
    <w:rsid w:val="009A4718"/>
    <w:rsid w:val="009A49E4"/>
    <w:rsid w:val="009A52D4"/>
    <w:rsid w:val="009C7651"/>
    <w:rsid w:val="009E25AE"/>
    <w:rsid w:val="009E5B39"/>
    <w:rsid w:val="009E6800"/>
    <w:rsid w:val="00A0339F"/>
    <w:rsid w:val="00A0763E"/>
    <w:rsid w:val="00A108B9"/>
    <w:rsid w:val="00A11B3F"/>
    <w:rsid w:val="00A17C72"/>
    <w:rsid w:val="00A21947"/>
    <w:rsid w:val="00A274C6"/>
    <w:rsid w:val="00A3394E"/>
    <w:rsid w:val="00A3530F"/>
    <w:rsid w:val="00A35324"/>
    <w:rsid w:val="00A416DE"/>
    <w:rsid w:val="00A53AE5"/>
    <w:rsid w:val="00A53C76"/>
    <w:rsid w:val="00A55121"/>
    <w:rsid w:val="00A5559F"/>
    <w:rsid w:val="00A6651E"/>
    <w:rsid w:val="00A76A48"/>
    <w:rsid w:val="00A826E7"/>
    <w:rsid w:val="00AA6D89"/>
    <w:rsid w:val="00AB4C35"/>
    <w:rsid w:val="00AB792D"/>
    <w:rsid w:val="00AD0C45"/>
    <w:rsid w:val="00AD6D25"/>
    <w:rsid w:val="00AE1F3C"/>
    <w:rsid w:val="00AF6597"/>
    <w:rsid w:val="00B003D5"/>
    <w:rsid w:val="00B028DB"/>
    <w:rsid w:val="00B0351C"/>
    <w:rsid w:val="00B04527"/>
    <w:rsid w:val="00B06D87"/>
    <w:rsid w:val="00B1108B"/>
    <w:rsid w:val="00B15D34"/>
    <w:rsid w:val="00B16691"/>
    <w:rsid w:val="00B333D7"/>
    <w:rsid w:val="00B35157"/>
    <w:rsid w:val="00B354F1"/>
    <w:rsid w:val="00B71240"/>
    <w:rsid w:val="00B73582"/>
    <w:rsid w:val="00B769B0"/>
    <w:rsid w:val="00B8231B"/>
    <w:rsid w:val="00B865F7"/>
    <w:rsid w:val="00B87A6C"/>
    <w:rsid w:val="00B953A2"/>
    <w:rsid w:val="00BC37A5"/>
    <w:rsid w:val="00BD17BD"/>
    <w:rsid w:val="00BD2B45"/>
    <w:rsid w:val="00BD7EFC"/>
    <w:rsid w:val="00BE0FB0"/>
    <w:rsid w:val="00BE3CD3"/>
    <w:rsid w:val="00BE4526"/>
    <w:rsid w:val="00BF1D42"/>
    <w:rsid w:val="00BF78B9"/>
    <w:rsid w:val="00C10B2E"/>
    <w:rsid w:val="00C123AB"/>
    <w:rsid w:val="00C234E4"/>
    <w:rsid w:val="00C35E81"/>
    <w:rsid w:val="00C43EBB"/>
    <w:rsid w:val="00C44BC1"/>
    <w:rsid w:val="00C51B99"/>
    <w:rsid w:val="00C5747F"/>
    <w:rsid w:val="00C660E6"/>
    <w:rsid w:val="00C66D4B"/>
    <w:rsid w:val="00C71D50"/>
    <w:rsid w:val="00C73B37"/>
    <w:rsid w:val="00C7524A"/>
    <w:rsid w:val="00C80626"/>
    <w:rsid w:val="00C812FB"/>
    <w:rsid w:val="00C81D09"/>
    <w:rsid w:val="00C83B57"/>
    <w:rsid w:val="00C95182"/>
    <w:rsid w:val="00C96EFB"/>
    <w:rsid w:val="00CA1733"/>
    <w:rsid w:val="00CA7942"/>
    <w:rsid w:val="00CB06D7"/>
    <w:rsid w:val="00CB5C68"/>
    <w:rsid w:val="00CB7C66"/>
    <w:rsid w:val="00CC7EFC"/>
    <w:rsid w:val="00CE1172"/>
    <w:rsid w:val="00CE67E2"/>
    <w:rsid w:val="00CF09F0"/>
    <w:rsid w:val="00CF1181"/>
    <w:rsid w:val="00CF790B"/>
    <w:rsid w:val="00CF7E18"/>
    <w:rsid w:val="00D220F3"/>
    <w:rsid w:val="00D30160"/>
    <w:rsid w:val="00D33D09"/>
    <w:rsid w:val="00D44AC9"/>
    <w:rsid w:val="00D47982"/>
    <w:rsid w:val="00D55CD9"/>
    <w:rsid w:val="00D57003"/>
    <w:rsid w:val="00D6428E"/>
    <w:rsid w:val="00D66A91"/>
    <w:rsid w:val="00D74547"/>
    <w:rsid w:val="00D75F76"/>
    <w:rsid w:val="00D861FC"/>
    <w:rsid w:val="00D87B96"/>
    <w:rsid w:val="00D975AC"/>
    <w:rsid w:val="00DA154B"/>
    <w:rsid w:val="00DA5B51"/>
    <w:rsid w:val="00DB24B2"/>
    <w:rsid w:val="00DB3224"/>
    <w:rsid w:val="00DB62D4"/>
    <w:rsid w:val="00DC5528"/>
    <w:rsid w:val="00DC5B74"/>
    <w:rsid w:val="00DD09E7"/>
    <w:rsid w:val="00DE0507"/>
    <w:rsid w:val="00DE0A4B"/>
    <w:rsid w:val="00DE5E86"/>
    <w:rsid w:val="00DF2DC4"/>
    <w:rsid w:val="00DF3CB1"/>
    <w:rsid w:val="00E02F27"/>
    <w:rsid w:val="00E07450"/>
    <w:rsid w:val="00E16803"/>
    <w:rsid w:val="00E23AA1"/>
    <w:rsid w:val="00E24129"/>
    <w:rsid w:val="00E24867"/>
    <w:rsid w:val="00E32D09"/>
    <w:rsid w:val="00E364AD"/>
    <w:rsid w:val="00E40FB3"/>
    <w:rsid w:val="00E44F60"/>
    <w:rsid w:val="00E51A5B"/>
    <w:rsid w:val="00E54A37"/>
    <w:rsid w:val="00E6619A"/>
    <w:rsid w:val="00E73D9A"/>
    <w:rsid w:val="00E76890"/>
    <w:rsid w:val="00E8015B"/>
    <w:rsid w:val="00E85091"/>
    <w:rsid w:val="00EB19BB"/>
    <w:rsid w:val="00EB3F9D"/>
    <w:rsid w:val="00EC2070"/>
    <w:rsid w:val="00EC3B78"/>
    <w:rsid w:val="00ED4528"/>
    <w:rsid w:val="00EF11E2"/>
    <w:rsid w:val="00EF22BF"/>
    <w:rsid w:val="00EF2EE5"/>
    <w:rsid w:val="00F05277"/>
    <w:rsid w:val="00F2027E"/>
    <w:rsid w:val="00F27943"/>
    <w:rsid w:val="00F31608"/>
    <w:rsid w:val="00F5099A"/>
    <w:rsid w:val="00F52CD5"/>
    <w:rsid w:val="00F743F1"/>
    <w:rsid w:val="00F75886"/>
    <w:rsid w:val="00F847DA"/>
    <w:rsid w:val="00F973AD"/>
    <w:rsid w:val="00FA5D57"/>
    <w:rsid w:val="00FD3268"/>
    <w:rsid w:val="00FD7D45"/>
    <w:rsid w:val="00FF6E28"/>
    <w:rsid w:val="01083D45"/>
    <w:rsid w:val="010A0B40"/>
    <w:rsid w:val="0115065C"/>
    <w:rsid w:val="013F444F"/>
    <w:rsid w:val="0158325C"/>
    <w:rsid w:val="01704EA4"/>
    <w:rsid w:val="017F5B8D"/>
    <w:rsid w:val="017F6B8A"/>
    <w:rsid w:val="01873FBC"/>
    <w:rsid w:val="019079CE"/>
    <w:rsid w:val="01954628"/>
    <w:rsid w:val="01D03366"/>
    <w:rsid w:val="01DC1ACD"/>
    <w:rsid w:val="01E63811"/>
    <w:rsid w:val="021905B8"/>
    <w:rsid w:val="02204611"/>
    <w:rsid w:val="02283A7E"/>
    <w:rsid w:val="024758F8"/>
    <w:rsid w:val="025843E4"/>
    <w:rsid w:val="02726144"/>
    <w:rsid w:val="027A54A0"/>
    <w:rsid w:val="02B62D35"/>
    <w:rsid w:val="03333DED"/>
    <w:rsid w:val="03645F13"/>
    <w:rsid w:val="036E71D8"/>
    <w:rsid w:val="03773C2D"/>
    <w:rsid w:val="037D0CDD"/>
    <w:rsid w:val="03976A09"/>
    <w:rsid w:val="03BD2A1A"/>
    <w:rsid w:val="03E71306"/>
    <w:rsid w:val="0408279F"/>
    <w:rsid w:val="040A2740"/>
    <w:rsid w:val="04421273"/>
    <w:rsid w:val="049963B7"/>
    <w:rsid w:val="049D0A7F"/>
    <w:rsid w:val="04BD7FF9"/>
    <w:rsid w:val="04CB0BC2"/>
    <w:rsid w:val="04EC20C0"/>
    <w:rsid w:val="04FA6554"/>
    <w:rsid w:val="04FC5935"/>
    <w:rsid w:val="04FC59DA"/>
    <w:rsid w:val="050D659D"/>
    <w:rsid w:val="05264D9D"/>
    <w:rsid w:val="053551DE"/>
    <w:rsid w:val="055F0F75"/>
    <w:rsid w:val="056F0195"/>
    <w:rsid w:val="05884700"/>
    <w:rsid w:val="059A2F73"/>
    <w:rsid w:val="05A30BB7"/>
    <w:rsid w:val="05C860A5"/>
    <w:rsid w:val="05D348BB"/>
    <w:rsid w:val="05DB6A0D"/>
    <w:rsid w:val="05F05251"/>
    <w:rsid w:val="060C3FB8"/>
    <w:rsid w:val="064726F7"/>
    <w:rsid w:val="064A404E"/>
    <w:rsid w:val="064A736A"/>
    <w:rsid w:val="065334CC"/>
    <w:rsid w:val="06562BCE"/>
    <w:rsid w:val="065C0761"/>
    <w:rsid w:val="06611704"/>
    <w:rsid w:val="0661484A"/>
    <w:rsid w:val="06870AF9"/>
    <w:rsid w:val="06A76AC5"/>
    <w:rsid w:val="06AE0035"/>
    <w:rsid w:val="06C62FAD"/>
    <w:rsid w:val="06D55232"/>
    <w:rsid w:val="06D97940"/>
    <w:rsid w:val="06E623A0"/>
    <w:rsid w:val="06EE6794"/>
    <w:rsid w:val="06F073EB"/>
    <w:rsid w:val="06F660FF"/>
    <w:rsid w:val="070331FB"/>
    <w:rsid w:val="07033620"/>
    <w:rsid w:val="071711D2"/>
    <w:rsid w:val="07516EAB"/>
    <w:rsid w:val="07650B16"/>
    <w:rsid w:val="078E144A"/>
    <w:rsid w:val="079A4EA3"/>
    <w:rsid w:val="07C31032"/>
    <w:rsid w:val="07DD1D97"/>
    <w:rsid w:val="08032184"/>
    <w:rsid w:val="08063E80"/>
    <w:rsid w:val="082D71F9"/>
    <w:rsid w:val="08556F49"/>
    <w:rsid w:val="0857736B"/>
    <w:rsid w:val="08585861"/>
    <w:rsid w:val="086E38B9"/>
    <w:rsid w:val="087F7DB7"/>
    <w:rsid w:val="08A3557B"/>
    <w:rsid w:val="08B23812"/>
    <w:rsid w:val="08BA33F8"/>
    <w:rsid w:val="08C244A7"/>
    <w:rsid w:val="08F17796"/>
    <w:rsid w:val="09097B8C"/>
    <w:rsid w:val="09574C75"/>
    <w:rsid w:val="09667F89"/>
    <w:rsid w:val="097243CD"/>
    <w:rsid w:val="09841837"/>
    <w:rsid w:val="09BE70AD"/>
    <w:rsid w:val="09CC0B9F"/>
    <w:rsid w:val="0A1F1C61"/>
    <w:rsid w:val="0A402EF2"/>
    <w:rsid w:val="0A437748"/>
    <w:rsid w:val="0A8F2787"/>
    <w:rsid w:val="0A9D7A64"/>
    <w:rsid w:val="0AA365A9"/>
    <w:rsid w:val="0AE00BC8"/>
    <w:rsid w:val="0B110426"/>
    <w:rsid w:val="0B26670D"/>
    <w:rsid w:val="0B446AEB"/>
    <w:rsid w:val="0B621690"/>
    <w:rsid w:val="0BA11E16"/>
    <w:rsid w:val="0BD31815"/>
    <w:rsid w:val="0BE47B25"/>
    <w:rsid w:val="0C3643A3"/>
    <w:rsid w:val="0C6447F4"/>
    <w:rsid w:val="0C654FEF"/>
    <w:rsid w:val="0C757B9B"/>
    <w:rsid w:val="0C7B44D9"/>
    <w:rsid w:val="0CBC6D8F"/>
    <w:rsid w:val="0CCB52C3"/>
    <w:rsid w:val="0CD05ED2"/>
    <w:rsid w:val="0CF91BC5"/>
    <w:rsid w:val="0D284D99"/>
    <w:rsid w:val="0D2D56E8"/>
    <w:rsid w:val="0D3C387F"/>
    <w:rsid w:val="0D9065EF"/>
    <w:rsid w:val="0DA135C5"/>
    <w:rsid w:val="0DE9579D"/>
    <w:rsid w:val="0E3054CE"/>
    <w:rsid w:val="0E3C1312"/>
    <w:rsid w:val="0E6A7443"/>
    <w:rsid w:val="0E7053E2"/>
    <w:rsid w:val="0E7C0051"/>
    <w:rsid w:val="0E7C60B5"/>
    <w:rsid w:val="0E82376F"/>
    <w:rsid w:val="0E8A50ED"/>
    <w:rsid w:val="0E8F0B36"/>
    <w:rsid w:val="0EA0023E"/>
    <w:rsid w:val="0EA05A8E"/>
    <w:rsid w:val="0ECE73F7"/>
    <w:rsid w:val="0ED05D16"/>
    <w:rsid w:val="0ED45BB5"/>
    <w:rsid w:val="0EEA0B6C"/>
    <w:rsid w:val="0F2B2DB8"/>
    <w:rsid w:val="0F4E69B0"/>
    <w:rsid w:val="0F6230DC"/>
    <w:rsid w:val="0F643CD1"/>
    <w:rsid w:val="0F696B5C"/>
    <w:rsid w:val="0F7579AF"/>
    <w:rsid w:val="0F816F20"/>
    <w:rsid w:val="0F9B4D57"/>
    <w:rsid w:val="0FDF5E25"/>
    <w:rsid w:val="101E1A26"/>
    <w:rsid w:val="102F09AC"/>
    <w:rsid w:val="10334E11"/>
    <w:rsid w:val="104D56D4"/>
    <w:rsid w:val="108965B9"/>
    <w:rsid w:val="10DD4C96"/>
    <w:rsid w:val="10E60293"/>
    <w:rsid w:val="11031F80"/>
    <w:rsid w:val="111E4960"/>
    <w:rsid w:val="1122342A"/>
    <w:rsid w:val="115E0DC8"/>
    <w:rsid w:val="116800CB"/>
    <w:rsid w:val="1183512B"/>
    <w:rsid w:val="118A55C9"/>
    <w:rsid w:val="118F0306"/>
    <w:rsid w:val="11AB1900"/>
    <w:rsid w:val="11AD417D"/>
    <w:rsid w:val="11D949A9"/>
    <w:rsid w:val="12443C92"/>
    <w:rsid w:val="12496FAE"/>
    <w:rsid w:val="125B567F"/>
    <w:rsid w:val="12BB32D1"/>
    <w:rsid w:val="12F3676D"/>
    <w:rsid w:val="131D4D3C"/>
    <w:rsid w:val="13265F20"/>
    <w:rsid w:val="13446785"/>
    <w:rsid w:val="136A49F7"/>
    <w:rsid w:val="13750983"/>
    <w:rsid w:val="137D3242"/>
    <w:rsid w:val="13976C2F"/>
    <w:rsid w:val="13A50343"/>
    <w:rsid w:val="13F87982"/>
    <w:rsid w:val="142000FF"/>
    <w:rsid w:val="14246519"/>
    <w:rsid w:val="142625C8"/>
    <w:rsid w:val="145E7D63"/>
    <w:rsid w:val="14787729"/>
    <w:rsid w:val="14813515"/>
    <w:rsid w:val="14B37743"/>
    <w:rsid w:val="14B761FD"/>
    <w:rsid w:val="14C534EA"/>
    <w:rsid w:val="14C569E3"/>
    <w:rsid w:val="14FA4532"/>
    <w:rsid w:val="14FD7367"/>
    <w:rsid w:val="150B6648"/>
    <w:rsid w:val="153F74F5"/>
    <w:rsid w:val="15474651"/>
    <w:rsid w:val="15507BAF"/>
    <w:rsid w:val="155C0CB5"/>
    <w:rsid w:val="15682A1B"/>
    <w:rsid w:val="156C2A48"/>
    <w:rsid w:val="156E349F"/>
    <w:rsid w:val="15756525"/>
    <w:rsid w:val="157D4AC9"/>
    <w:rsid w:val="1590670E"/>
    <w:rsid w:val="15AB2D48"/>
    <w:rsid w:val="16117C11"/>
    <w:rsid w:val="161A77FA"/>
    <w:rsid w:val="16816EC6"/>
    <w:rsid w:val="168A4757"/>
    <w:rsid w:val="16A6634C"/>
    <w:rsid w:val="16BA02D8"/>
    <w:rsid w:val="16BC2603"/>
    <w:rsid w:val="16C54320"/>
    <w:rsid w:val="16D40240"/>
    <w:rsid w:val="16D42978"/>
    <w:rsid w:val="16ED01E0"/>
    <w:rsid w:val="17040DFD"/>
    <w:rsid w:val="170979CA"/>
    <w:rsid w:val="1714344D"/>
    <w:rsid w:val="178906B6"/>
    <w:rsid w:val="179D39AC"/>
    <w:rsid w:val="17D057E5"/>
    <w:rsid w:val="17DF0425"/>
    <w:rsid w:val="17E562F3"/>
    <w:rsid w:val="17E95B46"/>
    <w:rsid w:val="17EA1B6C"/>
    <w:rsid w:val="17FD52FB"/>
    <w:rsid w:val="18180676"/>
    <w:rsid w:val="184212F2"/>
    <w:rsid w:val="189509C3"/>
    <w:rsid w:val="18DE7CA9"/>
    <w:rsid w:val="18F54EAE"/>
    <w:rsid w:val="19262DA7"/>
    <w:rsid w:val="19445A0E"/>
    <w:rsid w:val="194F3645"/>
    <w:rsid w:val="19674B6F"/>
    <w:rsid w:val="199A5EFF"/>
    <w:rsid w:val="19A44506"/>
    <w:rsid w:val="19C50D4A"/>
    <w:rsid w:val="19DB6AAB"/>
    <w:rsid w:val="19F00E49"/>
    <w:rsid w:val="19FA44B1"/>
    <w:rsid w:val="1A0B2771"/>
    <w:rsid w:val="1A154EBC"/>
    <w:rsid w:val="1A276114"/>
    <w:rsid w:val="1A391215"/>
    <w:rsid w:val="1A415FCB"/>
    <w:rsid w:val="1A5053C2"/>
    <w:rsid w:val="1A546CBE"/>
    <w:rsid w:val="1A696F87"/>
    <w:rsid w:val="1A75281D"/>
    <w:rsid w:val="1A8D572D"/>
    <w:rsid w:val="1A971AB0"/>
    <w:rsid w:val="1AB62046"/>
    <w:rsid w:val="1AD11223"/>
    <w:rsid w:val="1AD338E8"/>
    <w:rsid w:val="1B302BE8"/>
    <w:rsid w:val="1B371DC5"/>
    <w:rsid w:val="1B5348D7"/>
    <w:rsid w:val="1B5B6470"/>
    <w:rsid w:val="1B607D53"/>
    <w:rsid w:val="1B860676"/>
    <w:rsid w:val="1B9A7A98"/>
    <w:rsid w:val="1BA15475"/>
    <w:rsid w:val="1BA4524D"/>
    <w:rsid w:val="1BA720ED"/>
    <w:rsid w:val="1BAA7496"/>
    <w:rsid w:val="1BBA38E7"/>
    <w:rsid w:val="1BEA1F70"/>
    <w:rsid w:val="1C26543D"/>
    <w:rsid w:val="1C291499"/>
    <w:rsid w:val="1C303806"/>
    <w:rsid w:val="1C4117B3"/>
    <w:rsid w:val="1C466D5D"/>
    <w:rsid w:val="1C7B76BC"/>
    <w:rsid w:val="1C7F0481"/>
    <w:rsid w:val="1C917028"/>
    <w:rsid w:val="1CA5205F"/>
    <w:rsid w:val="1CDF0AF5"/>
    <w:rsid w:val="1CEE5A15"/>
    <w:rsid w:val="1D090B49"/>
    <w:rsid w:val="1D284254"/>
    <w:rsid w:val="1D2E591C"/>
    <w:rsid w:val="1D4345DD"/>
    <w:rsid w:val="1D4666F2"/>
    <w:rsid w:val="1D4870E5"/>
    <w:rsid w:val="1D501BC0"/>
    <w:rsid w:val="1D9021D6"/>
    <w:rsid w:val="1D9C71AB"/>
    <w:rsid w:val="1DDC3D82"/>
    <w:rsid w:val="1DE83215"/>
    <w:rsid w:val="1E5E3F75"/>
    <w:rsid w:val="1E5E5A5C"/>
    <w:rsid w:val="1E6A7D40"/>
    <w:rsid w:val="1EC662CF"/>
    <w:rsid w:val="1F0062A2"/>
    <w:rsid w:val="1F174376"/>
    <w:rsid w:val="1F396C99"/>
    <w:rsid w:val="1F5C6FFA"/>
    <w:rsid w:val="1F71124A"/>
    <w:rsid w:val="1F7D08FE"/>
    <w:rsid w:val="1FA44A7A"/>
    <w:rsid w:val="1FCB077F"/>
    <w:rsid w:val="1FDE3222"/>
    <w:rsid w:val="1FF57D89"/>
    <w:rsid w:val="1FFB2594"/>
    <w:rsid w:val="20024974"/>
    <w:rsid w:val="20233D74"/>
    <w:rsid w:val="204246F5"/>
    <w:rsid w:val="206B7AA5"/>
    <w:rsid w:val="207B3705"/>
    <w:rsid w:val="20E53D47"/>
    <w:rsid w:val="20F60E55"/>
    <w:rsid w:val="211F397A"/>
    <w:rsid w:val="218375B3"/>
    <w:rsid w:val="21B167B4"/>
    <w:rsid w:val="21E97F2A"/>
    <w:rsid w:val="21F01EF9"/>
    <w:rsid w:val="22072402"/>
    <w:rsid w:val="22136B16"/>
    <w:rsid w:val="223D79B0"/>
    <w:rsid w:val="223F7707"/>
    <w:rsid w:val="226178F5"/>
    <w:rsid w:val="22856798"/>
    <w:rsid w:val="22BC1795"/>
    <w:rsid w:val="22C46D58"/>
    <w:rsid w:val="22CC23B9"/>
    <w:rsid w:val="22DB728A"/>
    <w:rsid w:val="22E7188C"/>
    <w:rsid w:val="22E747B5"/>
    <w:rsid w:val="230333FD"/>
    <w:rsid w:val="230B0B88"/>
    <w:rsid w:val="2323524B"/>
    <w:rsid w:val="23400310"/>
    <w:rsid w:val="234B49E2"/>
    <w:rsid w:val="237E71FA"/>
    <w:rsid w:val="238A0AEF"/>
    <w:rsid w:val="238D2DAD"/>
    <w:rsid w:val="23923C36"/>
    <w:rsid w:val="23D52974"/>
    <w:rsid w:val="23EE51C2"/>
    <w:rsid w:val="24094B00"/>
    <w:rsid w:val="240E783E"/>
    <w:rsid w:val="241871DD"/>
    <w:rsid w:val="242B25DA"/>
    <w:rsid w:val="24324C08"/>
    <w:rsid w:val="24334BB9"/>
    <w:rsid w:val="243830EC"/>
    <w:rsid w:val="24463053"/>
    <w:rsid w:val="24807AD4"/>
    <w:rsid w:val="24837F31"/>
    <w:rsid w:val="24A672EF"/>
    <w:rsid w:val="24CB1DAA"/>
    <w:rsid w:val="24D549DD"/>
    <w:rsid w:val="24E24B21"/>
    <w:rsid w:val="24F61D9A"/>
    <w:rsid w:val="25054CE5"/>
    <w:rsid w:val="25123D82"/>
    <w:rsid w:val="253B238F"/>
    <w:rsid w:val="255D4D1B"/>
    <w:rsid w:val="258D7B05"/>
    <w:rsid w:val="25A25ED6"/>
    <w:rsid w:val="25BB15A6"/>
    <w:rsid w:val="25C16AB4"/>
    <w:rsid w:val="25CC3D3C"/>
    <w:rsid w:val="25EA3A6E"/>
    <w:rsid w:val="25F92708"/>
    <w:rsid w:val="26167B2F"/>
    <w:rsid w:val="261B0689"/>
    <w:rsid w:val="262354A3"/>
    <w:rsid w:val="26342E4D"/>
    <w:rsid w:val="263C7386"/>
    <w:rsid w:val="26415290"/>
    <w:rsid w:val="26485805"/>
    <w:rsid w:val="267821A9"/>
    <w:rsid w:val="268317E5"/>
    <w:rsid w:val="268C0BA2"/>
    <w:rsid w:val="26D350ED"/>
    <w:rsid w:val="26FC2133"/>
    <w:rsid w:val="26FE5045"/>
    <w:rsid w:val="270E38E2"/>
    <w:rsid w:val="270F29FE"/>
    <w:rsid w:val="2721410C"/>
    <w:rsid w:val="274A4BB3"/>
    <w:rsid w:val="27561698"/>
    <w:rsid w:val="27641A88"/>
    <w:rsid w:val="27B454F7"/>
    <w:rsid w:val="27B713F3"/>
    <w:rsid w:val="27D61B22"/>
    <w:rsid w:val="27D74EA2"/>
    <w:rsid w:val="27E01333"/>
    <w:rsid w:val="27E90D02"/>
    <w:rsid w:val="27F45FB8"/>
    <w:rsid w:val="282718FC"/>
    <w:rsid w:val="28303476"/>
    <w:rsid w:val="28322C79"/>
    <w:rsid w:val="2859377E"/>
    <w:rsid w:val="286B34B1"/>
    <w:rsid w:val="287A5E48"/>
    <w:rsid w:val="28CC20F5"/>
    <w:rsid w:val="290D7AB3"/>
    <w:rsid w:val="291C1986"/>
    <w:rsid w:val="2933786C"/>
    <w:rsid w:val="293452E9"/>
    <w:rsid w:val="29345979"/>
    <w:rsid w:val="294B7E10"/>
    <w:rsid w:val="2953412D"/>
    <w:rsid w:val="295F5150"/>
    <w:rsid w:val="296555B7"/>
    <w:rsid w:val="29765048"/>
    <w:rsid w:val="29AB4D23"/>
    <w:rsid w:val="29B07494"/>
    <w:rsid w:val="29E42828"/>
    <w:rsid w:val="29F82FA7"/>
    <w:rsid w:val="2A185116"/>
    <w:rsid w:val="2A365C57"/>
    <w:rsid w:val="2A424B52"/>
    <w:rsid w:val="2A461CA1"/>
    <w:rsid w:val="2A495970"/>
    <w:rsid w:val="2A60683B"/>
    <w:rsid w:val="2A753D5F"/>
    <w:rsid w:val="2A882800"/>
    <w:rsid w:val="2AB04B71"/>
    <w:rsid w:val="2AD14753"/>
    <w:rsid w:val="2AD20A0E"/>
    <w:rsid w:val="2ADE4A98"/>
    <w:rsid w:val="2B350720"/>
    <w:rsid w:val="2B3B328C"/>
    <w:rsid w:val="2B5B4734"/>
    <w:rsid w:val="2B631D38"/>
    <w:rsid w:val="2B6941C8"/>
    <w:rsid w:val="2B7700E7"/>
    <w:rsid w:val="2B922F89"/>
    <w:rsid w:val="2BAC69A0"/>
    <w:rsid w:val="2BB949A6"/>
    <w:rsid w:val="2BBC48D6"/>
    <w:rsid w:val="2BE83B6B"/>
    <w:rsid w:val="2BFE091C"/>
    <w:rsid w:val="2C233A1F"/>
    <w:rsid w:val="2C307046"/>
    <w:rsid w:val="2C456046"/>
    <w:rsid w:val="2C5D22DE"/>
    <w:rsid w:val="2C803456"/>
    <w:rsid w:val="2CA40883"/>
    <w:rsid w:val="2CCB1D1D"/>
    <w:rsid w:val="2CCF0946"/>
    <w:rsid w:val="2D0628A0"/>
    <w:rsid w:val="2D0D0B5E"/>
    <w:rsid w:val="2D0E42D8"/>
    <w:rsid w:val="2D1A7EA0"/>
    <w:rsid w:val="2D292F75"/>
    <w:rsid w:val="2D870DD0"/>
    <w:rsid w:val="2D935AAF"/>
    <w:rsid w:val="2DB46FA5"/>
    <w:rsid w:val="2DCE3269"/>
    <w:rsid w:val="2DD52B1B"/>
    <w:rsid w:val="2DFC6904"/>
    <w:rsid w:val="2E9040A3"/>
    <w:rsid w:val="2E9D0737"/>
    <w:rsid w:val="2EE55D36"/>
    <w:rsid w:val="2EFC4A1E"/>
    <w:rsid w:val="2F1526E8"/>
    <w:rsid w:val="2F296E69"/>
    <w:rsid w:val="2F2D508B"/>
    <w:rsid w:val="2F4349DB"/>
    <w:rsid w:val="2F6176F7"/>
    <w:rsid w:val="2FAE4F19"/>
    <w:rsid w:val="2FB41564"/>
    <w:rsid w:val="2FB561B1"/>
    <w:rsid w:val="2FC266D8"/>
    <w:rsid w:val="2FDA21C9"/>
    <w:rsid w:val="30656AE9"/>
    <w:rsid w:val="307748D0"/>
    <w:rsid w:val="30845E6A"/>
    <w:rsid w:val="30853848"/>
    <w:rsid w:val="308B5AAA"/>
    <w:rsid w:val="30BC77CA"/>
    <w:rsid w:val="30CD0A31"/>
    <w:rsid w:val="30EA250B"/>
    <w:rsid w:val="310F07D4"/>
    <w:rsid w:val="31164C6A"/>
    <w:rsid w:val="31480E27"/>
    <w:rsid w:val="314A1FAC"/>
    <w:rsid w:val="31565A94"/>
    <w:rsid w:val="316A211F"/>
    <w:rsid w:val="31701195"/>
    <w:rsid w:val="318E7FC4"/>
    <w:rsid w:val="31B67AEF"/>
    <w:rsid w:val="31C61143"/>
    <w:rsid w:val="31CA4DBD"/>
    <w:rsid w:val="31D9410B"/>
    <w:rsid w:val="320E3755"/>
    <w:rsid w:val="3223018B"/>
    <w:rsid w:val="323C6FD6"/>
    <w:rsid w:val="32475CEA"/>
    <w:rsid w:val="32571ABC"/>
    <w:rsid w:val="326F69DE"/>
    <w:rsid w:val="32CE6991"/>
    <w:rsid w:val="32CF16D7"/>
    <w:rsid w:val="32EB3113"/>
    <w:rsid w:val="32EE2934"/>
    <w:rsid w:val="32F5031E"/>
    <w:rsid w:val="330A787A"/>
    <w:rsid w:val="337B0496"/>
    <w:rsid w:val="338710A4"/>
    <w:rsid w:val="33C10F78"/>
    <w:rsid w:val="33F62C86"/>
    <w:rsid w:val="341F4D62"/>
    <w:rsid w:val="343A5F9B"/>
    <w:rsid w:val="34602DD2"/>
    <w:rsid w:val="34672D65"/>
    <w:rsid w:val="34791EFB"/>
    <w:rsid w:val="347C4B42"/>
    <w:rsid w:val="34805FC3"/>
    <w:rsid w:val="348C4EDB"/>
    <w:rsid w:val="34935499"/>
    <w:rsid w:val="34997C37"/>
    <w:rsid w:val="349C765D"/>
    <w:rsid w:val="34AD22C6"/>
    <w:rsid w:val="34AE6899"/>
    <w:rsid w:val="34BB53BA"/>
    <w:rsid w:val="34BF14C9"/>
    <w:rsid w:val="34C32363"/>
    <w:rsid w:val="34DE7A68"/>
    <w:rsid w:val="34E0585E"/>
    <w:rsid w:val="35045D6D"/>
    <w:rsid w:val="350C6F9D"/>
    <w:rsid w:val="35416C6E"/>
    <w:rsid w:val="35684D75"/>
    <w:rsid w:val="357E1BF8"/>
    <w:rsid w:val="358158E3"/>
    <w:rsid w:val="359D364E"/>
    <w:rsid w:val="35C9302D"/>
    <w:rsid w:val="35E55DA9"/>
    <w:rsid w:val="35EB2DB6"/>
    <w:rsid w:val="36016D99"/>
    <w:rsid w:val="3617611B"/>
    <w:rsid w:val="364D7BD8"/>
    <w:rsid w:val="36505182"/>
    <w:rsid w:val="3661655B"/>
    <w:rsid w:val="36A45AD7"/>
    <w:rsid w:val="36A84509"/>
    <w:rsid w:val="36A96B18"/>
    <w:rsid w:val="36D9309D"/>
    <w:rsid w:val="36EC0361"/>
    <w:rsid w:val="36F4484A"/>
    <w:rsid w:val="370541F9"/>
    <w:rsid w:val="372362A9"/>
    <w:rsid w:val="37280171"/>
    <w:rsid w:val="37574ADE"/>
    <w:rsid w:val="377C5E9F"/>
    <w:rsid w:val="37912F78"/>
    <w:rsid w:val="37A375F8"/>
    <w:rsid w:val="37B61A59"/>
    <w:rsid w:val="37BB279C"/>
    <w:rsid w:val="37C24B91"/>
    <w:rsid w:val="37FE1B21"/>
    <w:rsid w:val="380F2BAF"/>
    <w:rsid w:val="3824228F"/>
    <w:rsid w:val="38557512"/>
    <w:rsid w:val="38723749"/>
    <w:rsid w:val="388668B1"/>
    <w:rsid w:val="38D40742"/>
    <w:rsid w:val="38E75C43"/>
    <w:rsid w:val="39013BA7"/>
    <w:rsid w:val="3903090F"/>
    <w:rsid w:val="394A57A8"/>
    <w:rsid w:val="39572D39"/>
    <w:rsid w:val="396E7AFA"/>
    <w:rsid w:val="39B704E8"/>
    <w:rsid w:val="39B96CC3"/>
    <w:rsid w:val="39F239E4"/>
    <w:rsid w:val="3A0708F9"/>
    <w:rsid w:val="3A0D7D17"/>
    <w:rsid w:val="3A1643D9"/>
    <w:rsid w:val="3A1F533A"/>
    <w:rsid w:val="3A2A11B6"/>
    <w:rsid w:val="3A3853F3"/>
    <w:rsid w:val="3A4E4DA2"/>
    <w:rsid w:val="3A5E4C8E"/>
    <w:rsid w:val="3A763B78"/>
    <w:rsid w:val="3A8A50DE"/>
    <w:rsid w:val="3AA74822"/>
    <w:rsid w:val="3AB536ED"/>
    <w:rsid w:val="3AD3302E"/>
    <w:rsid w:val="3ADC7F3D"/>
    <w:rsid w:val="3AE14C79"/>
    <w:rsid w:val="3B346A17"/>
    <w:rsid w:val="3BA34F72"/>
    <w:rsid w:val="3BD03CA1"/>
    <w:rsid w:val="3C0F1800"/>
    <w:rsid w:val="3C360F17"/>
    <w:rsid w:val="3C550C9A"/>
    <w:rsid w:val="3C5934E5"/>
    <w:rsid w:val="3C674DF3"/>
    <w:rsid w:val="3C885F88"/>
    <w:rsid w:val="3C8B23EB"/>
    <w:rsid w:val="3CC0265E"/>
    <w:rsid w:val="3D1904CC"/>
    <w:rsid w:val="3D20698D"/>
    <w:rsid w:val="3D3B2FAA"/>
    <w:rsid w:val="3D4E519C"/>
    <w:rsid w:val="3D6911DA"/>
    <w:rsid w:val="3D6F02C3"/>
    <w:rsid w:val="3DA27C76"/>
    <w:rsid w:val="3DC21FF7"/>
    <w:rsid w:val="3DD95898"/>
    <w:rsid w:val="3DE9001F"/>
    <w:rsid w:val="3E304EFE"/>
    <w:rsid w:val="3E475F9F"/>
    <w:rsid w:val="3E895FE7"/>
    <w:rsid w:val="3E8A3D13"/>
    <w:rsid w:val="3E977BBD"/>
    <w:rsid w:val="3E990C45"/>
    <w:rsid w:val="3EA037DD"/>
    <w:rsid w:val="3EA465AA"/>
    <w:rsid w:val="3EBF0EA2"/>
    <w:rsid w:val="3EC52D59"/>
    <w:rsid w:val="3ED85923"/>
    <w:rsid w:val="3EDA346C"/>
    <w:rsid w:val="3EFE7FF6"/>
    <w:rsid w:val="3F7578B3"/>
    <w:rsid w:val="3F795FC1"/>
    <w:rsid w:val="3F8833C6"/>
    <w:rsid w:val="3F8E3C9D"/>
    <w:rsid w:val="3FC36590"/>
    <w:rsid w:val="400059EB"/>
    <w:rsid w:val="40145B19"/>
    <w:rsid w:val="403010B9"/>
    <w:rsid w:val="403A14BE"/>
    <w:rsid w:val="405818E2"/>
    <w:rsid w:val="40642289"/>
    <w:rsid w:val="407B0CF0"/>
    <w:rsid w:val="408C5546"/>
    <w:rsid w:val="408D14D1"/>
    <w:rsid w:val="40935E39"/>
    <w:rsid w:val="409A6E22"/>
    <w:rsid w:val="40D032D7"/>
    <w:rsid w:val="411C1FE6"/>
    <w:rsid w:val="416846E6"/>
    <w:rsid w:val="417E4908"/>
    <w:rsid w:val="41813A6C"/>
    <w:rsid w:val="4189697A"/>
    <w:rsid w:val="41A76806"/>
    <w:rsid w:val="41A9281D"/>
    <w:rsid w:val="41C71509"/>
    <w:rsid w:val="41D26947"/>
    <w:rsid w:val="424130E2"/>
    <w:rsid w:val="425C4833"/>
    <w:rsid w:val="42B12C7D"/>
    <w:rsid w:val="42FC483B"/>
    <w:rsid w:val="430B5053"/>
    <w:rsid w:val="43280168"/>
    <w:rsid w:val="437140D0"/>
    <w:rsid w:val="437724D6"/>
    <w:rsid w:val="438A0138"/>
    <w:rsid w:val="43965030"/>
    <w:rsid w:val="43A968E1"/>
    <w:rsid w:val="43CE5EAF"/>
    <w:rsid w:val="441F0C0F"/>
    <w:rsid w:val="44293DD8"/>
    <w:rsid w:val="443632C0"/>
    <w:rsid w:val="443C625F"/>
    <w:rsid w:val="44506564"/>
    <w:rsid w:val="44556E79"/>
    <w:rsid w:val="446E2A3B"/>
    <w:rsid w:val="446F0000"/>
    <w:rsid w:val="44743DE8"/>
    <w:rsid w:val="448B42B3"/>
    <w:rsid w:val="44A96FE7"/>
    <w:rsid w:val="44AB68A2"/>
    <w:rsid w:val="44BD1D50"/>
    <w:rsid w:val="44BD69EB"/>
    <w:rsid w:val="44CA4883"/>
    <w:rsid w:val="44CD5E65"/>
    <w:rsid w:val="44E379DA"/>
    <w:rsid w:val="44F35994"/>
    <w:rsid w:val="44FA2559"/>
    <w:rsid w:val="45041B70"/>
    <w:rsid w:val="45065223"/>
    <w:rsid w:val="451E0702"/>
    <w:rsid w:val="45306789"/>
    <w:rsid w:val="453A33E0"/>
    <w:rsid w:val="453D7170"/>
    <w:rsid w:val="45427E45"/>
    <w:rsid w:val="454560B9"/>
    <w:rsid w:val="45521A8C"/>
    <w:rsid w:val="45654519"/>
    <w:rsid w:val="45722105"/>
    <w:rsid w:val="457355D3"/>
    <w:rsid w:val="458E26DB"/>
    <w:rsid w:val="45B34C8F"/>
    <w:rsid w:val="45BC51B6"/>
    <w:rsid w:val="45DC4AB6"/>
    <w:rsid w:val="45E616B1"/>
    <w:rsid w:val="46291AF4"/>
    <w:rsid w:val="462F6A8A"/>
    <w:rsid w:val="46325D67"/>
    <w:rsid w:val="46365FAC"/>
    <w:rsid w:val="465675D5"/>
    <w:rsid w:val="46924209"/>
    <w:rsid w:val="469771A8"/>
    <w:rsid w:val="46B14C57"/>
    <w:rsid w:val="46E05F14"/>
    <w:rsid w:val="46F53A24"/>
    <w:rsid w:val="46F76271"/>
    <w:rsid w:val="46FD4588"/>
    <w:rsid w:val="46FF7D41"/>
    <w:rsid w:val="47103215"/>
    <w:rsid w:val="47133D53"/>
    <w:rsid w:val="47354BE4"/>
    <w:rsid w:val="473C5806"/>
    <w:rsid w:val="4744034E"/>
    <w:rsid w:val="475A7EF9"/>
    <w:rsid w:val="477C229A"/>
    <w:rsid w:val="47AE47AC"/>
    <w:rsid w:val="47AE7D34"/>
    <w:rsid w:val="47BE7B6C"/>
    <w:rsid w:val="47D6269D"/>
    <w:rsid w:val="47DC0440"/>
    <w:rsid w:val="48064959"/>
    <w:rsid w:val="4808398A"/>
    <w:rsid w:val="4821332C"/>
    <w:rsid w:val="48232D95"/>
    <w:rsid w:val="48435459"/>
    <w:rsid w:val="48535300"/>
    <w:rsid w:val="487355F9"/>
    <w:rsid w:val="488C75B8"/>
    <w:rsid w:val="48A47377"/>
    <w:rsid w:val="48A55B0F"/>
    <w:rsid w:val="48A82B51"/>
    <w:rsid w:val="48BD73E2"/>
    <w:rsid w:val="48C1607B"/>
    <w:rsid w:val="490565B6"/>
    <w:rsid w:val="49316C3E"/>
    <w:rsid w:val="49350C9F"/>
    <w:rsid w:val="49456820"/>
    <w:rsid w:val="49474EAB"/>
    <w:rsid w:val="495515E9"/>
    <w:rsid w:val="496417FE"/>
    <w:rsid w:val="498F2E29"/>
    <w:rsid w:val="49D7250C"/>
    <w:rsid w:val="49D83B05"/>
    <w:rsid w:val="4A423AB9"/>
    <w:rsid w:val="4A53756C"/>
    <w:rsid w:val="4A913D16"/>
    <w:rsid w:val="4A9D0A10"/>
    <w:rsid w:val="4AAA7A11"/>
    <w:rsid w:val="4ACC3457"/>
    <w:rsid w:val="4AFE1A36"/>
    <w:rsid w:val="4B0A0426"/>
    <w:rsid w:val="4B0E401C"/>
    <w:rsid w:val="4B1B5EF3"/>
    <w:rsid w:val="4B5415E9"/>
    <w:rsid w:val="4B5B0CE6"/>
    <w:rsid w:val="4B8F037B"/>
    <w:rsid w:val="4B9157C1"/>
    <w:rsid w:val="4B922E77"/>
    <w:rsid w:val="4BBC1932"/>
    <w:rsid w:val="4BF00D37"/>
    <w:rsid w:val="4BFC1491"/>
    <w:rsid w:val="4C0B3D75"/>
    <w:rsid w:val="4C1443BF"/>
    <w:rsid w:val="4C1E23D7"/>
    <w:rsid w:val="4C495A89"/>
    <w:rsid w:val="4C9958BB"/>
    <w:rsid w:val="4CA27456"/>
    <w:rsid w:val="4CB045BB"/>
    <w:rsid w:val="4CE2250C"/>
    <w:rsid w:val="4D13285A"/>
    <w:rsid w:val="4D1F4C25"/>
    <w:rsid w:val="4D35610D"/>
    <w:rsid w:val="4D4D1254"/>
    <w:rsid w:val="4D7613FA"/>
    <w:rsid w:val="4D7B3404"/>
    <w:rsid w:val="4D9A5749"/>
    <w:rsid w:val="4D9B6CF0"/>
    <w:rsid w:val="4DE81B93"/>
    <w:rsid w:val="4DF17808"/>
    <w:rsid w:val="4DF429D2"/>
    <w:rsid w:val="4DF45878"/>
    <w:rsid w:val="4E0837E9"/>
    <w:rsid w:val="4E453268"/>
    <w:rsid w:val="4E485577"/>
    <w:rsid w:val="4E552CE1"/>
    <w:rsid w:val="4E7477A8"/>
    <w:rsid w:val="4E853098"/>
    <w:rsid w:val="4E8F6245"/>
    <w:rsid w:val="4EA52361"/>
    <w:rsid w:val="4F0C13CE"/>
    <w:rsid w:val="4F1725D5"/>
    <w:rsid w:val="4F485469"/>
    <w:rsid w:val="4F63132B"/>
    <w:rsid w:val="4FF7260A"/>
    <w:rsid w:val="4FF86C1C"/>
    <w:rsid w:val="500767A7"/>
    <w:rsid w:val="501B18DD"/>
    <w:rsid w:val="501B6741"/>
    <w:rsid w:val="5028553D"/>
    <w:rsid w:val="503D0BF9"/>
    <w:rsid w:val="504B37CD"/>
    <w:rsid w:val="50713405"/>
    <w:rsid w:val="50736840"/>
    <w:rsid w:val="50A32395"/>
    <w:rsid w:val="50AA1A02"/>
    <w:rsid w:val="50B27EF3"/>
    <w:rsid w:val="50BD4FD7"/>
    <w:rsid w:val="50CA531F"/>
    <w:rsid w:val="50F43A70"/>
    <w:rsid w:val="50F64C4A"/>
    <w:rsid w:val="50FA4C1E"/>
    <w:rsid w:val="51117FB0"/>
    <w:rsid w:val="512979DA"/>
    <w:rsid w:val="51413951"/>
    <w:rsid w:val="516767BA"/>
    <w:rsid w:val="51816146"/>
    <w:rsid w:val="51A53E01"/>
    <w:rsid w:val="51AD7466"/>
    <w:rsid w:val="51C10958"/>
    <w:rsid w:val="51C51597"/>
    <w:rsid w:val="51F85CE5"/>
    <w:rsid w:val="52072DF6"/>
    <w:rsid w:val="52243F3B"/>
    <w:rsid w:val="522C1654"/>
    <w:rsid w:val="525F21CD"/>
    <w:rsid w:val="52702D54"/>
    <w:rsid w:val="52737245"/>
    <w:rsid w:val="52B73A88"/>
    <w:rsid w:val="52BC1CBB"/>
    <w:rsid w:val="52C4718F"/>
    <w:rsid w:val="52D2486D"/>
    <w:rsid w:val="52E81D2F"/>
    <w:rsid w:val="52EC1A0D"/>
    <w:rsid w:val="530037DC"/>
    <w:rsid w:val="531451F9"/>
    <w:rsid w:val="533D1E04"/>
    <w:rsid w:val="53530AF8"/>
    <w:rsid w:val="535644D0"/>
    <w:rsid w:val="536D74E7"/>
    <w:rsid w:val="537723F8"/>
    <w:rsid w:val="537C7F93"/>
    <w:rsid w:val="538042BF"/>
    <w:rsid w:val="538D232C"/>
    <w:rsid w:val="53986916"/>
    <w:rsid w:val="53C87612"/>
    <w:rsid w:val="53E25DC0"/>
    <w:rsid w:val="540913FC"/>
    <w:rsid w:val="5420543E"/>
    <w:rsid w:val="543B69E1"/>
    <w:rsid w:val="54630CAC"/>
    <w:rsid w:val="547827C3"/>
    <w:rsid w:val="54AE4355"/>
    <w:rsid w:val="54B612DA"/>
    <w:rsid w:val="54F332CA"/>
    <w:rsid w:val="550A4485"/>
    <w:rsid w:val="551601CA"/>
    <w:rsid w:val="554D0181"/>
    <w:rsid w:val="55822B8C"/>
    <w:rsid w:val="558F32AA"/>
    <w:rsid w:val="55921102"/>
    <w:rsid w:val="55A42B8B"/>
    <w:rsid w:val="55A627EA"/>
    <w:rsid w:val="55AD26D3"/>
    <w:rsid w:val="55D74145"/>
    <w:rsid w:val="55E61885"/>
    <w:rsid w:val="56042973"/>
    <w:rsid w:val="561326E5"/>
    <w:rsid w:val="56432E7D"/>
    <w:rsid w:val="56503AEC"/>
    <w:rsid w:val="56520CC7"/>
    <w:rsid w:val="56750D18"/>
    <w:rsid w:val="5685733F"/>
    <w:rsid w:val="569A5334"/>
    <w:rsid w:val="574B1B26"/>
    <w:rsid w:val="57501CF2"/>
    <w:rsid w:val="57503C91"/>
    <w:rsid w:val="57587AB0"/>
    <w:rsid w:val="576603F0"/>
    <w:rsid w:val="576668A1"/>
    <w:rsid w:val="57672F12"/>
    <w:rsid w:val="578C478D"/>
    <w:rsid w:val="57A524DC"/>
    <w:rsid w:val="57F227C1"/>
    <w:rsid w:val="580551BA"/>
    <w:rsid w:val="584564EB"/>
    <w:rsid w:val="584E7013"/>
    <w:rsid w:val="584F0362"/>
    <w:rsid w:val="58825BDE"/>
    <w:rsid w:val="58A606BD"/>
    <w:rsid w:val="58B85F7F"/>
    <w:rsid w:val="58BD015B"/>
    <w:rsid w:val="591F2FC2"/>
    <w:rsid w:val="59803612"/>
    <w:rsid w:val="59914A80"/>
    <w:rsid w:val="599F4C62"/>
    <w:rsid w:val="59C24287"/>
    <w:rsid w:val="59C3747E"/>
    <w:rsid w:val="59D55AC8"/>
    <w:rsid w:val="59F65230"/>
    <w:rsid w:val="59F726A2"/>
    <w:rsid w:val="5A2F58EB"/>
    <w:rsid w:val="5A6B3730"/>
    <w:rsid w:val="5A7975CA"/>
    <w:rsid w:val="5A9A40E9"/>
    <w:rsid w:val="5A9F29EB"/>
    <w:rsid w:val="5AB13EDC"/>
    <w:rsid w:val="5AC305FD"/>
    <w:rsid w:val="5AD7041F"/>
    <w:rsid w:val="5AED59BD"/>
    <w:rsid w:val="5B06463B"/>
    <w:rsid w:val="5B082961"/>
    <w:rsid w:val="5B0A0F3F"/>
    <w:rsid w:val="5B1D04DF"/>
    <w:rsid w:val="5B27768C"/>
    <w:rsid w:val="5B30281D"/>
    <w:rsid w:val="5B37160F"/>
    <w:rsid w:val="5B3761C8"/>
    <w:rsid w:val="5B4105D3"/>
    <w:rsid w:val="5B5E0B95"/>
    <w:rsid w:val="5B8C676B"/>
    <w:rsid w:val="5C071EB1"/>
    <w:rsid w:val="5C1175C1"/>
    <w:rsid w:val="5C15551E"/>
    <w:rsid w:val="5C1C7827"/>
    <w:rsid w:val="5C317552"/>
    <w:rsid w:val="5C701D8C"/>
    <w:rsid w:val="5CC018F8"/>
    <w:rsid w:val="5CD7270F"/>
    <w:rsid w:val="5CD91E7E"/>
    <w:rsid w:val="5CED5CCF"/>
    <w:rsid w:val="5D125496"/>
    <w:rsid w:val="5D4B4FD5"/>
    <w:rsid w:val="5D5B3BFB"/>
    <w:rsid w:val="5D753EAF"/>
    <w:rsid w:val="5D7A1F22"/>
    <w:rsid w:val="5D915615"/>
    <w:rsid w:val="5DA16CD4"/>
    <w:rsid w:val="5DA9389A"/>
    <w:rsid w:val="5DBC4F9A"/>
    <w:rsid w:val="5DD01DAB"/>
    <w:rsid w:val="5DE910F0"/>
    <w:rsid w:val="5E217A4A"/>
    <w:rsid w:val="5E2C1457"/>
    <w:rsid w:val="5E3C2506"/>
    <w:rsid w:val="5E623FC0"/>
    <w:rsid w:val="5E8A2915"/>
    <w:rsid w:val="5E986311"/>
    <w:rsid w:val="5EB83FF7"/>
    <w:rsid w:val="5ECB22E5"/>
    <w:rsid w:val="5F060669"/>
    <w:rsid w:val="5F0D7C5C"/>
    <w:rsid w:val="5F661586"/>
    <w:rsid w:val="5F66193B"/>
    <w:rsid w:val="5F79218C"/>
    <w:rsid w:val="5F7B0402"/>
    <w:rsid w:val="5F922236"/>
    <w:rsid w:val="5FA12F96"/>
    <w:rsid w:val="5FA21376"/>
    <w:rsid w:val="5FCD2850"/>
    <w:rsid w:val="5FD265A9"/>
    <w:rsid w:val="5FD513B4"/>
    <w:rsid w:val="5FDD6612"/>
    <w:rsid w:val="5FF65D8A"/>
    <w:rsid w:val="5FFB2484"/>
    <w:rsid w:val="600077FB"/>
    <w:rsid w:val="60036E45"/>
    <w:rsid w:val="60213830"/>
    <w:rsid w:val="602900DB"/>
    <w:rsid w:val="602E7496"/>
    <w:rsid w:val="60346B2B"/>
    <w:rsid w:val="605A099F"/>
    <w:rsid w:val="60764FE2"/>
    <w:rsid w:val="60906B4B"/>
    <w:rsid w:val="60BE48F5"/>
    <w:rsid w:val="60BF6ECF"/>
    <w:rsid w:val="60C57EE8"/>
    <w:rsid w:val="60D92C10"/>
    <w:rsid w:val="60E969E4"/>
    <w:rsid w:val="61163276"/>
    <w:rsid w:val="611D05DB"/>
    <w:rsid w:val="611D0C6F"/>
    <w:rsid w:val="61250BD1"/>
    <w:rsid w:val="612827CE"/>
    <w:rsid w:val="6158264C"/>
    <w:rsid w:val="6166104C"/>
    <w:rsid w:val="61922435"/>
    <w:rsid w:val="61A23511"/>
    <w:rsid w:val="61D74FCE"/>
    <w:rsid w:val="61EE2BC8"/>
    <w:rsid w:val="62036292"/>
    <w:rsid w:val="62244D2D"/>
    <w:rsid w:val="623E2AF7"/>
    <w:rsid w:val="625931CB"/>
    <w:rsid w:val="626D33D7"/>
    <w:rsid w:val="62765EF7"/>
    <w:rsid w:val="627B2EA7"/>
    <w:rsid w:val="62D4224F"/>
    <w:rsid w:val="62DB0D62"/>
    <w:rsid w:val="630B66FC"/>
    <w:rsid w:val="63110EF8"/>
    <w:rsid w:val="632A43FC"/>
    <w:rsid w:val="633612CD"/>
    <w:rsid w:val="63414260"/>
    <w:rsid w:val="63624E82"/>
    <w:rsid w:val="636E3CBE"/>
    <w:rsid w:val="637A3AC8"/>
    <w:rsid w:val="637B0251"/>
    <w:rsid w:val="638947E6"/>
    <w:rsid w:val="639F2159"/>
    <w:rsid w:val="63C753F4"/>
    <w:rsid w:val="63D6673F"/>
    <w:rsid w:val="63D84FE7"/>
    <w:rsid w:val="63FB128D"/>
    <w:rsid w:val="64115F38"/>
    <w:rsid w:val="64521DF4"/>
    <w:rsid w:val="64552775"/>
    <w:rsid w:val="646A7012"/>
    <w:rsid w:val="647E2848"/>
    <w:rsid w:val="64857E6D"/>
    <w:rsid w:val="64987509"/>
    <w:rsid w:val="64E24305"/>
    <w:rsid w:val="64EA662A"/>
    <w:rsid w:val="650370F5"/>
    <w:rsid w:val="653435C5"/>
    <w:rsid w:val="654D05A6"/>
    <w:rsid w:val="656611C7"/>
    <w:rsid w:val="656C2DA0"/>
    <w:rsid w:val="656E7BD1"/>
    <w:rsid w:val="657C0323"/>
    <w:rsid w:val="65872975"/>
    <w:rsid w:val="65D025CA"/>
    <w:rsid w:val="6607320A"/>
    <w:rsid w:val="66171E9F"/>
    <w:rsid w:val="663B4184"/>
    <w:rsid w:val="66705D09"/>
    <w:rsid w:val="667C0849"/>
    <w:rsid w:val="668811EB"/>
    <w:rsid w:val="668E41A3"/>
    <w:rsid w:val="66DE50D0"/>
    <w:rsid w:val="66F77D7D"/>
    <w:rsid w:val="66FF7AEA"/>
    <w:rsid w:val="67014E11"/>
    <w:rsid w:val="670A054F"/>
    <w:rsid w:val="670F104A"/>
    <w:rsid w:val="67344C23"/>
    <w:rsid w:val="678425A3"/>
    <w:rsid w:val="67875CD1"/>
    <w:rsid w:val="67A24F1E"/>
    <w:rsid w:val="67A8580B"/>
    <w:rsid w:val="67B753EA"/>
    <w:rsid w:val="67BC3AA9"/>
    <w:rsid w:val="67BD2A12"/>
    <w:rsid w:val="683066A1"/>
    <w:rsid w:val="68426149"/>
    <w:rsid w:val="684E345F"/>
    <w:rsid w:val="685632DC"/>
    <w:rsid w:val="68616B32"/>
    <w:rsid w:val="688F5B95"/>
    <w:rsid w:val="68B04C34"/>
    <w:rsid w:val="68B51F8D"/>
    <w:rsid w:val="68BB3E09"/>
    <w:rsid w:val="68CF46B3"/>
    <w:rsid w:val="68D8564D"/>
    <w:rsid w:val="68F9286C"/>
    <w:rsid w:val="69115685"/>
    <w:rsid w:val="69265BA4"/>
    <w:rsid w:val="69442269"/>
    <w:rsid w:val="69554597"/>
    <w:rsid w:val="695906B2"/>
    <w:rsid w:val="69621EE8"/>
    <w:rsid w:val="69965C6B"/>
    <w:rsid w:val="69AA64BC"/>
    <w:rsid w:val="69C819B0"/>
    <w:rsid w:val="69CA2304"/>
    <w:rsid w:val="69E30424"/>
    <w:rsid w:val="69E351F9"/>
    <w:rsid w:val="69F212BC"/>
    <w:rsid w:val="69F85A1C"/>
    <w:rsid w:val="6A2447EF"/>
    <w:rsid w:val="6A2E3EA0"/>
    <w:rsid w:val="6A34700B"/>
    <w:rsid w:val="6A4C11CB"/>
    <w:rsid w:val="6A660465"/>
    <w:rsid w:val="6A881BC4"/>
    <w:rsid w:val="6A9E3BC1"/>
    <w:rsid w:val="6AB96645"/>
    <w:rsid w:val="6AC369BD"/>
    <w:rsid w:val="6AF3448E"/>
    <w:rsid w:val="6AFF30FF"/>
    <w:rsid w:val="6B060BF5"/>
    <w:rsid w:val="6B140792"/>
    <w:rsid w:val="6B1D5BBD"/>
    <w:rsid w:val="6B4216B7"/>
    <w:rsid w:val="6B4F58B8"/>
    <w:rsid w:val="6B990934"/>
    <w:rsid w:val="6BA240C1"/>
    <w:rsid w:val="6BDE73B3"/>
    <w:rsid w:val="6BDF4F70"/>
    <w:rsid w:val="6C120E7D"/>
    <w:rsid w:val="6C387C99"/>
    <w:rsid w:val="6C4D4053"/>
    <w:rsid w:val="6C534F03"/>
    <w:rsid w:val="6C6421C5"/>
    <w:rsid w:val="6C8319D7"/>
    <w:rsid w:val="6C8C6740"/>
    <w:rsid w:val="6CDA78C4"/>
    <w:rsid w:val="6D246892"/>
    <w:rsid w:val="6D550705"/>
    <w:rsid w:val="6D681009"/>
    <w:rsid w:val="6D6E298C"/>
    <w:rsid w:val="6D7A5B72"/>
    <w:rsid w:val="6D9848A5"/>
    <w:rsid w:val="6DE37068"/>
    <w:rsid w:val="6DF745F8"/>
    <w:rsid w:val="6E074EAE"/>
    <w:rsid w:val="6E211EB7"/>
    <w:rsid w:val="6E2C6C53"/>
    <w:rsid w:val="6E2F4292"/>
    <w:rsid w:val="6E3A02CB"/>
    <w:rsid w:val="6E493106"/>
    <w:rsid w:val="6E4C296A"/>
    <w:rsid w:val="6E5E6666"/>
    <w:rsid w:val="6E9F786A"/>
    <w:rsid w:val="6ED60E5A"/>
    <w:rsid w:val="6ED645B3"/>
    <w:rsid w:val="6EE6772C"/>
    <w:rsid w:val="6F0F1CF2"/>
    <w:rsid w:val="6F1454F0"/>
    <w:rsid w:val="6F1941DE"/>
    <w:rsid w:val="6F224C53"/>
    <w:rsid w:val="6F3B34E9"/>
    <w:rsid w:val="6F3F630F"/>
    <w:rsid w:val="6F7955F4"/>
    <w:rsid w:val="6FA001FA"/>
    <w:rsid w:val="6FA943CE"/>
    <w:rsid w:val="6FD35A4C"/>
    <w:rsid w:val="6FE822A6"/>
    <w:rsid w:val="701F1F15"/>
    <w:rsid w:val="704331BE"/>
    <w:rsid w:val="7047707F"/>
    <w:rsid w:val="708D5EDD"/>
    <w:rsid w:val="70960A86"/>
    <w:rsid w:val="709C7DFB"/>
    <w:rsid w:val="70E03F3A"/>
    <w:rsid w:val="70F11F2F"/>
    <w:rsid w:val="710D636F"/>
    <w:rsid w:val="713B47E2"/>
    <w:rsid w:val="715058B1"/>
    <w:rsid w:val="715B27CA"/>
    <w:rsid w:val="715C4D8E"/>
    <w:rsid w:val="71605753"/>
    <w:rsid w:val="71721E0D"/>
    <w:rsid w:val="71906884"/>
    <w:rsid w:val="71D60F75"/>
    <w:rsid w:val="71F63E94"/>
    <w:rsid w:val="721B0BB0"/>
    <w:rsid w:val="722A3ADF"/>
    <w:rsid w:val="723E6165"/>
    <w:rsid w:val="7285473C"/>
    <w:rsid w:val="72A20AE0"/>
    <w:rsid w:val="72C45357"/>
    <w:rsid w:val="73140293"/>
    <w:rsid w:val="7316279C"/>
    <w:rsid w:val="733140B0"/>
    <w:rsid w:val="73347D14"/>
    <w:rsid w:val="73685BF0"/>
    <w:rsid w:val="739D0FBC"/>
    <w:rsid w:val="73AE3E3E"/>
    <w:rsid w:val="73B52DB2"/>
    <w:rsid w:val="73B97F5B"/>
    <w:rsid w:val="73C74610"/>
    <w:rsid w:val="73E55BE1"/>
    <w:rsid w:val="74156D71"/>
    <w:rsid w:val="74595C4F"/>
    <w:rsid w:val="745B4A18"/>
    <w:rsid w:val="74A73E99"/>
    <w:rsid w:val="74E811B7"/>
    <w:rsid w:val="750A5D89"/>
    <w:rsid w:val="750F1DC8"/>
    <w:rsid w:val="751F3F15"/>
    <w:rsid w:val="752616D5"/>
    <w:rsid w:val="75333B50"/>
    <w:rsid w:val="753C058D"/>
    <w:rsid w:val="75417570"/>
    <w:rsid w:val="7547276B"/>
    <w:rsid w:val="7557054B"/>
    <w:rsid w:val="757A4038"/>
    <w:rsid w:val="75894C8E"/>
    <w:rsid w:val="75C609BB"/>
    <w:rsid w:val="75CE53CF"/>
    <w:rsid w:val="75F278FB"/>
    <w:rsid w:val="760771D2"/>
    <w:rsid w:val="762B0DD8"/>
    <w:rsid w:val="76697649"/>
    <w:rsid w:val="768E530F"/>
    <w:rsid w:val="76AC6D7E"/>
    <w:rsid w:val="76B46CC0"/>
    <w:rsid w:val="76C2369F"/>
    <w:rsid w:val="76D44FD5"/>
    <w:rsid w:val="76F45F6F"/>
    <w:rsid w:val="770D5428"/>
    <w:rsid w:val="771E5719"/>
    <w:rsid w:val="772967FA"/>
    <w:rsid w:val="772D3AF3"/>
    <w:rsid w:val="77305847"/>
    <w:rsid w:val="77333695"/>
    <w:rsid w:val="77384140"/>
    <w:rsid w:val="774379F3"/>
    <w:rsid w:val="77486E30"/>
    <w:rsid w:val="77531D7A"/>
    <w:rsid w:val="77612ECB"/>
    <w:rsid w:val="77733156"/>
    <w:rsid w:val="77766BC1"/>
    <w:rsid w:val="77882379"/>
    <w:rsid w:val="7796460A"/>
    <w:rsid w:val="779A0801"/>
    <w:rsid w:val="77A24D9E"/>
    <w:rsid w:val="77AE1DAD"/>
    <w:rsid w:val="77FF1A83"/>
    <w:rsid w:val="78386FD2"/>
    <w:rsid w:val="783F2973"/>
    <w:rsid w:val="78485FF0"/>
    <w:rsid w:val="785D1EBF"/>
    <w:rsid w:val="78702F73"/>
    <w:rsid w:val="78B13B86"/>
    <w:rsid w:val="78C57B4B"/>
    <w:rsid w:val="78D33AFD"/>
    <w:rsid w:val="78FA5DD0"/>
    <w:rsid w:val="790D2B37"/>
    <w:rsid w:val="792C2AE7"/>
    <w:rsid w:val="792E51E6"/>
    <w:rsid w:val="796E0176"/>
    <w:rsid w:val="79AC7A48"/>
    <w:rsid w:val="79B311E2"/>
    <w:rsid w:val="79E13C31"/>
    <w:rsid w:val="7A041D57"/>
    <w:rsid w:val="7A2745E2"/>
    <w:rsid w:val="7A347D8A"/>
    <w:rsid w:val="7A4805B8"/>
    <w:rsid w:val="7A562740"/>
    <w:rsid w:val="7A8F511A"/>
    <w:rsid w:val="7AAD18A6"/>
    <w:rsid w:val="7AE86FF5"/>
    <w:rsid w:val="7B013A9A"/>
    <w:rsid w:val="7B2019BD"/>
    <w:rsid w:val="7B3A265D"/>
    <w:rsid w:val="7B8B06A3"/>
    <w:rsid w:val="7BAF43BF"/>
    <w:rsid w:val="7BB621DC"/>
    <w:rsid w:val="7BBC2F7D"/>
    <w:rsid w:val="7BD400D4"/>
    <w:rsid w:val="7BD749ED"/>
    <w:rsid w:val="7BDE019B"/>
    <w:rsid w:val="7BE9416F"/>
    <w:rsid w:val="7C4B1DF3"/>
    <w:rsid w:val="7C757CA8"/>
    <w:rsid w:val="7C9802D3"/>
    <w:rsid w:val="7C9B039E"/>
    <w:rsid w:val="7CA6044B"/>
    <w:rsid w:val="7CD11122"/>
    <w:rsid w:val="7D782FFF"/>
    <w:rsid w:val="7D7C29D4"/>
    <w:rsid w:val="7D9A1C61"/>
    <w:rsid w:val="7DA85BC0"/>
    <w:rsid w:val="7DAA0555"/>
    <w:rsid w:val="7DAE00C3"/>
    <w:rsid w:val="7DB912C0"/>
    <w:rsid w:val="7DB94B8C"/>
    <w:rsid w:val="7DE83E39"/>
    <w:rsid w:val="7E0A410C"/>
    <w:rsid w:val="7E324E80"/>
    <w:rsid w:val="7E41388C"/>
    <w:rsid w:val="7E446659"/>
    <w:rsid w:val="7E470B9B"/>
    <w:rsid w:val="7E4B6574"/>
    <w:rsid w:val="7E6C1C1B"/>
    <w:rsid w:val="7E7C4D97"/>
    <w:rsid w:val="7E947D74"/>
    <w:rsid w:val="7E9E0480"/>
    <w:rsid w:val="7EC92E7E"/>
    <w:rsid w:val="7ED47C49"/>
    <w:rsid w:val="7EEB5BA5"/>
    <w:rsid w:val="7EFA6EFD"/>
    <w:rsid w:val="7F0C6837"/>
    <w:rsid w:val="7F301A67"/>
    <w:rsid w:val="7F4C47FD"/>
    <w:rsid w:val="7F4D009C"/>
    <w:rsid w:val="7F791CA5"/>
    <w:rsid w:val="7F880762"/>
    <w:rsid w:val="7FAE16E8"/>
    <w:rsid w:val="7FD5203D"/>
    <w:rsid w:val="7FF65726"/>
    <w:rsid w:val="7FFA7B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widowControl w:val="0"/>
      <w:tabs>
        <w:tab w:val="left" w:pos="-1440"/>
      </w:tabs>
      <w:spacing w:after="0" w:line="360" w:lineRule="auto"/>
      <w:ind w:left="176" w:leftChars="0" w:firstLine="420" w:firstLineChars="200"/>
    </w:pPr>
    <w:rPr>
      <w:rFonts w:ascii="仿宋" w:hAnsi="Times New Roman" w:eastAsia="仿宋" w:cs="Times New Roman"/>
      <w:kern w:val="2"/>
      <w:sz w:val="24"/>
      <w:szCs w:val="24"/>
      <w:shd w:val="clear" w:color="auto" w:fill="auto"/>
    </w:rPr>
  </w:style>
  <w:style w:type="paragraph" w:styleId="3">
    <w:name w:val="Body Text Indent"/>
    <w:basedOn w:val="1"/>
    <w:unhideWhenUsed/>
    <w:qFormat/>
    <w:uiPriority w:val="99"/>
    <w:pPr>
      <w:spacing w:after="120"/>
      <w:ind w:left="420" w:leftChars="200"/>
    </w:pPr>
  </w:style>
  <w:style w:type="paragraph" w:styleId="4">
    <w:name w:val="annotation text"/>
    <w:basedOn w:val="1"/>
    <w:link w:val="43"/>
    <w:semiHidden/>
    <w:unhideWhenUsed/>
    <w:qFormat/>
    <w:uiPriority w:val="99"/>
  </w:style>
  <w:style w:type="paragraph" w:styleId="5">
    <w:name w:val="Body Text"/>
    <w:basedOn w:val="1"/>
    <w:qFormat/>
    <w:uiPriority w:val="1"/>
    <w:pPr>
      <w:ind w:left="1068"/>
    </w:pPr>
    <w:rPr>
      <w:sz w:val="32"/>
      <w:szCs w:val="32"/>
    </w:rPr>
  </w:style>
  <w:style w:type="paragraph" w:styleId="6">
    <w:name w:val="Date"/>
    <w:basedOn w:val="1"/>
    <w:next w:val="1"/>
    <w:link w:val="27"/>
    <w:semiHidden/>
    <w:unhideWhenUsed/>
    <w:qFormat/>
    <w:uiPriority w:val="99"/>
    <w:pPr>
      <w:ind w:left="100" w:leftChars="2500"/>
    </w:pPr>
  </w:style>
  <w:style w:type="paragraph" w:styleId="7">
    <w:name w:val="Balloon Text"/>
    <w:basedOn w:val="1"/>
    <w:link w:val="30"/>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paragraph" w:styleId="11">
    <w:name w:val="Title"/>
    <w:basedOn w:val="1"/>
    <w:next w:val="1"/>
    <w:link w:val="29"/>
    <w:qFormat/>
    <w:uiPriority w:val="10"/>
    <w:pPr>
      <w:spacing w:before="240" w:after="60"/>
      <w:jc w:val="center"/>
      <w:outlineLvl w:val="0"/>
    </w:pPr>
    <w:rPr>
      <w:rFonts w:asciiTheme="majorHAnsi" w:hAnsiTheme="majorHAnsi" w:cstheme="majorBidi"/>
      <w:b/>
      <w:bCs/>
      <w:sz w:val="32"/>
      <w:szCs w:val="32"/>
    </w:rPr>
  </w:style>
  <w:style w:type="paragraph" w:styleId="12">
    <w:name w:val="annotation subject"/>
    <w:basedOn w:val="4"/>
    <w:next w:val="4"/>
    <w:link w:val="44"/>
    <w:semiHidden/>
    <w:unhideWhenUsed/>
    <w:qFormat/>
    <w:uiPriority w:val="99"/>
    <w:rPr>
      <w:b/>
      <w:bCs/>
    </w:rPr>
  </w:style>
  <w:style w:type="character" w:styleId="15">
    <w:name w:val="Strong"/>
    <w:basedOn w:val="14"/>
    <w:qFormat/>
    <w:uiPriority w:val="0"/>
    <w:rPr>
      <w:rFonts w:cs="Times New Roman"/>
      <w:b/>
      <w:bCs/>
    </w:rPr>
  </w:style>
  <w:style w:type="character" w:styleId="16">
    <w:name w:val="FollowedHyperlink"/>
    <w:basedOn w:val="14"/>
    <w:semiHidden/>
    <w:unhideWhenUsed/>
    <w:qFormat/>
    <w:uiPriority w:val="99"/>
    <w:rPr>
      <w:color w:val="000000"/>
      <w:u w:val="none"/>
    </w:rPr>
  </w:style>
  <w:style w:type="character" w:styleId="17">
    <w:name w:val="Emphasis"/>
    <w:basedOn w:val="14"/>
    <w:qFormat/>
    <w:uiPriority w:val="20"/>
  </w:style>
  <w:style w:type="character" w:styleId="18">
    <w:name w:val="HTML Definition"/>
    <w:basedOn w:val="14"/>
    <w:semiHidden/>
    <w:unhideWhenUsed/>
    <w:qFormat/>
    <w:uiPriority w:val="99"/>
  </w:style>
  <w:style w:type="character" w:styleId="19">
    <w:name w:val="HTML Variable"/>
    <w:basedOn w:val="14"/>
    <w:semiHidden/>
    <w:unhideWhenUsed/>
    <w:qFormat/>
    <w:uiPriority w:val="99"/>
  </w:style>
  <w:style w:type="character" w:styleId="20">
    <w:name w:val="Hyperlink"/>
    <w:basedOn w:val="14"/>
    <w:unhideWhenUsed/>
    <w:qFormat/>
    <w:uiPriority w:val="99"/>
    <w:rPr>
      <w:color w:val="0000FF" w:themeColor="hyperlink"/>
      <w:u w:val="single"/>
      <w14:textFill>
        <w14:solidFill>
          <w14:schemeClr w14:val="hlink"/>
        </w14:solidFill>
      </w14:textFill>
    </w:rPr>
  </w:style>
  <w:style w:type="character" w:styleId="21">
    <w:name w:val="HTML Code"/>
    <w:basedOn w:val="14"/>
    <w:semiHidden/>
    <w:unhideWhenUsed/>
    <w:qFormat/>
    <w:uiPriority w:val="99"/>
    <w:rPr>
      <w:rFonts w:ascii="Courier New" w:hAnsi="Courier New"/>
      <w:sz w:val="20"/>
    </w:rPr>
  </w:style>
  <w:style w:type="character" w:styleId="22">
    <w:name w:val="annotation reference"/>
    <w:basedOn w:val="14"/>
    <w:semiHidden/>
    <w:unhideWhenUsed/>
    <w:qFormat/>
    <w:uiPriority w:val="99"/>
    <w:rPr>
      <w:sz w:val="21"/>
      <w:szCs w:val="21"/>
    </w:rPr>
  </w:style>
  <w:style w:type="character" w:styleId="23">
    <w:name w:val="HTML Cite"/>
    <w:basedOn w:val="14"/>
    <w:semiHidden/>
    <w:unhideWhenUsed/>
    <w:qFormat/>
    <w:uiPriority w:val="99"/>
  </w:style>
  <w:style w:type="character" w:customStyle="1" w:styleId="24">
    <w:name w:val="页眉 Char"/>
    <w:basedOn w:val="14"/>
    <w:link w:val="9"/>
    <w:qFormat/>
    <w:uiPriority w:val="99"/>
    <w:rPr>
      <w:sz w:val="18"/>
      <w:szCs w:val="18"/>
    </w:rPr>
  </w:style>
  <w:style w:type="character" w:customStyle="1" w:styleId="25">
    <w:name w:val="页脚 Char"/>
    <w:basedOn w:val="14"/>
    <w:link w:val="8"/>
    <w:qFormat/>
    <w:uiPriority w:val="99"/>
    <w:rPr>
      <w:sz w:val="18"/>
      <w:szCs w:val="18"/>
    </w:rPr>
  </w:style>
  <w:style w:type="paragraph" w:styleId="26">
    <w:name w:val="List Paragraph"/>
    <w:basedOn w:val="1"/>
    <w:qFormat/>
    <w:uiPriority w:val="34"/>
    <w:pPr>
      <w:widowControl/>
      <w:autoSpaceDE/>
      <w:autoSpaceDN/>
      <w:adjustRightInd/>
      <w:ind w:firstLine="420" w:firstLineChars="200"/>
    </w:pPr>
    <w:rPr>
      <w:rFonts w:hint="default" w:cs="宋体"/>
      <w:szCs w:val="24"/>
    </w:rPr>
  </w:style>
  <w:style w:type="character" w:customStyle="1" w:styleId="27">
    <w:name w:val="日期 Char"/>
    <w:basedOn w:val="14"/>
    <w:link w:val="6"/>
    <w:semiHidden/>
    <w:qFormat/>
    <w:uiPriority w:val="99"/>
    <w:rPr>
      <w:rFonts w:ascii="宋体" w:hAnsi="宋体" w:eastAsia="宋体" w:cs="Times New Roman"/>
      <w:kern w:val="0"/>
      <w:sz w:val="24"/>
      <w:szCs w:val="20"/>
    </w:rPr>
  </w:style>
  <w:style w:type="paragraph" w:customStyle="1" w:styleId="28">
    <w:name w:val="列出段落1"/>
    <w:basedOn w:val="1"/>
    <w:qFormat/>
    <w:uiPriority w:val="34"/>
    <w:pPr>
      <w:ind w:firstLine="420" w:firstLineChars="200"/>
    </w:pPr>
    <w:rPr>
      <w:szCs w:val="22"/>
    </w:rPr>
  </w:style>
  <w:style w:type="character" w:customStyle="1" w:styleId="29">
    <w:name w:val="标题 Char"/>
    <w:basedOn w:val="14"/>
    <w:link w:val="11"/>
    <w:qFormat/>
    <w:uiPriority w:val="10"/>
    <w:rPr>
      <w:rFonts w:asciiTheme="majorHAnsi" w:hAnsiTheme="majorHAnsi" w:cstheme="majorBidi"/>
      <w:b/>
      <w:bCs/>
      <w:sz w:val="32"/>
      <w:szCs w:val="32"/>
    </w:rPr>
  </w:style>
  <w:style w:type="character" w:customStyle="1" w:styleId="30">
    <w:name w:val="批注框文本 Char"/>
    <w:basedOn w:val="14"/>
    <w:link w:val="7"/>
    <w:semiHidden/>
    <w:qFormat/>
    <w:uiPriority w:val="99"/>
    <w:rPr>
      <w:rFonts w:ascii="宋体" w:hAnsi="宋体"/>
      <w:sz w:val="18"/>
      <w:szCs w:val="18"/>
    </w:rPr>
  </w:style>
  <w:style w:type="character" w:customStyle="1" w:styleId="31">
    <w:name w:val="ref"/>
    <w:basedOn w:val="14"/>
    <w:qFormat/>
    <w:uiPriority w:val="0"/>
  </w:style>
  <w:style w:type="character" w:customStyle="1" w:styleId="32">
    <w:name w:val="icon_video"/>
    <w:basedOn w:val="14"/>
    <w:qFormat/>
    <w:uiPriority w:val="0"/>
  </w:style>
  <w:style w:type="character" w:customStyle="1" w:styleId="33">
    <w:name w:val="one"/>
    <w:basedOn w:val="14"/>
    <w:qFormat/>
    <w:uiPriority w:val="0"/>
    <w:rPr>
      <w:color w:val="003366"/>
    </w:rPr>
  </w:style>
  <w:style w:type="character" w:customStyle="1" w:styleId="34">
    <w:name w:val="loan"/>
    <w:basedOn w:val="14"/>
    <w:qFormat/>
    <w:uiPriority w:val="0"/>
  </w:style>
  <w:style w:type="character" w:customStyle="1" w:styleId="35">
    <w:name w:val="gwds_nopic"/>
    <w:basedOn w:val="14"/>
    <w:qFormat/>
    <w:uiPriority w:val="0"/>
  </w:style>
  <w:style w:type="character" w:customStyle="1" w:styleId="36">
    <w:name w:val="gwds_nopic1"/>
    <w:basedOn w:val="14"/>
    <w:qFormat/>
    <w:uiPriority w:val="0"/>
  </w:style>
  <w:style w:type="character" w:customStyle="1" w:styleId="37">
    <w:name w:val="gwds_nopic2"/>
    <w:basedOn w:val="14"/>
    <w:qFormat/>
    <w:uiPriority w:val="0"/>
    <w:rPr>
      <w:u w:val="single"/>
    </w:rPr>
  </w:style>
  <w:style w:type="character" w:customStyle="1" w:styleId="38">
    <w:name w:val="font"/>
    <w:basedOn w:val="14"/>
    <w:qFormat/>
    <w:uiPriority w:val="0"/>
  </w:style>
  <w:style w:type="character" w:customStyle="1" w:styleId="39">
    <w:name w:val="font1"/>
    <w:basedOn w:val="14"/>
    <w:qFormat/>
    <w:uiPriority w:val="0"/>
  </w:style>
  <w:style w:type="character" w:customStyle="1" w:styleId="40">
    <w:name w:val="laypage_curr"/>
    <w:basedOn w:val="14"/>
    <w:qFormat/>
    <w:uiPriority w:val="0"/>
    <w:rPr>
      <w:color w:val="FFFDF4"/>
      <w:shd w:val="clear" w:color="auto" w:fill="0B67A6"/>
    </w:rPr>
  </w:style>
  <w:style w:type="character" w:customStyle="1" w:styleId="41">
    <w:name w:val="hover12"/>
    <w:basedOn w:val="14"/>
    <w:qFormat/>
    <w:uiPriority w:val="0"/>
    <w:rPr>
      <w:color w:val="015293"/>
    </w:rPr>
  </w:style>
  <w:style w:type="character" w:customStyle="1" w:styleId="42">
    <w:name w:val="hover13"/>
    <w:basedOn w:val="14"/>
    <w:qFormat/>
    <w:uiPriority w:val="0"/>
    <w:rPr>
      <w:color w:val="015293"/>
    </w:rPr>
  </w:style>
  <w:style w:type="character" w:customStyle="1" w:styleId="43">
    <w:name w:val="批注文字 Char"/>
    <w:basedOn w:val="14"/>
    <w:link w:val="4"/>
    <w:semiHidden/>
    <w:qFormat/>
    <w:uiPriority w:val="99"/>
    <w:rPr>
      <w:rFonts w:ascii="宋体" w:hAnsi="宋体"/>
      <w:sz w:val="24"/>
    </w:rPr>
  </w:style>
  <w:style w:type="character" w:customStyle="1" w:styleId="44">
    <w:name w:val="批注主题 Char"/>
    <w:basedOn w:val="43"/>
    <w:link w:val="12"/>
    <w:qFormat/>
    <w:uiPriority w:val="0"/>
    <w:rPr>
      <w:rFonts w:ascii="宋体" w:hAnsi="宋体"/>
      <w:sz w:val="24"/>
    </w:rPr>
  </w:style>
  <w:style w:type="character" w:customStyle="1" w:styleId="45">
    <w:name w:val="bg02"/>
    <w:basedOn w:val="14"/>
    <w:qFormat/>
    <w:uiPriority w:val="0"/>
  </w:style>
  <w:style w:type="character" w:customStyle="1" w:styleId="46">
    <w:name w:val="m01"/>
    <w:basedOn w:val="14"/>
    <w:qFormat/>
    <w:uiPriority w:val="0"/>
  </w:style>
  <w:style w:type="character" w:customStyle="1" w:styleId="47">
    <w:name w:val="m011"/>
    <w:basedOn w:val="14"/>
    <w:qFormat/>
    <w:uiPriority w:val="0"/>
  </w:style>
  <w:style w:type="character" w:customStyle="1" w:styleId="48">
    <w:name w:val="hover18"/>
    <w:basedOn w:val="14"/>
    <w:qFormat/>
    <w:uiPriority w:val="0"/>
    <w:rPr>
      <w:color w:val="015293"/>
    </w:rPr>
  </w:style>
  <w:style w:type="character" w:customStyle="1" w:styleId="49">
    <w:name w:val="name"/>
    <w:basedOn w:val="14"/>
    <w:qFormat/>
    <w:uiPriority w:val="0"/>
    <w:rPr>
      <w:color w:val="6A6A6A"/>
      <w:u w:val="single"/>
    </w:rPr>
  </w:style>
  <w:style w:type="character" w:customStyle="1" w:styleId="50">
    <w:name w:val="dates"/>
    <w:basedOn w:val="14"/>
    <w:qFormat/>
    <w:uiPriority w:val="0"/>
  </w:style>
  <w:style w:type="character" w:customStyle="1" w:styleId="51">
    <w:name w:val="more4"/>
    <w:basedOn w:val="14"/>
    <w:qFormat/>
    <w:uiPriority w:val="0"/>
    <w:rPr>
      <w:color w:val="666666"/>
      <w:sz w:val="18"/>
      <w:szCs w:val="18"/>
    </w:rPr>
  </w:style>
  <w:style w:type="character" w:customStyle="1" w:styleId="52">
    <w:name w:val="tabg"/>
    <w:basedOn w:val="14"/>
    <w:qFormat/>
    <w:uiPriority w:val="0"/>
    <w:rPr>
      <w:color w:val="FFFFFF"/>
      <w:sz w:val="27"/>
      <w:szCs w:val="27"/>
    </w:rPr>
  </w:style>
  <w:style w:type="character" w:customStyle="1" w:styleId="53">
    <w:name w:val="bg01"/>
    <w:basedOn w:val="14"/>
    <w:qFormat/>
    <w:uiPriority w:val="0"/>
  </w:style>
  <w:style w:type="character" w:customStyle="1" w:styleId="54">
    <w:name w:val="hover19"/>
    <w:basedOn w:val="14"/>
    <w:qFormat/>
    <w:uiPriority w:val="0"/>
    <w:rPr>
      <w:color w:val="015293"/>
    </w:rPr>
  </w:style>
  <w:style w:type="character" w:customStyle="1" w:styleId="55">
    <w:name w:val="more"/>
    <w:basedOn w:val="14"/>
    <w:qFormat/>
    <w:uiPriority w:val="0"/>
    <w:rPr>
      <w:color w:val="666666"/>
      <w:sz w:val="18"/>
      <w:szCs w:val="18"/>
    </w:rPr>
  </w:style>
  <w:style w:type="character" w:customStyle="1" w:styleId="56">
    <w:name w:val="font2"/>
    <w:basedOn w:val="14"/>
    <w:qFormat/>
    <w:uiPriority w:val="0"/>
  </w:style>
  <w:style w:type="character" w:customStyle="1" w:styleId="57">
    <w:name w:val="font3"/>
    <w:basedOn w:val="14"/>
    <w:qFormat/>
    <w:uiPriority w:val="0"/>
  </w:style>
  <w:style w:type="character" w:customStyle="1" w:styleId="58">
    <w:name w:val="noline"/>
    <w:basedOn w:val="14"/>
    <w:qFormat/>
    <w:uiPriority w:val="0"/>
  </w:style>
  <w:style w:type="character" w:customStyle="1" w:styleId="59">
    <w:name w:val="place"/>
    <w:basedOn w:val="14"/>
    <w:qFormat/>
    <w:uiPriority w:val="0"/>
    <w:rPr>
      <w:rFonts w:ascii="微软雅黑" w:hAnsi="微软雅黑" w:eastAsia="微软雅黑" w:cs="微软雅黑"/>
      <w:color w:val="888888"/>
      <w:sz w:val="25"/>
      <w:szCs w:val="25"/>
    </w:rPr>
  </w:style>
  <w:style w:type="character" w:customStyle="1" w:styleId="60">
    <w:name w:val="place1"/>
    <w:basedOn w:val="14"/>
    <w:qFormat/>
    <w:uiPriority w:val="0"/>
  </w:style>
  <w:style w:type="character" w:customStyle="1" w:styleId="61">
    <w:name w:val="place2"/>
    <w:basedOn w:val="14"/>
    <w:qFormat/>
    <w:uiPriority w:val="0"/>
  </w:style>
  <w:style w:type="character" w:customStyle="1" w:styleId="62">
    <w:name w:val="place3"/>
    <w:basedOn w:val="14"/>
    <w:qFormat/>
    <w:uiPriority w:val="0"/>
  </w:style>
  <w:style w:type="character" w:customStyle="1" w:styleId="63">
    <w:name w:val="hover16"/>
    <w:basedOn w:val="14"/>
    <w:qFormat/>
    <w:uiPriority w:val="0"/>
    <w:rPr>
      <w:color w:val="025291"/>
    </w:rPr>
  </w:style>
  <w:style w:type="character" w:customStyle="1" w:styleId="64">
    <w:name w:val="hover15"/>
    <w:basedOn w:val="14"/>
    <w:qFormat/>
    <w:uiPriority w:val="0"/>
    <w:rPr>
      <w:color w:val="025291"/>
    </w:rPr>
  </w:style>
  <w:style w:type="character" w:customStyle="1" w:styleId="65">
    <w:name w:val="after"/>
    <w:basedOn w:val="14"/>
    <w:qFormat/>
    <w:uiPriority w:val="0"/>
  </w:style>
  <w:style w:type="character" w:customStyle="1" w:styleId="66">
    <w:name w:val="after1"/>
    <w:basedOn w:val="14"/>
    <w:qFormat/>
    <w:uiPriority w:val="0"/>
    <w:rPr>
      <w:shd w:val="clear" w:color="auto" w:fill="D60000"/>
    </w:rPr>
  </w:style>
  <w:style w:type="character" w:customStyle="1" w:styleId="67">
    <w:name w:val="after2"/>
    <w:basedOn w:val="14"/>
    <w:qFormat/>
    <w:uiPriority w:val="0"/>
  </w:style>
  <w:style w:type="character" w:customStyle="1" w:styleId="68">
    <w:name w:val="after3"/>
    <w:basedOn w:val="14"/>
    <w:qFormat/>
    <w:uiPriority w:val="0"/>
    <w:rPr>
      <w:vanish/>
    </w:rPr>
  </w:style>
  <w:style w:type="character" w:customStyle="1" w:styleId="69">
    <w:name w:val="selected"/>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20BBCF-2501-408F-977D-5FCE437580B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785</Words>
  <Characters>4476</Characters>
  <Lines>37</Lines>
  <Paragraphs>10</Paragraphs>
  <TotalTime>7</TotalTime>
  <ScaleCrop>false</ScaleCrop>
  <LinksUpToDate>false</LinksUpToDate>
  <CharactersWithSpaces>5251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2018-12-29T00:33:00Z</dcterms:created>
  <dc:creator>微软用户</dc:creator>
  <cp:lastModifiedBy>Administrator</cp:lastModifiedBy>
  <cp:lastPrinted>2021-01-29T05:35:00Z</cp:lastPrinted>
  <dcterms:modified xsi:type="dcterms:W3CDTF">2022-02-07T06:23:47Z</dcterms:modified>
  <cp:revision>359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88A75EB0CA9E4FEA97930FFA09730AAE</vt:lpwstr>
  </property>
</Properties>
</file>