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仿宋" w:hAnsi="仿宋" w:eastAsia="仿宋" w:cs="仿宋"/>
          <w:bCs/>
          <w:color w:val="FF0000"/>
          <w:spacing w:val="-36"/>
          <w:w w:val="80"/>
          <w:sz w:val="84"/>
          <w:szCs w:val="84"/>
        </w:rPr>
      </w:pPr>
      <w:r>
        <w:rPr>
          <w:rFonts w:hint="eastAsia" w:ascii="仿宋" w:hAnsi="仿宋" w:eastAsia="仿宋" w:cs="仿宋"/>
          <w:bCs/>
          <w:color w:val="FF0000"/>
          <w:spacing w:val="-36"/>
          <w:w w:val="80"/>
          <w:sz w:val="84"/>
          <w:szCs w:val="84"/>
        </w:rPr>
        <w:t xml:space="preserve"> </w:t>
      </w:r>
      <w:bookmarkStart w:id="1" w:name="_GoBack"/>
      <w:bookmarkEnd w:id="1"/>
      <w:r>
        <w:rPr>
          <w:rFonts w:hint="eastAsia" w:ascii="仿宋" w:hAnsi="仿宋" w:eastAsia="仿宋" w:cs="仿宋"/>
          <w:bCs/>
          <w:color w:val="FF0000"/>
          <w:spacing w:val="-36"/>
          <w:w w:val="80"/>
          <w:sz w:val="84"/>
          <w:szCs w:val="84"/>
        </w:rPr>
        <w:t>中国国际工程咨询协会文件</w:t>
      </w:r>
    </w:p>
    <w:p>
      <w:pPr>
        <w:adjustRightInd w:val="0"/>
        <w:snapToGrid w:val="0"/>
        <w:jc w:val="center"/>
        <w:rPr>
          <w:rFonts w:ascii="仿宋" w:hAnsi="仿宋" w:eastAsia="仿宋" w:cs="仿宋_GB2312"/>
          <w:color w:val="000000" w:themeColor="text1"/>
          <w:spacing w:val="-12"/>
          <w:sz w:val="28"/>
          <w:szCs w:val="28"/>
          <w14:textFill>
            <w14:solidFill>
              <w14:schemeClr w14:val="tx1"/>
            </w14:solidFill>
          </w14:textFill>
        </w:rPr>
      </w:pPr>
    </w:p>
    <w:p>
      <w:pPr>
        <w:adjustRightInd w:val="0"/>
        <w:snapToGrid w:val="0"/>
        <w:spacing w:line="300" w:lineRule="exact"/>
        <w:jc w:val="center"/>
        <w:rPr>
          <w:rFonts w:ascii="仿宋_GB2312" w:hAnsi="Calibri" w:eastAsia="仿宋_GB2312" w:cs="Times New Roman"/>
          <w:color w:val="000000" w:themeColor="text1"/>
          <w:sz w:val="30"/>
          <w:szCs w:val="30"/>
          <w14:textFill>
            <w14:solidFill>
              <w14:schemeClr w14:val="tx1"/>
            </w14:solidFill>
          </w14:textFill>
        </w:rPr>
      </w:pPr>
      <w:r>
        <w:rPr>
          <w:rFonts w:hint="eastAsia" w:ascii="仿宋" w:hAnsi="仿宋" w:eastAsia="仿宋" w:cs="仿宋_GB2312"/>
          <w:color w:val="000000" w:themeColor="text1"/>
          <w:spacing w:val="-12"/>
          <w:sz w:val="28"/>
          <w:szCs w:val="28"/>
          <w14:textFill>
            <w14:solidFill>
              <w14:schemeClr w14:val="tx1"/>
            </w14:solidFill>
          </w14:textFill>
        </w:rPr>
        <w:t>国咨协［2022］04号</w:t>
      </w:r>
    </w:p>
    <w:p>
      <w:pPr>
        <w:jc w:val="center"/>
        <w:rPr>
          <w:rFonts w:ascii="仿宋" w:hAnsi="仿宋" w:eastAsia="仿宋" w:cs="Times New Roman"/>
          <w:color w:val="000000" w:themeColor="text1"/>
          <w14:textFill>
            <w14:solidFill>
              <w14:schemeClr w14:val="tx1"/>
            </w14:solidFill>
          </w14:textFill>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9525" r="2540" b="13335"/>
                <wp:wrapNone/>
                <wp:docPr id="2"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LwWAN4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z7hzIGlC7/7&#10;9P3Hxy8/bz/TevftKxtnkbqAFeVeuet48jBcx8z40ESb/8SFHWr+olxMZ1POjoQ4uZhN59NBY3VI&#10;TFB8+nw+W+QEQRnjRdmHiz8wIWJ6pbxl2ai50S4rABXsX2Oi0pT6OyVvG8e6AYduVADNY0NzQKYN&#10;xAndrj+M3mi50cbkIxh32ysT2R5oJjabkr7cIgH/lZarrAHbIa8PDUxaBfKlkywdA6nl6JHw3INV&#10;kjOj6E1liwChSqDNOZlU2rh8QPUTeyKaJR9EztbWy2OvfZE9moa+49Pk5nF76JP98LW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vBYA3gICAAD1AwAADgAAAAAAAAABACAAAAAlAQAAZHJz&#10;L2Uyb0RvYy54bWxQSwUGAAAAAAYABgBZAQAAmQUAAAAA&#10;">
                <v:fill on="f" focussize="0,0"/>
                <v:stroke weight="1.5pt" color="#FF0000" joinstyle="round"/>
                <v:imagedata o:title=""/>
                <o:lock v:ext="edit" aspectratio="f"/>
              </v:line>
            </w:pict>
          </mc:Fallback>
        </mc:AlternateContent>
      </w:r>
    </w:p>
    <w:p>
      <w:pPr>
        <w:spacing w:line="540" w:lineRule="exact"/>
        <w:jc w:val="center"/>
        <w:rPr>
          <w:rFonts w:ascii="仿宋" w:hAnsi="仿宋" w:eastAsia="仿宋" w:cs="仿宋"/>
          <w:b/>
          <w:bCs/>
          <w:color w:val="000000" w:themeColor="text1"/>
          <w:kern w:val="0"/>
          <w:sz w:val="30"/>
          <w:szCs w:val="30"/>
          <w:shd w:val="clear" w:color="000000" w:fill="auto"/>
          <w14:textFill>
            <w14:solidFill>
              <w14:schemeClr w14:val="tx1"/>
            </w14:solidFill>
          </w14:textFill>
        </w:rPr>
      </w:pPr>
      <w:r>
        <w:rPr>
          <w:rFonts w:hint="eastAsia" w:ascii="仿宋" w:hAnsi="仿宋" w:eastAsia="仿宋" w:cs="仿宋"/>
          <w:b/>
          <w:bCs/>
          <w:color w:val="000000" w:themeColor="text1"/>
          <w:kern w:val="0"/>
          <w:sz w:val="30"/>
          <w:szCs w:val="30"/>
          <w:shd w:val="clear" w:color="000000" w:fill="auto"/>
          <w14:textFill>
            <w14:solidFill>
              <w14:schemeClr w14:val="tx1"/>
            </w14:solidFill>
          </w14:textFill>
        </w:rPr>
        <w:t xml:space="preserve"> 关于举办新《安全生产法》视野下建设项目“危大”工程安全管理与施工企业刑事合规体系建设专题培训班的通知</w:t>
      </w:r>
    </w:p>
    <w:p>
      <w:pPr>
        <w:spacing w:line="320" w:lineRule="exact"/>
        <w:jc w:val="left"/>
        <w:rPr>
          <w:rFonts w:ascii="仿宋" w:hAnsi="仿宋" w:eastAsia="仿宋" w:cs="仿宋_GB2312"/>
          <w:bCs/>
          <w:color w:val="000000" w:themeColor="text1"/>
          <w:sz w:val="28"/>
          <w:szCs w:val="28"/>
          <w14:textFill>
            <w14:solidFill>
              <w14:schemeClr w14:val="tx1"/>
            </w14:solidFill>
          </w14:textFill>
        </w:rPr>
      </w:pPr>
    </w:p>
    <w:p>
      <w:pPr>
        <w:spacing w:line="440" w:lineRule="exact"/>
        <w:jc w:val="left"/>
        <w:rPr>
          <w:rFonts w:ascii="仿宋" w:hAnsi="仿宋" w:eastAsia="仿宋" w:cs="仿宋_GB2312"/>
          <w:b/>
          <w:sz w:val="28"/>
          <w:szCs w:val="28"/>
        </w:rPr>
      </w:pPr>
      <w:r>
        <w:rPr>
          <w:rFonts w:hint="eastAsia" w:ascii="仿宋" w:hAnsi="仿宋" w:eastAsia="仿宋" w:cs="仿宋_GB2312"/>
          <w:b/>
          <w:sz w:val="28"/>
          <w:szCs w:val="28"/>
        </w:rPr>
        <w:t>各有关单位</w:t>
      </w:r>
      <w:r>
        <w:rPr>
          <w:rFonts w:ascii="仿宋" w:hAnsi="仿宋" w:eastAsia="仿宋" w:cs="仿宋_GB2312"/>
          <w:b/>
          <w:sz w:val="28"/>
          <w:szCs w:val="28"/>
        </w:rPr>
        <w:t>:</w:t>
      </w:r>
    </w:p>
    <w:p>
      <w:pPr>
        <w:widowControl/>
        <w:spacing w:line="4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近年来，建筑工程领域的安全生产事故仍呈高发态势，甚者已然频频触及刑事处罚边界。随着国家监管力度的不断加强，安全生产的合规性也愈发成为施工企业在生产运营中的关注重点。国家通过对《安全生产法》进行了第三次修订，对安全生产工作提出了更高的要求。鉴于修订后的新《安全生产法》已于2021年9月1日正式施行，作为施工企业安全生产合规义务的重要来源以及保证施工企业合规经营的坚实基础，在当前国家大力推行合规不起诉制度的情况下，施工企业确有必要以新安全生产法为立足点，积极探索企业安全生产的刑事合规路径。住房和城乡建设部办公厅印发了《危险性较大的分部分项工程专项施工方案编制指南》的通知，要求加强和规范房屋建筑和市政基础设施工程中危险性较大的分部分项工程安全管理，提升房屋建筑和市政基础设施工程安全生产水平。</w:t>
      </w:r>
    </w:p>
    <w:p>
      <w:pPr>
        <w:spacing w:line="440" w:lineRule="exact"/>
        <w:ind w:firstLine="560" w:firstLineChars="200"/>
        <w:rPr>
          <w:rFonts w:ascii="仿宋" w:hAnsi="仿宋" w:eastAsia="仿宋"/>
          <w:sz w:val="28"/>
          <w:szCs w:val="28"/>
        </w:rPr>
      </w:pPr>
      <w:r>
        <w:rPr>
          <w:rFonts w:hint="eastAsia" w:ascii="仿宋" w:hAnsi="仿宋" w:eastAsia="仿宋" w:cs="仿宋"/>
          <w:sz w:val="28"/>
          <w:szCs w:val="28"/>
        </w:rPr>
        <w:t>为帮助相关单位学习和掌握最新建设领域安全政策，根据新《安全生产法》有效梳理合规义务，识别安全生产合规风险，从而全面提高安全生产合规水平，提高工程项目建设中安全意识、责任意识、法律意识和防范意识，我会决定举办“新《安全生产法》视野下建设项目“危大”工程安全管理与施工企业安全生产刑事合规体系建设专题培训班”。本次培训班由中国国际工程咨询协会主办，京众合启迪教育咨询有限公司承办。</w:t>
      </w:r>
      <w:r>
        <w:rPr>
          <w:rFonts w:hint="eastAsia" w:ascii="仿宋" w:hAnsi="仿宋" w:eastAsia="仿宋"/>
          <w:sz w:val="28"/>
          <w:szCs w:val="28"/>
        </w:rPr>
        <w:t>请各单位积极派员参加，有关事项详见附件。</w:t>
      </w:r>
    </w:p>
    <w:p>
      <w:pPr>
        <w:tabs>
          <w:tab w:val="left" w:pos="567"/>
          <w:tab w:val="left" w:pos="709"/>
        </w:tabs>
        <w:spacing w:line="440" w:lineRule="exact"/>
        <w:textAlignment w:val="baseline"/>
        <w:outlineLvl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一、培训内容</w:t>
      </w:r>
    </w:p>
    <w:p>
      <w:pPr>
        <w:pStyle w:val="7"/>
        <w:widowControl/>
        <w:shd w:val="clear" w:color="auto" w:fill="FFFFFF"/>
        <w:spacing w:before="0" w:beforeAutospacing="0" w:after="0" w:afterAutospacing="0" w:line="440" w:lineRule="exact"/>
        <w:ind w:firstLine="560" w:firstLineChars="200"/>
        <w:rPr>
          <w:rFonts w:ascii="仿宋" w:hAnsi="仿宋" w:eastAsia="仿宋" w:cs="仿宋"/>
          <w:b/>
          <w:bCs/>
          <w:color w:val="000000" w:themeColor="text1"/>
          <w:kern w:val="2"/>
          <w:sz w:val="28"/>
          <w:szCs w:val="28"/>
          <w14:textFill>
            <w14:solidFill>
              <w14:schemeClr w14:val="tx1"/>
            </w14:solidFill>
          </w14:textFill>
        </w:rPr>
      </w:pPr>
      <w:r>
        <w:rPr>
          <w:rFonts w:hint="eastAsia" w:ascii="仿宋" w:hAnsi="仿宋" w:eastAsia="仿宋" w:cs="仿宋"/>
          <w:b/>
          <w:bCs/>
          <w:color w:val="000000" w:themeColor="text1"/>
          <w:kern w:val="2"/>
          <w:sz w:val="28"/>
          <w:szCs w:val="28"/>
          <w14:textFill>
            <w14:solidFill>
              <w14:schemeClr w14:val="tx1"/>
            </w14:solidFill>
          </w14:textFill>
        </w:rPr>
        <w:t>（一）新《安全生产法》重点难点解读</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1.生产经营单位的安全生产保障；</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2.从业人员的安全生产权利义务；</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3.安全生产的监督管理；</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4.生产安全事故的应急救援与调查处理；</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w:t>
      </w:r>
      <w:r>
        <w:rPr>
          <w:rFonts w:hint="eastAsia" w:ascii="仿宋" w:hAnsi="仿宋" w:eastAsia="仿宋" w:cs="仿宋"/>
          <w:kern w:val="2"/>
          <w:sz w:val="28"/>
          <w:szCs w:val="28"/>
        </w:rPr>
        <w:t>安全生产法律</w:t>
      </w:r>
      <w:r>
        <w:rPr>
          <w:rFonts w:hint="eastAsia" w:ascii="仿宋" w:hAnsi="仿宋" w:eastAsia="仿宋" w:cs="仿宋"/>
          <w:color w:val="000000" w:themeColor="text1"/>
          <w:kern w:val="2"/>
          <w:sz w:val="28"/>
          <w:szCs w:val="28"/>
          <w14:textFill>
            <w14:solidFill>
              <w14:schemeClr w14:val="tx1"/>
            </w14:solidFill>
          </w14:textFill>
        </w:rPr>
        <w:t>责任。</w:t>
      </w:r>
    </w:p>
    <w:p>
      <w:pPr>
        <w:pStyle w:val="7"/>
        <w:widowControl/>
        <w:shd w:val="clear" w:color="auto" w:fill="FFFFFF"/>
        <w:spacing w:before="0" w:beforeAutospacing="0" w:after="0" w:afterAutospacing="0" w:line="440" w:lineRule="exact"/>
        <w:ind w:firstLine="560" w:firstLineChars="200"/>
        <w:rPr>
          <w:rFonts w:ascii="仿宋" w:hAnsi="仿宋" w:eastAsia="仿宋" w:cs="仿宋"/>
          <w:b/>
          <w:bCs/>
          <w:color w:val="000000" w:themeColor="text1"/>
          <w:kern w:val="2"/>
          <w:sz w:val="28"/>
          <w:szCs w:val="28"/>
          <w14:textFill>
            <w14:solidFill>
              <w14:schemeClr w14:val="tx1"/>
            </w14:solidFill>
          </w14:textFill>
        </w:rPr>
      </w:pPr>
      <w:r>
        <w:rPr>
          <w:rFonts w:hint="eastAsia" w:ascii="仿宋" w:hAnsi="仿宋" w:eastAsia="仿宋" w:cs="仿宋"/>
          <w:b/>
          <w:bCs/>
          <w:color w:val="000000" w:themeColor="text1"/>
          <w:kern w:val="2"/>
          <w:sz w:val="28"/>
          <w:szCs w:val="28"/>
          <w14:textFill>
            <w14:solidFill>
              <w14:schemeClr w14:val="tx1"/>
            </w14:solidFill>
          </w14:textFill>
        </w:rPr>
        <w:t>(二)危大工程安全管理实务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1.建设工程超过一定规模的危险性较大的分部分项范围；</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2.危大工程专项施工方案编制、审核、实施及验收中存在的疑点、难点问题解析；</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3.建设各方工程技术风险的控制职责及各阶段的风险控制要点深度解析；</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4.危大工程安全违法行为查处、事故问责与刑事责任追究；</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5.安全事故预防与安全管控措施，经验交流等；</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6.大型工程勘察、设计、施工各阶段的风险控制要点；</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7.大型工程技术风险评估报告、总结报告、工作月报等格式要求与要点。</w:t>
      </w:r>
    </w:p>
    <w:p>
      <w:pPr>
        <w:pStyle w:val="7"/>
        <w:widowControl/>
        <w:shd w:val="clear" w:color="auto" w:fill="FFFFFF"/>
        <w:spacing w:before="0" w:beforeAutospacing="0" w:after="0" w:afterAutospacing="0" w:line="440" w:lineRule="exact"/>
        <w:ind w:firstLine="560" w:firstLineChars="200"/>
        <w:rPr>
          <w:rFonts w:ascii="仿宋" w:hAnsi="仿宋" w:eastAsia="仿宋" w:cs="仿宋"/>
          <w:b/>
          <w:bCs/>
          <w:color w:val="000000" w:themeColor="text1"/>
          <w:kern w:val="2"/>
          <w:sz w:val="28"/>
          <w:szCs w:val="28"/>
          <w14:textFill>
            <w14:solidFill>
              <w14:schemeClr w14:val="tx1"/>
            </w14:solidFill>
          </w14:textFill>
        </w:rPr>
      </w:pPr>
      <w:r>
        <w:rPr>
          <w:rFonts w:hint="eastAsia" w:ascii="仿宋" w:hAnsi="仿宋" w:eastAsia="仿宋" w:cs="仿宋"/>
          <w:b/>
          <w:bCs/>
          <w:color w:val="000000" w:themeColor="text1"/>
          <w:kern w:val="2"/>
          <w:sz w:val="28"/>
          <w:szCs w:val="28"/>
          <w14:textFill>
            <w14:solidFill>
              <w14:schemeClr w14:val="tx1"/>
            </w14:solidFill>
          </w14:textFill>
        </w:rPr>
        <w:t>（三）建设项目安全生产管理实务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1.项目安全生产管理计划应满足事故预防的管理要求，并应符合的规定；</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bookmarkStart w:id="0" w:name="_Toc419217405"/>
      <w:r>
        <w:rPr>
          <w:rFonts w:hint="eastAsia" w:ascii="仿宋" w:hAnsi="仿宋" w:eastAsia="仿宋" w:cs="仿宋"/>
          <w:color w:val="000000" w:themeColor="text1"/>
          <w:kern w:val="2"/>
          <w:sz w:val="28"/>
          <w:szCs w:val="28"/>
          <w14:textFill>
            <w14:solidFill>
              <w14:schemeClr w14:val="tx1"/>
            </w14:solidFill>
          </w14:textFill>
        </w:rPr>
        <w:t>2.施工现场的安全生产管理应符合的要求；</w:t>
      </w:r>
    </w:p>
    <w:bookmarkEnd w:id="0"/>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3.项目管理机构应急准备与响应预案应包括的内容；</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4.安全生产管理评价与检查的程序、方法、标准、评价人员应执行的相关规定；</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5.项目管理机构实施项目安全管理标准化工作，开展安全文明工地建设活动的有关要求。</w:t>
      </w:r>
    </w:p>
    <w:p>
      <w:pPr>
        <w:pStyle w:val="7"/>
        <w:widowControl/>
        <w:shd w:val="clear" w:color="auto" w:fill="FFFFFF"/>
        <w:spacing w:before="0" w:beforeAutospacing="0" w:after="0" w:afterAutospacing="0" w:line="440" w:lineRule="exact"/>
        <w:ind w:firstLine="560" w:firstLineChars="200"/>
        <w:rPr>
          <w:rFonts w:ascii="仿宋" w:hAnsi="仿宋" w:eastAsia="仿宋" w:cs="仿宋"/>
          <w:b/>
          <w:bCs/>
          <w:color w:val="000000" w:themeColor="text1"/>
          <w:kern w:val="2"/>
          <w:sz w:val="28"/>
          <w:szCs w:val="28"/>
          <w14:textFill>
            <w14:solidFill>
              <w14:schemeClr w14:val="tx1"/>
            </w14:solidFill>
          </w14:textFill>
        </w:rPr>
      </w:pPr>
      <w:r>
        <w:rPr>
          <w:rFonts w:hint="eastAsia" w:ascii="仿宋" w:hAnsi="仿宋" w:eastAsia="仿宋" w:cs="仿宋"/>
          <w:b/>
          <w:bCs/>
          <w:color w:val="000000" w:themeColor="text1"/>
          <w:kern w:val="2"/>
          <w:sz w:val="28"/>
          <w:szCs w:val="28"/>
          <w14:textFill>
            <w14:solidFill>
              <w14:schemeClr w14:val="tx1"/>
            </w14:solidFill>
          </w14:textFill>
        </w:rPr>
        <w:t>(四)建设工程安全风险分级管控与关键技术实务操作</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1.深基坑工程设计施工中的安全问题与管控；</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（1）深基坑工程的特点及重点；</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（2）深基坑工程的概念设计；</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（3）深基坑工程的施工方法；</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（4）基坑支护结构设计与施工；</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（5）深基坑设计及施工安全问题与管控案例及分析。</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2.建筑施工脚手架安全技术标准及案例分析；</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（1）专项施工方案及论证；</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（2）安全技术标准及监管要点；</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3.建筑施工高处作业吊篮安全管理的标准及案例分析；</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（1）高处作业吊篮施工安全监管现状；</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（2）高处作业吊篮相关标准解读；</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（3）高处作业吊篮事故案例分析；</w:t>
      </w:r>
    </w:p>
    <w:p>
      <w:pPr>
        <w:pStyle w:val="7"/>
        <w:widowControl/>
        <w:shd w:val="clear" w:color="auto" w:fill="FFFFFF"/>
        <w:spacing w:before="0" w:beforeAutospacing="0" w:after="0" w:afterAutospacing="0" w:line="44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（4）模板支架应用技术。</w:t>
      </w:r>
    </w:p>
    <w:p>
      <w:pPr>
        <w:pStyle w:val="7"/>
        <w:widowControl/>
        <w:shd w:val="clear" w:color="auto" w:fill="FFFFFF"/>
        <w:spacing w:before="0" w:beforeAutospacing="0" w:after="0" w:afterAutospacing="0" w:line="440" w:lineRule="exact"/>
        <w:ind w:firstLine="560" w:firstLineChars="200"/>
        <w:rPr>
          <w:rFonts w:ascii="仿宋" w:hAnsi="仿宋" w:eastAsia="仿宋" w:cs="仿宋"/>
          <w:b/>
          <w:bCs/>
          <w:color w:val="000000" w:themeColor="text1"/>
          <w:kern w:val="2"/>
          <w:sz w:val="28"/>
          <w:szCs w:val="28"/>
          <w14:textFill>
            <w14:solidFill>
              <w14:schemeClr w14:val="tx1"/>
            </w14:solidFill>
          </w14:textFill>
        </w:rPr>
      </w:pPr>
      <w:r>
        <w:rPr>
          <w:rFonts w:hint="eastAsia" w:ascii="仿宋" w:hAnsi="仿宋" w:eastAsia="仿宋" w:cs="仿宋"/>
          <w:b/>
          <w:bCs/>
          <w:color w:val="000000" w:themeColor="text1"/>
          <w:kern w:val="2"/>
          <w:sz w:val="28"/>
          <w:szCs w:val="28"/>
          <w14:textFill>
            <w14:solidFill>
              <w14:schemeClr w14:val="tx1"/>
            </w14:solidFill>
          </w14:textFill>
        </w:rPr>
        <w:t>(五)建设施工过程中安全隐患排查治理</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1.建设施工工程中安全隐患种类划分；</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2.建设项目安全隐患排查的常用方法；</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3.建设施工过程中安全隐患排查治理的技术应用与创新；</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4.住建部及各地对于建筑施工安全隐患排查与治理的规范性文件解读。</w:t>
      </w:r>
    </w:p>
    <w:p>
      <w:pPr>
        <w:pStyle w:val="7"/>
        <w:widowControl/>
        <w:shd w:val="clear" w:color="auto" w:fill="FFFFFF"/>
        <w:spacing w:before="0" w:beforeAutospacing="0" w:after="0" w:afterAutospacing="0" w:line="440" w:lineRule="exact"/>
        <w:ind w:firstLine="560" w:firstLineChars="200"/>
        <w:rPr>
          <w:rFonts w:ascii="仿宋" w:hAnsi="仿宋" w:eastAsia="仿宋" w:cs="仿宋"/>
          <w:b/>
          <w:bCs/>
          <w:kern w:val="2"/>
          <w:sz w:val="28"/>
          <w:szCs w:val="28"/>
          <w:lang w:val="zh-CN"/>
        </w:rPr>
      </w:pPr>
      <w:r>
        <w:rPr>
          <w:rFonts w:hint="eastAsia" w:ascii="仿宋" w:hAnsi="仿宋" w:eastAsia="仿宋" w:cs="仿宋"/>
          <w:b/>
          <w:bCs/>
          <w:color w:val="000000" w:themeColor="text1"/>
          <w:kern w:val="2"/>
          <w:sz w:val="28"/>
          <w:szCs w:val="28"/>
          <w14:textFill>
            <w14:solidFill>
              <w14:schemeClr w14:val="tx1"/>
            </w14:solidFill>
          </w14:textFill>
        </w:rPr>
        <w:t>（六）</w:t>
      </w:r>
      <w:r>
        <w:rPr>
          <w:rFonts w:hint="eastAsia" w:ascii="仿宋" w:hAnsi="仿宋" w:eastAsia="仿宋" w:cs="仿宋"/>
          <w:b/>
          <w:bCs/>
          <w:color w:val="000000" w:themeColor="text1"/>
          <w:kern w:val="2"/>
          <w:sz w:val="28"/>
          <w:szCs w:val="28"/>
          <w:lang w:val="zh-CN"/>
          <w14:textFill>
            <w14:solidFill>
              <w14:schemeClr w14:val="tx1"/>
            </w14:solidFill>
          </w14:textFill>
        </w:rPr>
        <w:t>危险性较大的分部分项工程专项施工方案</w:t>
      </w:r>
      <w:r>
        <w:rPr>
          <w:rFonts w:hint="eastAsia" w:ascii="仿宋" w:hAnsi="仿宋" w:eastAsia="仿宋" w:cs="仿宋"/>
          <w:b/>
          <w:bCs/>
          <w:kern w:val="2"/>
          <w:sz w:val="28"/>
          <w:szCs w:val="28"/>
          <w:lang w:val="zh-CN"/>
        </w:rPr>
        <w:t>编制实务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w:t>
      </w:r>
      <w:r>
        <w:rPr>
          <w:rFonts w:hint="eastAsia" w:ascii="仿宋" w:hAnsi="仿宋" w:eastAsia="仿宋" w:cs="仿宋"/>
          <w:kern w:val="2"/>
          <w:sz w:val="28"/>
          <w:szCs w:val="28"/>
          <w:lang w:val="zh-CN"/>
        </w:rPr>
        <w:t>基坑工程施工方案编制实务；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w:t>
      </w:r>
      <w:r>
        <w:rPr>
          <w:rFonts w:hint="eastAsia" w:ascii="仿宋" w:hAnsi="仿宋" w:eastAsia="仿宋" w:cs="仿宋"/>
          <w:kern w:val="2"/>
          <w:sz w:val="28"/>
          <w:szCs w:val="28"/>
          <w:lang w:val="zh-CN"/>
        </w:rPr>
        <w:t>模板支撑体系工程施工方案编制实务；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3.</w:t>
      </w:r>
      <w:r>
        <w:rPr>
          <w:rFonts w:hint="eastAsia" w:ascii="仿宋" w:hAnsi="仿宋" w:eastAsia="仿宋" w:cs="仿宋"/>
          <w:kern w:val="2"/>
          <w:sz w:val="28"/>
          <w:szCs w:val="28"/>
          <w:lang w:val="zh-CN"/>
        </w:rPr>
        <w:t>起重吊装及安装拆卸工程施工方案编制实务；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4.</w:t>
      </w:r>
      <w:r>
        <w:rPr>
          <w:rFonts w:hint="eastAsia" w:ascii="仿宋" w:hAnsi="仿宋" w:eastAsia="仿宋" w:cs="仿宋"/>
          <w:kern w:val="2"/>
          <w:sz w:val="28"/>
          <w:szCs w:val="28"/>
          <w:lang w:val="zh-CN"/>
        </w:rPr>
        <w:t>脚手架工程施工方案编制实务；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5.</w:t>
      </w:r>
      <w:r>
        <w:rPr>
          <w:rFonts w:hint="eastAsia" w:ascii="仿宋" w:hAnsi="仿宋" w:eastAsia="仿宋" w:cs="仿宋"/>
          <w:kern w:val="2"/>
          <w:sz w:val="28"/>
          <w:szCs w:val="28"/>
          <w:lang w:val="zh-CN"/>
        </w:rPr>
        <w:t>拆除工程施工方案编制实务；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6.</w:t>
      </w:r>
      <w:r>
        <w:rPr>
          <w:rFonts w:hint="eastAsia" w:ascii="仿宋" w:hAnsi="仿宋" w:eastAsia="仿宋" w:cs="仿宋"/>
          <w:kern w:val="2"/>
          <w:sz w:val="28"/>
          <w:szCs w:val="28"/>
          <w:lang w:val="zh-CN"/>
        </w:rPr>
        <w:t>暗挖工程施工方案编制实务；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7.</w:t>
      </w:r>
      <w:r>
        <w:rPr>
          <w:rFonts w:hint="eastAsia" w:ascii="仿宋" w:hAnsi="仿宋" w:eastAsia="仿宋" w:cs="仿宋"/>
          <w:kern w:val="2"/>
          <w:sz w:val="28"/>
          <w:szCs w:val="28"/>
          <w:lang w:val="zh-CN"/>
        </w:rPr>
        <w:t>建筑幕墙安装工程施工方案编制实务；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8.</w:t>
      </w:r>
      <w:r>
        <w:rPr>
          <w:rFonts w:hint="eastAsia" w:ascii="仿宋" w:hAnsi="仿宋" w:eastAsia="仿宋" w:cs="仿宋"/>
          <w:kern w:val="2"/>
          <w:sz w:val="28"/>
          <w:szCs w:val="28"/>
          <w:lang w:val="zh-CN"/>
        </w:rPr>
        <w:t>人工挖孔桩工程施工方案编制实务；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9.</w:t>
      </w:r>
      <w:r>
        <w:rPr>
          <w:rFonts w:hint="eastAsia" w:ascii="仿宋" w:hAnsi="仿宋" w:eastAsia="仿宋" w:cs="仿宋"/>
          <w:kern w:val="2"/>
          <w:sz w:val="28"/>
          <w:szCs w:val="28"/>
          <w:lang w:val="zh-CN"/>
        </w:rPr>
        <w:t>钢结构安装工程施工方案编制实务。</w:t>
      </w:r>
    </w:p>
    <w:p>
      <w:pPr>
        <w:pStyle w:val="7"/>
        <w:widowControl/>
        <w:shd w:val="clear" w:color="auto" w:fill="FFFFFF"/>
        <w:spacing w:before="0" w:beforeAutospacing="0" w:after="0" w:afterAutospacing="0" w:line="440" w:lineRule="exact"/>
        <w:ind w:firstLine="560" w:firstLineChars="200"/>
        <w:rPr>
          <w:rFonts w:ascii="仿宋" w:hAnsi="仿宋" w:eastAsia="仿宋" w:cs="仿宋"/>
          <w:b/>
          <w:bCs/>
          <w:kern w:val="2"/>
          <w:sz w:val="28"/>
          <w:szCs w:val="28"/>
        </w:rPr>
      </w:pPr>
      <w:r>
        <w:rPr>
          <w:rFonts w:hint="eastAsia" w:ascii="仿宋" w:hAnsi="仿宋" w:eastAsia="仿宋" w:cs="仿宋"/>
          <w:b/>
          <w:bCs/>
          <w:kern w:val="2"/>
          <w:sz w:val="28"/>
          <w:szCs w:val="28"/>
        </w:rPr>
        <w:t>（七）如何规避安全事故引起的法律风险</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1.企业主要负责人和安全生产管理人员安全生产基本职责；</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2.企业主要负责人和安全生产管理人员常见刑事法律风险；</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3.典型的安全事故追责案件辩护实录及精解；</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4.刑辩律师视角下企业主要负责人和安全生产管理人员应如何规避安全事故引发的刑事法律风险；</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5.工程行业相关法律法规综合解读（建筑法和建筑工程安全管理条例）。</w:t>
      </w:r>
    </w:p>
    <w:p>
      <w:pPr>
        <w:pStyle w:val="7"/>
        <w:widowControl/>
        <w:shd w:val="clear" w:color="auto" w:fill="FFFFFF"/>
        <w:spacing w:before="0" w:beforeAutospacing="0" w:after="0" w:afterAutospacing="0" w:line="440" w:lineRule="exact"/>
        <w:ind w:firstLine="560" w:firstLineChars="200"/>
        <w:rPr>
          <w:rFonts w:ascii="仿宋" w:hAnsi="仿宋" w:eastAsia="仿宋" w:cs="仿宋"/>
          <w:b/>
          <w:bCs/>
          <w:kern w:val="2"/>
          <w:sz w:val="28"/>
          <w:szCs w:val="28"/>
        </w:rPr>
      </w:pPr>
      <w:r>
        <w:rPr>
          <w:rFonts w:hint="eastAsia" w:ascii="仿宋" w:hAnsi="仿宋" w:eastAsia="仿宋" w:cs="仿宋"/>
          <w:b/>
          <w:bCs/>
          <w:kern w:val="2"/>
          <w:sz w:val="28"/>
          <w:szCs w:val="28"/>
        </w:rPr>
        <w:t>（八）施工企业刑事合规体系建设</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1.合规不起诉制度对施工企业搭建安全生产合规体系的借鉴；</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2.施工企业安全生产领域高发罪名分析及合规建议；</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3.建筑施工企业开展安全生产合规审查的基本路径探讨；</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4.施工企业合规出罪路径探索—以刑事危机处置为切入点。</w:t>
      </w:r>
    </w:p>
    <w:p>
      <w:pPr>
        <w:tabs>
          <w:tab w:val="left" w:pos="567"/>
          <w:tab w:val="left" w:pos="709"/>
        </w:tabs>
        <w:spacing w:line="440" w:lineRule="exact"/>
        <w:jc w:val="left"/>
        <w:textAlignment w:val="baseline"/>
        <w:outlineLvl w:val="0"/>
        <w:rPr>
          <w:rFonts w:ascii="仿宋" w:hAnsi="仿宋" w:eastAsia="仿宋" w:cs="仿宋"/>
          <w:b/>
          <w:sz w:val="28"/>
          <w:szCs w:val="28"/>
        </w:rPr>
      </w:pPr>
      <w:r>
        <w:rPr>
          <w:rFonts w:hint="eastAsia" w:ascii="仿宋" w:hAnsi="仿宋" w:eastAsia="仿宋" w:cs="仿宋"/>
          <w:b/>
          <w:sz w:val="28"/>
          <w:szCs w:val="28"/>
        </w:rPr>
        <w:t>二、培训对象</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各建设工程质量安全监督主管领导和有关人员，各建设单位、施工单位主要安全负责人，各公司技术、安全、法务、相关部门负责人员、专职安全生产管理人员，监理单位项目总监和安全监理工程师，各房地产开发企业、建筑机械租赁、安拆单位质量安全技术负责人及项目负责人，设计院总工程师、技术、安全、法务负责人等。</w:t>
      </w:r>
    </w:p>
    <w:p>
      <w:pPr>
        <w:tabs>
          <w:tab w:val="left" w:pos="567"/>
          <w:tab w:val="left" w:pos="709"/>
        </w:tabs>
        <w:spacing w:line="440" w:lineRule="exact"/>
        <w:jc w:val="left"/>
        <w:textAlignment w:val="baseline"/>
        <w:outlineLvl w:val="0"/>
        <w:rPr>
          <w:rFonts w:ascii="仿宋" w:hAnsi="仿宋" w:eastAsia="仿宋" w:cs="仿宋"/>
          <w:b/>
          <w:sz w:val="28"/>
          <w:szCs w:val="28"/>
        </w:rPr>
      </w:pPr>
      <w:r>
        <w:rPr>
          <w:rFonts w:hint="eastAsia" w:ascii="仿宋" w:hAnsi="仿宋" w:eastAsia="仿宋" w:cs="仿宋"/>
          <w:b/>
          <w:sz w:val="28"/>
          <w:szCs w:val="28"/>
        </w:rPr>
        <w:t>三、授课师资</w:t>
      </w:r>
    </w:p>
    <w:p>
      <w:pPr>
        <w:pStyle w:val="7"/>
        <w:widowControl/>
        <w:shd w:val="clear" w:color="auto" w:fill="FFFFFF"/>
        <w:spacing w:before="0" w:beforeAutospacing="0" w:after="0" w:afterAutospacing="0" w:line="44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邀请住建部有关部门、北京建筑大学、建设工程质量监督站、知名律师事务所等有关部门具有丰富实践经验的专家授课。培训将结合经典案例分析，进行互动交流和现场答疑。</w:t>
      </w:r>
    </w:p>
    <w:p>
      <w:pPr>
        <w:tabs>
          <w:tab w:val="left" w:pos="567"/>
          <w:tab w:val="left" w:pos="709"/>
        </w:tabs>
        <w:spacing w:line="440" w:lineRule="exact"/>
        <w:jc w:val="left"/>
        <w:textAlignment w:val="baseline"/>
        <w:outlineLvl w:val="0"/>
        <w:rPr>
          <w:rFonts w:ascii="仿宋" w:hAnsi="仿宋" w:eastAsia="仿宋" w:cs="仿宋"/>
          <w:b/>
          <w:sz w:val="28"/>
          <w:szCs w:val="28"/>
        </w:rPr>
      </w:pPr>
      <w:r>
        <w:rPr>
          <w:rFonts w:hint="eastAsia" w:ascii="仿宋" w:hAnsi="仿宋" w:eastAsia="仿宋" w:cs="仿宋"/>
          <w:b/>
          <w:sz w:val="28"/>
          <w:szCs w:val="28"/>
        </w:rPr>
        <w:t>四、培训时间与地点</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2022年03月18日—03月21日  重庆市（18日全天报到）</w:t>
      </w:r>
    </w:p>
    <w:p>
      <w:pPr>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2022年04月22日—04月25日  成都市（22日全天报到）</w:t>
      </w:r>
    </w:p>
    <w:p>
      <w:pPr>
        <w:spacing w:line="44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2022年05月27日—05月30日  西安市（27日全天报到）</w:t>
      </w:r>
    </w:p>
    <w:p>
      <w:pPr>
        <w:pStyle w:val="2"/>
        <w:ind w:left="0" w:leftChars="0" w:firstLine="0" w:firstLineChars="0"/>
      </w:pPr>
      <w:r>
        <w:rPr>
          <w:rFonts w:hint="eastAsia"/>
        </w:rPr>
        <w:t>（因疫情采取线上线下同步授课，费用不变，线上学员2022年可免费参加线下公开课一次。）</w:t>
      </w:r>
    </w:p>
    <w:p>
      <w:pPr>
        <w:tabs>
          <w:tab w:val="left" w:pos="567"/>
          <w:tab w:val="left" w:pos="709"/>
        </w:tabs>
        <w:spacing w:line="440" w:lineRule="exact"/>
        <w:jc w:val="left"/>
        <w:textAlignment w:val="baseline"/>
        <w:outlineLvl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五、收费标准</w:t>
      </w:r>
    </w:p>
    <w:p>
      <w:pPr>
        <w:spacing w:line="440" w:lineRule="exact"/>
        <w:ind w:firstLine="600" w:firstLineChars="200"/>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A.3600元/人（含培训、资料、电子课件、场地及培训期间午餐），住宿统一安排，费用自理。</w:t>
      </w:r>
    </w:p>
    <w:p>
      <w:pPr>
        <w:spacing w:line="440" w:lineRule="exact"/>
        <w:ind w:firstLine="600" w:firstLineChars="200"/>
        <w:rPr>
          <w:rFonts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B.5600元/人（含培训、资料、电子课件、场地、证书及培训期间午餐），住宿统一安排，费用自理。</w:t>
      </w:r>
    </w:p>
    <w:p>
      <w:pPr>
        <w:ind w:firstLine="600" w:firstLineChars="200"/>
        <w:textAlignment w:val="baseline"/>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课程权益</w:t>
      </w:r>
    </w:p>
    <w:p>
      <w:pPr>
        <w:ind w:firstLine="600" w:firstLineChars="200"/>
        <w:textAlignment w:val="baseline"/>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1.本培训班常年举办，本人全年免费复训一次，只交资料费300元即可，赠送同主题一次网络课程；</w:t>
      </w:r>
    </w:p>
    <w:p>
      <w:pPr>
        <w:ind w:firstLine="600" w:firstLineChars="200"/>
        <w:textAlignment w:val="baseline"/>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 xml:space="preserve">2.推送各类行业政策新闻及专家解读相关资讯信息； </w:t>
      </w:r>
    </w:p>
    <w:p>
      <w:pPr>
        <w:ind w:firstLine="600" w:firstLineChars="200"/>
        <w:textAlignment w:val="baseline"/>
        <w:rPr>
          <w:rFonts w:ascii="仿宋" w:hAnsi="仿宋" w:eastAsia="仿宋" w:cs="仿宋"/>
          <w:color w:val="000000"/>
          <w:spacing w:val="10"/>
          <w:sz w:val="28"/>
          <w:szCs w:val="28"/>
        </w:rPr>
      </w:pPr>
      <w:r>
        <w:rPr>
          <w:rFonts w:hint="eastAsia" w:ascii="仿宋" w:hAnsi="仿宋" w:eastAsia="仿宋" w:cs="仿宋"/>
          <w:color w:val="000000"/>
          <w:spacing w:val="10"/>
          <w:sz w:val="28"/>
          <w:szCs w:val="28"/>
        </w:rPr>
        <w:t xml:space="preserve">3.享有最新优质项目推送权益； </w:t>
      </w:r>
    </w:p>
    <w:p>
      <w:pPr>
        <w:spacing w:line="440" w:lineRule="exact"/>
        <w:ind w:firstLine="600" w:firstLineChars="200"/>
        <w:jc w:val="left"/>
        <w:textAlignment w:val="baseline"/>
        <w:rPr>
          <w:rFonts w:ascii="仿宋" w:hAnsi="仿宋" w:eastAsia="仿宋" w:cs="仿宋"/>
          <w:sz w:val="28"/>
          <w:szCs w:val="28"/>
        </w:rPr>
      </w:pPr>
      <w:r>
        <w:rPr>
          <w:rFonts w:hint="eastAsia" w:ascii="仿宋" w:hAnsi="仿宋" w:eastAsia="仿宋" w:cs="仿宋"/>
          <w:color w:val="000000" w:themeColor="text1"/>
          <w:spacing w:val="10"/>
          <w:sz w:val="28"/>
          <w:szCs w:val="28"/>
          <w14:textFill>
            <w14:solidFill>
              <w14:schemeClr w14:val="tx1"/>
            </w14:solidFill>
          </w14:textFill>
        </w:rPr>
        <w:t>培训结束后，经考核合格，由我会颁发《安全总监》、《安全管理工程师》证书，证书申报需提供报名回执表、二寸白底免冠彩色照片（电子版）、身份证复印件、学历证书复印件各一份。</w:t>
      </w:r>
    </w:p>
    <w:p>
      <w:pPr>
        <w:spacing w:line="440" w:lineRule="exact"/>
        <w:ind w:right="-191" w:rightChars="-91" w:firstLine="280" w:firstLineChars="100"/>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六、报名办法</w:t>
      </w:r>
    </w:p>
    <w:p>
      <w:pPr>
        <w:pStyle w:val="2"/>
        <w:ind w:left="0" w:leftChars="0" w:firstLine="0" w:firstLineChars="0"/>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 xml:space="preserve">报名负责人：聂红军 主任18211071700（微信）   </w:t>
      </w:r>
    </w:p>
    <w:p>
      <w:pPr>
        <w:pStyle w:val="2"/>
        <w:ind w:left="0" w:leftChars="0" w:firstLine="0" w:firstLineChars="0"/>
        <w:rPr>
          <w:rFonts w:hint="eastAsia" w:ascii="仿宋" w:hAnsi="仿宋" w:eastAsia="仿宋" w:cs="仿宋"/>
          <w:color w:val="000000" w:themeColor="text1"/>
          <w:spacing w:val="10"/>
          <w:sz w:val="28"/>
          <w:szCs w:val="28"/>
          <w14:textFill>
            <w14:solidFill>
              <w14:schemeClr w14:val="tx1"/>
            </w14:solidFill>
          </w14:textFill>
        </w:rPr>
      </w:pPr>
      <w:r>
        <w:rPr>
          <w:rFonts w:hint="eastAsia" w:ascii="仿宋" w:hAnsi="仿宋" w:eastAsia="仿宋" w:cs="仿宋"/>
          <w:color w:val="000000" w:themeColor="text1"/>
          <w:spacing w:val="10"/>
          <w:sz w:val="28"/>
          <w:szCs w:val="28"/>
          <w14:textFill>
            <w14:solidFill>
              <w14:schemeClr w14:val="tx1"/>
            </w14:solidFill>
          </w14:textFill>
        </w:rPr>
        <w:t>电  话：010-87697580</w:t>
      </w:r>
      <w:r>
        <w:rPr>
          <w:rFonts w:hint="eastAsia" w:ascii="仿宋" w:hAnsi="仿宋" w:eastAsia="仿宋" w:cs="仿宋"/>
          <w:color w:val="000000" w:themeColor="text1"/>
          <w:spacing w:val="10"/>
          <w:sz w:val="28"/>
          <w:szCs w:val="28"/>
          <w:lang w:val="en-US" w:eastAsia="zh-CN"/>
          <w14:textFill>
            <w14:solidFill>
              <w14:schemeClr w14:val="tx1"/>
            </w14:solidFill>
          </w14:textFill>
        </w:rPr>
        <w:t xml:space="preserve">    </w:t>
      </w:r>
      <w:r>
        <w:rPr>
          <w:rFonts w:hint="eastAsia" w:ascii="仿宋" w:hAnsi="仿宋" w:eastAsia="仿宋" w:cs="仿宋"/>
          <w:color w:val="000000" w:themeColor="text1"/>
          <w:spacing w:val="10"/>
          <w:sz w:val="28"/>
          <w:szCs w:val="28"/>
          <w14:textFill>
            <w14:solidFill>
              <w14:schemeClr w14:val="tx1"/>
            </w14:solidFill>
          </w14:textFill>
        </w:rPr>
        <w:t xml:space="preserve">邮   箱：zqgphwz@126.com  </w:t>
      </w:r>
    </w:p>
    <w:p>
      <w:pPr>
        <w:pStyle w:val="2"/>
        <w:ind w:left="0" w:leftChars="0" w:firstLine="0" w:firstLineChars="0"/>
        <w:rPr>
          <w:rFonts w:hint="eastAsia"/>
        </w:rPr>
      </w:pPr>
      <w:r>
        <w:rPr>
          <w:rFonts w:hint="eastAsia" w:ascii="仿宋" w:hAnsi="仿宋" w:eastAsia="仿宋" w:cs="仿宋"/>
          <w:color w:val="000000" w:themeColor="text1"/>
          <w:spacing w:val="10"/>
          <w:sz w:val="28"/>
          <w:szCs w:val="28"/>
          <w14:textFill>
            <w14:solidFill>
              <w14:schemeClr w14:val="tx1"/>
            </w14:solidFill>
          </w14:textFill>
        </w:rPr>
        <w:t>qq咨询：31775240</w:t>
      </w:r>
      <w:r>
        <w:rPr>
          <w:rFonts w:hint="eastAsia" w:ascii="仿宋" w:hAnsi="仿宋" w:eastAsia="仿宋" w:cs="仿宋"/>
          <w:color w:val="000000" w:themeColor="text1"/>
          <w:spacing w:val="10"/>
          <w:sz w:val="28"/>
          <w:szCs w:val="28"/>
          <w:lang w:val="en-US" w:eastAsia="zh-CN"/>
          <w14:textFill>
            <w14:solidFill>
              <w14:schemeClr w14:val="tx1"/>
            </w14:solidFill>
          </w14:textFill>
        </w:rPr>
        <w:t xml:space="preserve">20  </w:t>
      </w:r>
      <w:r>
        <w:rPr>
          <w:rFonts w:hint="eastAsia" w:ascii="仿宋" w:hAnsi="仿宋" w:eastAsia="仿宋" w:cs="仿宋"/>
          <w:color w:val="000000" w:themeColor="text1"/>
          <w:spacing w:val="10"/>
          <w:sz w:val="28"/>
          <w:szCs w:val="28"/>
          <w14:textFill>
            <w14:solidFill>
              <w14:schemeClr w14:val="tx1"/>
            </w14:solidFill>
          </w14:textFill>
        </w:rPr>
        <w:t>网址查询：http://www.zqgpchina.cn/</w:t>
      </w:r>
    </w:p>
    <w:p>
      <w:pPr>
        <w:pStyle w:val="2"/>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3527425</wp:posOffset>
            </wp:positionH>
            <wp:positionV relativeFrom="paragraph">
              <wp:posOffset>112395</wp:posOffset>
            </wp:positionV>
            <wp:extent cx="1452245" cy="1442720"/>
            <wp:effectExtent l="0" t="0" r="635" b="1905"/>
            <wp:wrapNone/>
            <wp:docPr id="1"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国国际工程咨询协会（无背景）"/>
                    <pic:cNvPicPr>
                      <a:picLocks noChangeAspect="1"/>
                    </pic:cNvPicPr>
                  </pic:nvPicPr>
                  <pic:blipFill>
                    <a:blip r:embed="rId6">
                      <a:lum bright="21997"/>
                    </a:blip>
                    <a:stretch>
                      <a:fillRect/>
                    </a:stretch>
                  </pic:blipFill>
                  <pic:spPr>
                    <a:xfrm>
                      <a:off x="0" y="0"/>
                      <a:ext cx="1452245" cy="1442720"/>
                    </a:xfrm>
                    <a:prstGeom prst="rect">
                      <a:avLst/>
                    </a:prstGeom>
                    <a:noFill/>
                    <a:ln>
                      <a:noFill/>
                    </a:ln>
                  </pic:spPr>
                </pic:pic>
              </a:graphicData>
            </a:graphic>
          </wp:anchor>
        </w:drawing>
      </w:r>
    </w:p>
    <w:p>
      <w:pPr>
        <w:tabs>
          <w:tab w:val="left" w:pos="567"/>
          <w:tab w:val="left" w:pos="709"/>
        </w:tabs>
        <w:spacing w:line="320" w:lineRule="exact"/>
        <w:jc w:val="center"/>
        <w:textAlignment w:val="baseline"/>
        <w:outlineLvl w:val="0"/>
        <w:rPr>
          <w:rFonts w:ascii="仿宋" w:hAnsi="仿宋" w:eastAsia="仿宋" w:cs="仿宋_GB2312"/>
          <w:b/>
          <w:bCs/>
          <w:color w:val="000000" w:themeColor="text1"/>
          <w:sz w:val="32"/>
          <w:szCs w:val="32"/>
          <w14:textFill>
            <w14:solidFill>
              <w14:schemeClr w14:val="tx1"/>
            </w14:solidFill>
          </w14:textFill>
        </w:rPr>
      </w:pPr>
    </w:p>
    <w:p>
      <w:pPr>
        <w:tabs>
          <w:tab w:val="left" w:pos="567"/>
          <w:tab w:val="left" w:pos="709"/>
        </w:tabs>
        <w:spacing w:line="320" w:lineRule="exact"/>
        <w:jc w:val="center"/>
        <w:textAlignment w:val="baseline"/>
        <w:outlineLvl w:val="0"/>
        <w:rPr>
          <w:rFonts w:ascii="仿宋" w:hAnsi="仿宋" w:eastAsia="仿宋" w:cs="仿宋_GB2312"/>
          <w:b/>
          <w:bCs/>
          <w:color w:val="000000" w:themeColor="text1"/>
          <w:sz w:val="32"/>
          <w:szCs w:val="32"/>
          <w14:textFill>
            <w14:solidFill>
              <w14:schemeClr w14:val="tx1"/>
            </w14:solidFill>
          </w14:textFill>
        </w:rPr>
      </w:pPr>
    </w:p>
    <w:p>
      <w:pPr>
        <w:spacing w:line="440" w:lineRule="exact"/>
        <w:ind w:firstLine="5236" w:firstLineChars="1870"/>
        <w:textAlignment w:val="baseline"/>
        <w:outlineLvl w:val="0"/>
        <w:rPr>
          <w:rFonts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中国国际工程咨询协会</w:t>
      </w:r>
    </w:p>
    <w:p>
      <w:pPr>
        <w:spacing w:line="440" w:lineRule="exact"/>
        <w:ind w:firstLine="5600" w:firstLineChars="2000"/>
        <w:textAlignment w:val="baseline"/>
        <w:outlineLvl w:val="0"/>
        <w:rPr>
          <w:rFonts w:ascii="仿宋" w:hAnsi="仿宋" w:eastAsia="仿宋" w:cs="仿宋_GB2312"/>
          <w:bCs/>
          <w:color w:val="000000" w:themeColor="text1"/>
          <w:sz w:val="28"/>
          <w:szCs w:val="28"/>
          <w14:textFill>
            <w14:solidFill>
              <w14:schemeClr w14:val="tx1"/>
            </w14:solidFill>
          </w14:textFill>
        </w:rPr>
      </w:pPr>
      <w:r>
        <w:rPr>
          <w:rFonts w:hint="eastAsia" w:ascii="仿宋" w:hAnsi="仿宋" w:eastAsia="仿宋" w:cs="仿宋_GB2312"/>
          <w:bCs/>
          <w:color w:val="000000" w:themeColor="text1"/>
          <w:sz w:val="28"/>
          <w:szCs w:val="28"/>
          <w14:textFill>
            <w14:solidFill>
              <w14:schemeClr w14:val="tx1"/>
            </w14:solidFill>
          </w14:textFill>
        </w:rPr>
        <w:t>2022年1月12日</w:t>
      </w:r>
    </w:p>
    <w:p>
      <w:pPr>
        <w:tabs>
          <w:tab w:val="left" w:pos="567"/>
          <w:tab w:val="left" w:pos="709"/>
        </w:tabs>
        <w:spacing w:line="320" w:lineRule="exact"/>
        <w:jc w:val="center"/>
        <w:textAlignment w:val="baseline"/>
        <w:outlineLvl w:val="0"/>
        <w:rPr>
          <w:rFonts w:ascii="仿宋" w:hAnsi="仿宋" w:eastAsia="仿宋" w:cs="仿宋_GB2312"/>
          <w:b/>
          <w:bCs/>
          <w:color w:val="000000" w:themeColor="text1"/>
          <w:sz w:val="32"/>
          <w:szCs w:val="32"/>
          <w14:textFill>
            <w14:solidFill>
              <w14:schemeClr w14:val="tx1"/>
            </w14:solidFill>
          </w14:textFill>
        </w:rPr>
      </w:pPr>
      <w:r>
        <w:rPr>
          <w:rFonts w:ascii="仿宋" w:hAnsi="仿宋" w:eastAsia="仿宋" w:cs="仿宋_GB2312"/>
          <w:b/>
          <w:bCs/>
          <w:color w:val="000000" w:themeColor="text1"/>
          <w:sz w:val="32"/>
          <w:szCs w:val="32"/>
          <w14:textFill>
            <w14:solidFill>
              <w14:schemeClr w14:val="tx1"/>
            </w14:solidFill>
          </w14:textFill>
        </w:rPr>
        <w:br w:type="page"/>
      </w:r>
    </w:p>
    <w:p>
      <w:pPr>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新《安全生产法》视野下建设项目“危大”工程安全管理与施工企业安全生产刑事合规体系建设专题培训班报名回执表</w:t>
      </w:r>
    </w:p>
    <w:tbl>
      <w:tblPr>
        <w:tblStyle w:val="8"/>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2158"/>
        <w:gridCol w:w="274"/>
        <w:gridCol w:w="419"/>
        <w:gridCol w:w="6"/>
        <w:gridCol w:w="306"/>
        <w:gridCol w:w="545"/>
        <w:gridCol w:w="296"/>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998"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857"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304"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10"/>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2432"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职位/岗位</w:t>
            </w:r>
          </w:p>
        </w:tc>
        <w:tc>
          <w:tcPr>
            <w:tcW w:w="3580" w:type="dxa"/>
            <w:gridSpan w:val="6"/>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办公电话</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2432"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3580" w:type="dxa"/>
            <w:gridSpan w:val="6"/>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2432"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3580" w:type="dxa"/>
            <w:gridSpan w:val="6"/>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受训人员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2432"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572"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00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572"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00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572"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00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572"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00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432"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572"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00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是否住宿</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是□    否□</w:t>
            </w:r>
          </w:p>
        </w:tc>
        <w:tc>
          <w:tcPr>
            <w:tcW w:w="2432"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住宿标准</w:t>
            </w:r>
          </w:p>
        </w:tc>
        <w:tc>
          <w:tcPr>
            <w:tcW w:w="3580" w:type="dxa"/>
            <w:gridSpan w:val="6"/>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地点选择</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432"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证书申报</w:t>
            </w:r>
          </w:p>
        </w:tc>
        <w:tc>
          <w:tcPr>
            <w:tcW w:w="3580" w:type="dxa"/>
            <w:gridSpan w:val="6"/>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安全总监□ </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安全管理工程师□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标准选项</w:t>
            </w:r>
          </w:p>
        </w:tc>
        <w:tc>
          <w:tcPr>
            <w:tcW w:w="8159" w:type="dxa"/>
            <w:gridSpan w:val="10"/>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3600元/人□        5600元/人□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305" w:type="dxa"/>
            <w:gridSpan w:val="3"/>
            <w:vAlign w:val="center"/>
          </w:tcPr>
          <w:p>
            <w:pPr>
              <w:tabs>
                <w:tab w:val="left" w:pos="567"/>
                <w:tab w:val="left" w:pos="709"/>
              </w:tabs>
              <w:spacing w:line="300" w:lineRule="exact"/>
              <w:ind w:firstLine="480" w:firstLineChars="200"/>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现 金</w:t>
            </w:r>
            <w:r>
              <w:rPr>
                <w:rFonts w:hint="eastAsia" w:ascii="仿宋" w:hAnsi="仿宋" w:eastAsia="仿宋" w:cs="仿宋"/>
                <w:bCs/>
                <w:color w:val="000000" w:themeColor="text1"/>
                <w:sz w:val="24"/>
                <w14:textFill>
                  <w14:solidFill>
                    <w14:schemeClr w14:val="tx1"/>
                  </w14:solidFill>
                </w14:textFill>
              </w:rPr>
              <w:sym w:font="Wingdings 2" w:char="00A3"/>
            </w:r>
          </w:p>
        </w:tc>
        <w:tc>
          <w:tcPr>
            <w:tcW w:w="1005" w:type="dxa"/>
            <w:gridSpan w:val="4"/>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849" w:type="dxa"/>
            <w:gridSpan w:val="3"/>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汇款方式</w:t>
            </w:r>
          </w:p>
        </w:tc>
        <w:tc>
          <w:tcPr>
            <w:tcW w:w="8159" w:type="dxa"/>
            <w:gridSpan w:val="10"/>
          </w:tcPr>
          <w:p>
            <w:pPr>
              <w:spacing w:line="360" w:lineRule="exact"/>
              <w:ind w:right="-147" w:rightChars="-70"/>
              <w:rPr>
                <w:rFonts w:hint="eastAsia" w:ascii="仿宋" w:hAnsi="仿宋" w:eastAsia="仿宋" w:cs="仿宋"/>
                <w:b/>
                <w:bCs/>
                <w:sz w:val="24"/>
                <w:szCs w:val="24"/>
              </w:rPr>
            </w:pPr>
            <w:r>
              <w:rPr>
                <w:rFonts w:hint="eastAsia" w:ascii="仿宋" w:hAnsi="仿宋" w:eastAsia="仿宋" w:cs="仿宋"/>
                <w:b/>
                <w:bCs/>
                <w:sz w:val="24"/>
                <w:szCs w:val="24"/>
              </w:rPr>
              <w:t>单位全称: 北京众合启迪教育咨询有限公司</w:t>
            </w:r>
          </w:p>
          <w:p>
            <w:pPr>
              <w:spacing w:line="360" w:lineRule="exact"/>
              <w:ind w:right="-147" w:rightChars="-70"/>
              <w:rPr>
                <w:rFonts w:hint="eastAsia" w:ascii="仿宋" w:hAnsi="仿宋" w:eastAsia="仿宋" w:cs="仿宋"/>
                <w:b/>
                <w:bCs/>
                <w:sz w:val="24"/>
                <w:szCs w:val="24"/>
              </w:rPr>
            </w:pPr>
            <w:r>
              <w:rPr>
                <w:rFonts w:hint="eastAsia" w:ascii="仿宋" w:hAnsi="仿宋" w:eastAsia="仿宋" w:cs="仿宋"/>
                <w:b/>
                <w:bCs/>
                <w:sz w:val="24"/>
                <w:szCs w:val="24"/>
              </w:rPr>
              <w:t>开</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户</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行 </w:t>
            </w:r>
            <w:r>
              <w:rPr>
                <w:rFonts w:hint="eastAsia" w:ascii="仿宋" w:hAnsi="仿宋" w:eastAsia="仿宋" w:cs="仿宋"/>
                <w:b/>
                <w:bCs/>
                <w:sz w:val="24"/>
                <w:szCs w:val="24"/>
                <w:lang w:eastAsia="zh-CN"/>
              </w:rPr>
              <w:t>：</w:t>
            </w:r>
            <w:r>
              <w:rPr>
                <w:rFonts w:hint="eastAsia" w:ascii="仿宋" w:hAnsi="仿宋" w:eastAsia="仿宋" w:cs="仿宋"/>
                <w:b/>
                <w:bCs/>
                <w:sz w:val="24"/>
                <w:szCs w:val="24"/>
              </w:rPr>
              <w:t>中国工商银行股份有限公司北京公主坟支行</w:t>
            </w:r>
          </w:p>
          <w:p>
            <w:pPr>
              <w:spacing w:line="360" w:lineRule="exact"/>
              <w:ind w:right="-147" w:rightChars="-70"/>
              <w:rPr>
                <w:rFonts w:hint="eastAsia" w:ascii="仿宋" w:hAnsi="仿宋" w:eastAsia="仿宋" w:cs="仿宋"/>
                <w:b/>
                <w:bCs/>
                <w:sz w:val="24"/>
                <w:szCs w:val="24"/>
              </w:rPr>
            </w:pPr>
            <w:r>
              <w:rPr>
                <w:rFonts w:hint="eastAsia" w:ascii="仿宋" w:hAnsi="仿宋" w:eastAsia="仿宋" w:cs="仿宋"/>
                <w:b/>
                <w:bCs/>
                <w:sz w:val="24"/>
                <w:szCs w:val="24"/>
              </w:rPr>
              <w:t>帐</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号： 0200004609200623881</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
                <w:bCs/>
                <w:sz w:val="24"/>
                <w:szCs w:val="24"/>
              </w:rPr>
              <w:t>联</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行</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号: 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发票类别</w:t>
            </w:r>
          </w:p>
        </w:tc>
        <w:tc>
          <w:tcPr>
            <w:tcW w:w="8159" w:type="dxa"/>
            <w:gridSpan w:val="10"/>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增值税（□普通□专用）发票,开票信息如下：</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 位 名 称：</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税       号：</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地址、 电话：</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5004" w:type="dxa"/>
            <w:gridSpan w:val="6"/>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sz w:val="24"/>
              </w:rPr>
              <w:tab/>
            </w:r>
            <w:r>
              <w:rPr>
                <w:rFonts w:hint="eastAsia" w:ascii="仿宋" w:hAnsi="仿宋" w:eastAsia="仿宋" w:cs="仿宋"/>
                <w:sz w:val="24"/>
              </w:rPr>
              <w:t>请将本回执回传至会务组，3日内将培训费通过银行或邮局等方式付款，会务组确认后即发《报到通知》，详细注明报到时间、地点等具体安排。各参会代表凭证入场。</w:t>
            </w:r>
          </w:p>
        </w:tc>
        <w:tc>
          <w:tcPr>
            <w:tcW w:w="3155" w:type="dxa"/>
            <w:gridSpan w:val="4"/>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2022年  月  日</w:t>
            </w:r>
          </w:p>
        </w:tc>
      </w:tr>
    </w:tbl>
    <w:p>
      <w:pPr>
        <w:spacing w:line="300" w:lineRule="exact"/>
        <w:rPr>
          <w:rFonts w:hint="eastAsia" w:ascii="仿宋" w:hAnsi="仿宋" w:eastAsia="仿宋" w:cs="仿宋"/>
          <w:sz w:val="24"/>
        </w:rPr>
      </w:pPr>
      <w:r>
        <w:rPr>
          <w:rFonts w:hint="eastAsia" w:ascii="仿宋" w:hAnsi="仿宋" w:eastAsia="仿宋" w:cs="仿宋"/>
          <w:sz w:val="24"/>
        </w:rPr>
        <w:t xml:space="preserve">报名负责人：聂红军 主任18211071700（微信）   </w:t>
      </w:r>
    </w:p>
    <w:p>
      <w:pPr>
        <w:spacing w:line="300" w:lineRule="exact"/>
        <w:rPr>
          <w:rFonts w:hint="eastAsia" w:ascii="仿宋" w:hAnsi="仿宋" w:eastAsia="仿宋" w:cs="仿宋"/>
          <w:sz w:val="24"/>
        </w:rPr>
      </w:pPr>
      <w:r>
        <w:rPr>
          <w:rFonts w:hint="eastAsia" w:ascii="仿宋" w:hAnsi="仿宋" w:eastAsia="仿宋" w:cs="仿宋"/>
          <w:sz w:val="24"/>
        </w:rPr>
        <w:t xml:space="preserve">电  话：010-87697580      邮    箱：zqgphwz@126.com  </w:t>
      </w:r>
    </w:p>
    <w:p>
      <w:pPr>
        <w:spacing w:line="300" w:lineRule="exact"/>
        <w:rPr>
          <w:rFonts w:ascii="仿宋" w:hAnsi="仿宋" w:eastAsia="仿宋" w:cs="仿宋_GB2312"/>
          <w:bCs/>
          <w:color w:val="000000" w:themeColor="text1"/>
          <w:szCs w:val="21"/>
          <w14:textFill>
            <w14:solidFill>
              <w14:schemeClr w14:val="tx1"/>
            </w14:solidFill>
          </w14:textFill>
        </w:rPr>
      </w:pPr>
      <w:r>
        <w:rPr>
          <w:rFonts w:hint="eastAsia" w:ascii="仿宋" w:hAnsi="仿宋" w:eastAsia="仿宋" w:cs="仿宋"/>
          <w:sz w:val="24"/>
        </w:rPr>
        <w:t xml:space="preserve">qq咨询：3177524020        网址查询：http://www.zqgpchina.cn/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asciiTheme="minorEastAsia" w:hAnsiTheme="minorEastAsia"/>
            <w:sz w:val="28"/>
            <w:szCs w:val="28"/>
          </w:rPr>
          <w:t>-</w:t>
        </w:r>
      </w:sdtContent>
    </w:sdt>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560" w:firstLine="280" w:firstLineChars="100"/>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1098678336"/>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asciiTheme="minorEastAsia" w:hAnsiTheme="minorEastAsia"/>
            <w:sz w:val="28"/>
            <w:szCs w:val="28"/>
          </w:rPr>
          <w:t>-</w:t>
        </w:r>
      </w:sdtContent>
    </w:sdt>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47"/>
    <w:rsid w:val="00010F3F"/>
    <w:rsid w:val="000429A6"/>
    <w:rsid w:val="000635BD"/>
    <w:rsid w:val="00065752"/>
    <w:rsid w:val="00066FC8"/>
    <w:rsid w:val="0006701D"/>
    <w:rsid w:val="00086FD1"/>
    <w:rsid w:val="000D623B"/>
    <w:rsid w:val="00101876"/>
    <w:rsid w:val="00113415"/>
    <w:rsid w:val="00252A19"/>
    <w:rsid w:val="00262547"/>
    <w:rsid w:val="00277DD1"/>
    <w:rsid w:val="002F0B09"/>
    <w:rsid w:val="002F6C5F"/>
    <w:rsid w:val="003A6EAE"/>
    <w:rsid w:val="00407F16"/>
    <w:rsid w:val="0041689D"/>
    <w:rsid w:val="00442A90"/>
    <w:rsid w:val="004B3B4B"/>
    <w:rsid w:val="004E5835"/>
    <w:rsid w:val="00503116"/>
    <w:rsid w:val="00625061"/>
    <w:rsid w:val="00734CF6"/>
    <w:rsid w:val="00785814"/>
    <w:rsid w:val="007921F3"/>
    <w:rsid w:val="007A06B4"/>
    <w:rsid w:val="007E5692"/>
    <w:rsid w:val="00861FC2"/>
    <w:rsid w:val="008752EC"/>
    <w:rsid w:val="009E2C08"/>
    <w:rsid w:val="00A07D70"/>
    <w:rsid w:val="00A53612"/>
    <w:rsid w:val="00B55B6B"/>
    <w:rsid w:val="00B66847"/>
    <w:rsid w:val="00B97CF5"/>
    <w:rsid w:val="00BD5B5C"/>
    <w:rsid w:val="00BE182B"/>
    <w:rsid w:val="00C32D98"/>
    <w:rsid w:val="00C57CC7"/>
    <w:rsid w:val="00C82A2D"/>
    <w:rsid w:val="00CB2F51"/>
    <w:rsid w:val="00CC29D9"/>
    <w:rsid w:val="00D35C76"/>
    <w:rsid w:val="00D36F84"/>
    <w:rsid w:val="00D870D9"/>
    <w:rsid w:val="00DA7144"/>
    <w:rsid w:val="00DE1821"/>
    <w:rsid w:val="00E14F97"/>
    <w:rsid w:val="00E23DA6"/>
    <w:rsid w:val="00EC7C83"/>
    <w:rsid w:val="00F20FDA"/>
    <w:rsid w:val="00F820DE"/>
    <w:rsid w:val="00F93EFC"/>
    <w:rsid w:val="012B06D6"/>
    <w:rsid w:val="013535CC"/>
    <w:rsid w:val="019422A6"/>
    <w:rsid w:val="01AD00E1"/>
    <w:rsid w:val="02CD1F13"/>
    <w:rsid w:val="03D72B66"/>
    <w:rsid w:val="050E4ABB"/>
    <w:rsid w:val="057164AD"/>
    <w:rsid w:val="0892512C"/>
    <w:rsid w:val="0A0E7DAB"/>
    <w:rsid w:val="0A8D4924"/>
    <w:rsid w:val="0A971D96"/>
    <w:rsid w:val="0B30198C"/>
    <w:rsid w:val="0FF82F77"/>
    <w:rsid w:val="1149633E"/>
    <w:rsid w:val="14AE254B"/>
    <w:rsid w:val="173533D7"/>
    <w:rsid w:val="1B3B1381"/>
    <w:rsid w:val="1B831671"/>
    <w:rsid w:val="21B504E3"/>
    <w:rsid w:val="24DD06F4"/>
    <w:rsid w:val="25D7235A"/>
    <w:rsid w:val="26FC0EF3"/>
    <w:rsid w:val="273603F0"/>
    <w:rsid w:val="27F96D69"/>
    <w:rsid w:val="281612B4"/>
    <w:rsid w:val="28C0433A"/>
    <w:rsid w:val="29BD7D3C"/>
    <w:rsid w:val="2A5634F0"/>
    <w:rsid w:val="2C774852"/>
    <w:rsid w:val="2D07650E"/>
    <w:rsid w:val="2DB846D2"/>
    <w:rsid w:val="2F6C2DF5"/>
    <w:rsid w:val="30C8715C"/>
    <w:rsid w:val="32127C66"/>
    <w:rsid w:val="323A6E80"/>
    <w:rsid w:val="357B0FAE"/>
    <w:rsid w:val="362A62DC"/>
    <w:rsid w:val="37610C7D"/>
    <w:rsid w:val="3A2B124D"/>
    <w:rsid w:val="3D0259F4"/>
    <w:rsid w:val="3D2A7B71"/>
    <w:rsid w:val="3F8C3E3C"/>
    <w:rsid w:val="4022204B"/>
    <w:rsid w:val="40610CEC"/>
    <w:rsid w:val="407A568E"/>
    <w:rsid w:val="460D2589"/>
    <w:rsid w:val="47415467"/>
    <w:rsid w:val="48F34974"/>
    <w:rsid w:val="4A3D4759"/>
    <w:rsid w:val="4B8359A5"/>
    <w:rsid w:val="4BB442F6"/>
    <w:rsid w:val="4BE0656F"/>
    <w:rsid w:val="4C292F2D"/>
    <w:rsid w:val="4CCE693E"/>
    <w:rsid w:val="4E4B67E5"/>
    <w:rsid w:val="50957218"/>
    <w:rsid w:val="5236594B"/>
    <w:rsid w:val="527F2630"/>
    <w:rsid w:val="53B15383"/>
    <w:rsid w:val="5453405A"/>
    <w:rsid w:val="54683335"/>
    <w:rsid w:val="573916AA"/>
    <w:rsid w:val="5ABD3692"/>
    <w:rsid w:val="5BB741DE"/>
    <w:rsid w:val="5BBE4EA0"/>
    <w:rsid w:val="5BDF1AF2"/>
    <w:rsid w:val="5C3816D7"/>
    <w:rsid w:val="5D461B3E"/>
    <w:rsid w:val="5DD65D5C"/>
    <w:rsid w:val="5FB47DE5"/>
    <w:rsid w:val="638A686D"/>
    <w:rsid w:val="648D71A0"/>
    <w:rsid w:val="64A3015A"/>
    <w:rsid w:val="68DB306A"/>
    <w:rsid w:val="699279AE"/>
    <w:rsid w:val="6F1719CF"/>
    <w:rsid w:val="7102558A"/>
    <w:rsid w:val="71DC0216"/>
    <w:rsid w:val="76942748"/>
    <w:rsid w:val="76C03B43"/>
    <w:rsid w:val="76DF6BA1"/>
    <w:rsid w:val="76E77C76"/>
    <w:rsid w:val="78382598"/>
    <w:rsid w:val="78CC06D3"/>
    <w:rsid w:val="79BA116F"/>
    <w:rsid w:val="79C42C93"/>
    <w:rsid w:val="7B48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4"/>
      <w:lang w:val="en-US" w:eastAsia="zh-CN" w:bidi="ar-SA"/>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cs="Times New Roman"/>
      <w:kern w:val="0"/>
      <w:sz w:val="24"/>
    </w:rPr>
  </w:style>
  <w:style w:type="character" w:styleId="10">
    <w:name w:val="Strong"/>
    <w:basedOn w:val="9"/>
    <w:qFormat/>
    <w:uiPriority w:val="22"/>
    <w:rPr>
      <w:rFonts w:cs="Times New Roman"/>
      <w:b/>
      <w:bCs/>
    </w:rPr>
  </w:style>
  <w:style w:type="character" w:styleId="11">
    <w:name w:val="Emphasis"/>
    <w:basedOn w:val="9"/>
    <w:qFormat/>
    <w:uiPriority w:val="20"/>
    <w:rPr>
      <w:i/>
      <w:iCs/>
    </w:rPr>
  </w:style>
  <w:style w:type="character" w:styleId="12">
    <w:name w:val="Hyperlink"/>
    <w:basedOn w:val="9"/>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页眉 Char"/>
    <w:basedOn w:val="9"/>
    <w:link w:val="6"/>
    <w:qFormat/>
    <w:uiPriority w:val="0"/>
    <w:rPr>
      <w:rFonts w:cs="宋体"/>
      <w:kern w:val="2"/>
      <w:sz w:val="18"/>
      <w:szCs w:val="18"/>
    </w:rPr>
  </w:style>
  <w:style w:type="character" w:customStyle="1" w:styleId="15">
    <w:name w:val="页脚 Char"/>
    <w:basedOn w:val="9"/>
    <w:link w:val="5"/>
    <w:qFormat/>
    <w:uiPriority w:val="99"/>
    <w:rPr>
      <w:rFonts w:cs="宋体"/>
      <w:kern w:val="2"/>
      <w:sz w:val="18"/>
      <w:szCs w:val="18"/>
    </w:rPr>
  </w:style>
  <w:style w:type="paragraph" w:customStyle="1" w:styleId="16">
    <w:name w:val="Table Paragraph"/>
    <w:basedOn w:val="1"/>
    <w:qFormat/>
    <w:uiPriority w:val="1"/>
    <w:pPr>
      <w:spacing w:line="300" w:lineRule="exact"/>
      <w:ind w:left="1307"/>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57324-AC3B-42F6-ACE8-5A4C7305EFAC}">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503</Words>
  <Characters>2868</Characters>
  <Lines>23</Lines>
  <Paragraphs>6</Paragraphs>
  <TotalTime>4</TotalTime>
  <ScaleCrop>false</ScaleCrop>
  <LinksUpToDate>false</LinksUpToDate>
  <CharactersWithSpaces>3365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2020-12-26T01:41:00Z</dcterms:created>
  <dc:creator>Administrator</dc:creator>
  <cp:lastModifiedBy>Administrator</cp:lastModifiedBy>
  <dcterms:modified xsi:type="dcterms:W3CDTF">2022-02-07T02:30:36Z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3232FE56BD86478AB3829D3CDC681734</vt:lpwstr>
  </property>
</Properties>
</file>