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ascii="宋体" w:hAnsi="宋体" w:eastAsia="宋体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-312420</wp:posOffset>
                </wp:positionV>
                <wp:extent cx="7292340" cy="3398520"/>
                <wp:effectExtent l="19050" t="0" r="41910" b="30480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33985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eastAsia="DengXi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“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微观点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基建投资高专一期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“正式开课</w:t>
                            </w:r>
                          </w:p>
                          <w:p>
                            <w:pPr>
                              <w:pStyle w:val="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~~~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财务分析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、财务后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评价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公益版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基建项目合同~~~</w:t>
                            </w:r>
                          </w:p>
                          <w:p>
                            <w:pPr>
                              <w:pStyle w:val="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1.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风控在家别躺平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，学习高专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向前行</w:t>
                            </w:r>
                          </w:p>
                          <w:p>
                            <w:pPr>
                              <w:pStyle w:val="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基建投资想赚钱，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财务金流要辨别</w:t>
                            </w: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3.项目不做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后评价，投资赔钱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别回家</w:t>
                            </w:r>
                          </w:p>
                          <w:p>
                            <w:pPr>
                              <w:pStyle w:val="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4.拒绝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一个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拼凑而凌乱的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项目合同</w:t>
                            </w:r>
                          </w:p>
                          <w:p>
                            <w:pPr>
                              <w:pStyle w:val="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5.赠送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两套模型、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8500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字公益版项目合同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600页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PPT</w:t>
                            </w:r>
                          </w:p>
                          <w:p>
                            <w:pPr>
                              <w:pStyle w:val="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6.一天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分持续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天，只要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朵形 2" o:spid="_x0000_s1026" style="position:absolute;left:0pt;margin-left:-21.6pt;margin-top:-24.6pt;height:267.6pt;width:574.2pt;z-index:251659264;v-text-anchor:middle;mso-width-relative:page;mso-height-relative:page;" fillcolor="#4472C4 [3208]" filled="t" stroked="t" coordsize="43200,43200" o:gfxdata="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Lq&#10;yD3ZAAAADAEAAA8AAAAAAAAAAQAgAAAAIgAAAGRycy9kb3ducmV2LnhtbFBLAQIUABQAAAAIAIdO&#10;4kBwdJsMlAIAACUFAAAOAAAAAAAAAAEAIAAAACgBAABkcnMvZTJvRG9jLnhtbFBLBQYAAAAABgAG&#10;AFkBAAAuBgAAAAA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nfe">
                <v:path textboxrect="0,0,43200,43200" o:connectlocs="7286263,1699260;3646170,3394901;22619,1699260;3646170,194313" o:connectangles="0,82,164,247"/>
                <v:fill on="t" focussize="0,0"/>
                <v:stroke weight="1pt" color="#2F528F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DengXi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“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微观点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基建投资高专一期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“正式开课</w:t>
                      </w:r>
                    </w:p>
                    <w:p>
                      <w:pPr>
                        <w:pStyle w:val="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~~~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财务分析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、财务后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评价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公益版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基建项目合同~~~</w:t>
                      </w:r>
                    </w:p>
                    <w:p>
                      <w:pPr>
                        <w:pStyle w:val="3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1.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风控在家别躺平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，学习高专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向前行</w:t>
                      </w:r>
                    </w:p>
                    <w:p>
                      <w:pPr>
                        <w:pStyle w:val="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基建投资想赚钱，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财务金流要辨别</w:t>
                      </w: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3.项目不做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后评价，投资赔钱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别回家</w:t>
                      </w:r>
                    </w:p>
                    <w:p>
                      <w:pPr>
                        <w:pStyle w:val="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4.拒绝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一个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拼凑而凌乱的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项目合同</w:t>
                      </w:r>
                    </w:p>
                    <w:p>
                      <w:pPr>
                        <w:pStyle w:val="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5.赠送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两套模型、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8500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字公益版项目合同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600页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PPT</w:t>
                      </w:r>
                    </w:p>
                    <w:p>
                      <w:pPr>
                        <w:pStyle w:val="3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6.一天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分持续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天，只要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2000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40"/>
          <w:szCs w:val="40"/>
        </w:rPr>
      </w:pPr>
      <w:r>
        <w:rPr>
          <w:rFonts w:hint="eastAsia" w:ascii="宋体" w:hAnsi="宋体" w:eastAsia="宋体"/>
          <w:b/>
          <w:bCs/>
          <w:sz w:val="40"/>
          <w:szCs w:val="40"/>
        </w:rPr>
        <w:t>微观点基建项目投资高级专业人员线上培训课程</w:t>
      </w:r>
    </w:p>
    <w:p>
      <w:pPr>
        <w:spacing w:line="240" w:lineRule="auto"/>
        <w:ind w:firstLine="48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~~~基建财务后评价与财务分析(初级、中级、高级全系列)线上直播课程~~~</w:t>
      </w:r>
    </w:p>
    <w:p>
      <w:pPr>
        <w:spacing w:line="240" w:lineRule="auto"/>
        <w:ind w:firstLine="48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~~~如何使用公益版基建项目合同线上直播课程~~~</w:t>
      </w:r>
    </w:p>
    <w:p>
      <w:pPr>
        <w:spacing w:line="240" w:lineRule="auto"/>
        <w:ind w:firstLine="480"/>
        <w:jc w:val="center"/>
        <w:rPr>
          <w:rFonts w:ascii="宋体" w:hAnsi="宋体" w:eastAsia="宋体"/>
          <w:sz w:val="24"/>
          <w:szCs w:val="24"/>
        </w:rPr>
      </w:pPr>
    </w:p>
    <w:p>
      <w:pPr>
        <w:pStyle w:val="2"/>
        <w:ind w:left="851" w:hanging="491"/>
      </w:pPr>
      <w:r>
        <w:rPr>
          <w:rFonts w:hint="eastAsia"/>
        </w:rPr>
        <w:t>课程特色：</w:t>
      </w:r>
    </w:p>
    <w:p>
      <w:pPr>
        <w:ind w:firstLine="440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</w:rPr>
        <w:t>（一）1天9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分持续1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天，彻底掌握基建投资高专职业技能</w:t>
      </w:r>
      <w:r>
        <w:rPr>
          <w:rFonts w:hint="eastAsia" w:ascii="宋体" w:hAnsi="宋体" w:eastAsia="宋体"/>
          <w:b/>
          <w:bCs/>
        </w:rPr>
        <w:t>(封控在家别躺平，学习高专向前行)</w:t>
      </w:r>
    </w:p>
    <w:p>
      <w:pPr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（二）基建财务分析初级、中级、高级全系列课程，手把手搭建基建财务模型</w:t>
      </w:r>
      <w:r>
        <w:rPr>
          <w:rFonts w:hint="eastAsia" w:ascii="宋体" w:hAnsi="宋体" w:eastAsia="宋体"/>
          <w:b/>
          <w:bCs/>
        </w:rPr>
        <w:t>(基建投资想赚钱，财务金流要辨别)</w:t>
      </w:r>
    </w:p>
    <w:p>
      <w:pPr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（三）业界唯一基建财务后评价系列课程，完全掌握投标条件变化背后的真正原因</w:t>
      </w:r>
      <w:r>
        <w:rPr>
          <w:rFonts w:hint="eastAsia" w:ascii="宋体" w:hAnsi="宋体" w:eastAsia="宋体"/>
          <w:b/>
          <w:bCs/>
        </w:rPr>
        <w:t>(项目不做后评价，投资赔钱别回家)</w:t>
      </w:r>
    </w:p>
    <w:p>
      <w:pPr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（四）项目合同如何与财务分析接轨，掌握公益版典型合同的体系架构与核心条款，学习将典型合同系统调整为其他类型的基建项目合同</w:t>
      </w:r>
      <w:r>
        <w:rPr>
          <w:rFonts w:hint="eastAsia" w:ascii="宋体" w:hAnsi="宋体" w:eastAsia="宋体"/>
          <w:b/>
          <w:bCs/>
        </w:rPr>
        <w:t>(拒绝拼凑而凌乱的项目合同)</w:t>
      </w:r>
    </w:p>
    <w:p>
      <w:pPr>
        <w:ind w:firstLine="440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</w:rPr>
        <w:t>（五）财务分析以及财务后评价两套专业财务模型，多达</w:t>
      </w:r>
      <w:r>
        <w:rPr>
          <w:rFonts w:ascii="宋体" w:hAnsi="宋体" w:eastAsia="宋体"/>
        </w:rPr>
        <w:t>85000</w:t>
      </w:r>
      <w:r>
        <w:rPr>
          <w:rFonts w:hint="eastAsia" w:ascii="宋体" w:hAnsi="宋体" w:eastAsia="宋体"/>
        </w:rPr>
        <w:t>字公益版项目合同文本，以及多达6</w:t>
      </w:r>
      <w:r>
        <w:rPr>
          <w:rFonts w:hint="eastAsia" w:ascii="宋体" w:hAnsi="宋体"/>
        </w:rPr>
        <w:t>0</w:t>
      </w:r>
      <w:r>
        <w:rPr>
          <w:rFonts w:ascii="宋体" w:hAnsi="宋体"/>
        </w:rPr>
        <w:t>0</w:t>
      </w:r>
      <w:r>
        <w:rPr>
          <w:rFonts w:hint="eastAsia" w:ascii="宋体" w:hAnsi="宋体" w:eastAsia="宋体"/>
        </w:rPr>
        <w:t>页的课程PPT电子版随课程免费送给您</w:t>
      </w:r>
      <w:r>
        <w:rPr>
          <w:rFonts w:hint="eastAsia" w:ascii="宋体" w:hAnsi="宋体" w:eastAsia="宋体"/>
          <w:b/>
          <w:bCs/>
        </w:rPr>
        <w:t>(绝非凡间俗物，拿好收藏不谢)</w:t>
      </w:r>
    </w:p>
    <w:p>
      <w:pPr>
        <w:ind w:firstLine="440" w:firstLineChars="200"/>
        <w:rPr>
          <w:rFonts w:ascii="宋体" w:hAnsi="宋体" w:eastAsia="宋体"/>
        </w:rPr>
      </w:pPr>
    </w:p>
    <w:p>
      <w:pPr>
        <w:pStyle w:val="2"/>
        <w:ind w:left="851" w:hanging="491"/>
      </w:pPr>
      <w:r>
        <w:rPr>
          <w:rFonts w:hint="eastAsia"/>
        </w:rPr>
        <w:t>课程说明：</w:t>
      </w:r>
    </w:p>
    <w:p>
      <w:pPr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爱情需要缘分，学习需要机缘，要不是上海奥密克戎的到来，想排除杂事学习基建投资高专职业技能，想邀请老师百忙之中抽空讲课15天，手把手的教你建模，阅读合同中的经典字句，让你1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天真正拥有一个顶尖专家的时间，几乎成为不可能的事。请回想一下你的人生，是不是曾经感叹因为年轻，而错过了许多事情，现在机缘来了，这唯一的1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天，稍纵即逝的1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天，如果你没把握，如果你错过了，可以跟你保证，老师已经不是你的老师，而钱也不是现在的钱。</w:t>
      </w:r>
    </w:p>
    <w:p>
      <w:pPr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请问你家的项目是不是这样？一个三、五十亿的项目，甚至上百亿的项目，财务模型也就简单三、五页的EXCEL工作页面，财务模型的建模人员也就是刚进公司的年经小伙，没人复核模型，主管不看模型，公司投委会成员更不懂模型，公司董事会看财务指标时，对于指标的理解还是错误的，你说这项目会不会出事，基建投资不会财务分析，犹如瞎子开车极度危险。学习财务分析有那么困难吗？与其封控在家全天上网追剧打游戏，不如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天</w:t>
      </w:r>
      <w:r>
        <w:rPr>
          <w:rFonts w:ascii="宋体" w:hAnsi="宋体" w:eastAsia="宋体"/>
        </w:rPr>
        <w:t>90</w:t>
      </w:r>
      <w:r>
        <w:rPr>
          <w:rFonts w:hint="eastAsia" w:ascii="宋体" w:hAnsi="宋体" w:eastAsia="宋体"/>
        </w:rPr>
        <w:t>分持续</w:t>
      </w:r>
      <w:r>
        <w:rPr>
          <w:rFonts w:ascii="宋体" w:hAnsi="宋体" w:eastAsia="宋体"/>
        </w:rPr>
        <w:t>15</w:t>
      </w:r>
      <w:r>
        <w:rPr>
          <w:rFonts w:hint="eastAsia" w:ascii="宋体" w:hAnsi="宋体" w:eastAsia="宋体"/>
        </w:rPr>
        <w:t>天，你就能掌握一项避免项目烂尾的技能，大家还会心怀感激的谢谢你。</w:t>
      </w:r>
    </w:p>
    <w:p>
      <w:pPr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不知道你有没有过这样的经验，婚前的他(她)英俊美丽清新脱俗，婚后的他蓬头垢面庸俗不堪，当然这也不怪他，因为生活中柴米油盐的琐事，早把他折磨的不成人形。基建项目投资也是一样，投标时投资人所编织的美好梦想，设定的理想边界，随着项目进入履约阶段，贷款条件不如预期、建设补贴没有到位，这一切一切和当初的预想都不相同。看得到的原因还好，还有些原因是看不到的，如果你不做财务后评价可能还找不到的原因，所以财务后评价就是从一些项目细微的变化，找出现实财务评价不如预期的原因，并且进一步采取措施，纠正项目的偏差。这里有个小秘密要告诉你，这个课程是老师的独门暗器，是业界独有的课程，是一个绝对值得的课程。</w:t>
      </w:r>
    </w:p>
    <w:p>
      <w:pPr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各位在买衣服的时后，销售员是不是常说这件衣服是基本款，上班休闲怎麽搭配都很合适。其实项目合同也需要一个基本款，在这个基本款的基础上根据不同的项目条件，再进行调整。而公益版项目合同就是以典型项目合同为目的，由余老师团队所编写的一个基本款合同文本，而且还是一个开放版权不向使用者收费的合同。有这么好的合同，要免费送给你，你要不要学习一下如何使用？</w:t>
      </w:r>
    </w:p>
    <w:p>
      <w:pPr>
        <w:jc w:val="both"/>
        <w:rPr>
          <w:rFonts w:ascii="宋体" w:hAnsi="宋体" w:eastAsia="宋体"/>
        </w:rPr>
      </w:pPr>
    </w:p>
    <w:p>
      <w:pPr>
        <w:pStyle w:val="2"/>
        <w:ind w:left="851" w:hanging="491"/>
      </w:pPr>
      <w:r>
        <w:rPr>
          <w:rFonts w:hint="eastAsia"/>
        </w:rPr>
        <w:t>课程规划：</w:t>
      </w:r>
    </w:p>
    <w:p>
      <w:pPr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*上课时间：晚上</w:t>
      </w:r>
      <w:r>
        <w:rPr>
          <w:rFonts w:ascii="宋体" w:hAnsi="宋体" w:eastAsia="宋体"/>
        </w:rPr>
        <w:t>19:00</w:t>
      </w:r>
      <w:r>
        <w:rPr>
          <w:rFonts w:hint="eastAsia" w:ascii="宋体" w:hAnsi="宋体" w:eastAsia="宋体"/>
        </w:rPr>
        <w:t>准时开课，每天课时约1</w:t>
      </w:r>
      <w:r>
        <w:rPr>
          <w:rFonts w:ascii="宋体" w:hAnsi="宋体" w:eastAsia="宋体"/>
        </w:rPr>
        <w:t>.5hr~2hr</w:t>
      </w:r>
      <w:r>
        <w:rPr>
          <w:rFonts w:hint="eastAsia" w:ascii="宋体" w:hAnsi="宋体" w:eastAsia="宋体"/>
        </w:rPr>
        <w:t>，上课期间：</w:t>
      </w:r>
      <w:r>
        <w:rPr>
          <w:rFonts w:ascii="宋体" w:hAnsi="宋体" w:eastAsia="宋体"/>
        </w:rPr>
        <w:t>2022.4</w: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</w:rPr>
        <w:t>16~2022.5.3(</w:t>
      </w: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/18</w:t>
      </w:r>
      <w:r>
        <w:rPr>
          <w:rFonts w:hint="eastAsia" w:ascii="宋体" w:hAnsi="宋体" w:eastAsia="宋体"/>
        </w:rPr>
        <w:t>、4</w:t>
      </w:r>
      <w:r>
        <w:rPr>
          <w:rFonts w:ascii="宋体" w:hAnsi="宋体" w:eastAsia="宋体"/>
        </w:rPr>
        <w:t>/24</w:t>
      </w:r>
      <w:r>
        <w:rPr>
          <w:rFonts w:hint="eastAsia" w:ascii="宋体" w:hAnsi="宋体" w:eastAsia="宋体"/>
        </w:rPr>
        <w:t>、5</w:t>
      </w:r>
      <w:r>
        <w:rPr>
          <w:rFonts w:ascii="宋体" w:hAnsi="宋体" w:eastAsia="宋体"/>
        </w:rPr>
        <w:t>/1</w:t>
      </w:r>
      <w:r>
        <w:rPr>
          <w:rFonts w:hint="eastAsia" w:ascii="宋体" w:hAnsi="宋体" w:eastAsia="宋体"/>
        </w:rPr>
        <w:t>三天休息)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35"/>
        <w:gridCol w:w="6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eastAsia="zh-TW"/>
              </w:rPr>
              <w:t>天数</w:t>
            </w:r>
          </w:p>
        </w:tc>
        <w:tc>
          <w:tcPr>
            <w:tcW w:w="283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eastAsia="zh-TW"/>
              </w:rPr>
              <w:t>系列</w:t>
            </w:r>
          </w:p>
        </w:tc>
        <w:tc>
          <w:tcPr>
            <w:tcW w:w="682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lang w:eastAsia="zh-TW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第一天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4/16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财务分析初级课程-</w:t>
            </w:r>
            <w:r>
              <w:rPr>
                <w:rFonts w:ascii="宋体" w:hAnsi="宋体" w:eastAsia="宋体"/>
                <w:sz w:val="20"/>
                <w:szCs w:val="20"/>
              </w:rPr>
              <w:t>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基建财务分析决策与建模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CH1  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模式财务分析概述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1.1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单纯使用公式法的十大问题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1.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基础数据与财务模型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1.3 PPP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项目现金流分析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CH2  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模式边界条件的设定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2.1 PPP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项目的付费类型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2.2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付费控制与竞价参数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2.3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如何设定</w:t>
            </w:r>
            <w:r>
              <w:rPr>
                <w:rFonts w:ascii="宋体" w:hAnsi="宋体" w:eastAsia="宋体"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项目财务边界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2.4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财务边界的设定</w:t>
            </w:r>
            <w:r>
              <w:rPr>
                <w:rFonts w:ascii="宋体" w:hAnsi="宋体" w:eastAsia="宋体"/>
                <w:sz w:val="20"/>
                <w:szCs w:val="20"/>
              </w:rPr>
              <w:t>---F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市某</w:t>
            </w:r>
            <w:r>
              <w:rPr>
                <w:rFonts w:ascii="宋体" w:hAnsi="宋体" w:eastAsia="宋体"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项目为例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CH3  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模式财务分析总表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3.1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竞价参数选定与财务分析任务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3.2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从各方立场判读财务获利能力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3.2.1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获利区块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3.2.2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内部收益率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3.2.3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施工差价与利润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3.2.4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融资差价与利率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3.3 F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市项目抛弃与不抛弃分红财务模型的操作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第二天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/17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财务分析初级课程</w:t>
            </w:r>
            <w:r>
              <w:rPr>
                <w:rFonts w:ascii="宋体" w:hAnsi="宋体" w:eastAsia="宋体"/>
                <w:sz w:val="20"/>
                <w:szCs w:val="20"/>
              </w:rPr>
              <w:t>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基建财务分析决策与建模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CH4  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模式财务分析辅助报表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4.1 概述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4.2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建设基础数据表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4.2.1  概述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4.2.2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建设投资相关子表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4.2.3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在建工程相关子表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4.2.4  模型操作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4.3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运营基础数据表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4.3.1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基本问题讨论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4.3.2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六张子表如何编制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4.3.3  模型操作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第三天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/19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财务分析初级课程</w:t>
            </w:r>
            <w:r>
              <w:rPr>
                <w:rFonts w:ascii="宋体" w:hAnsi="宋体" w:eastAsia="宋体"/>
                <w:sz w:val="20"/>
                <w:szCs w:val="20"/>
              </w:rPr>
              <w:t>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基建财务分析决策与建模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CH4  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模式财务分析辅助报表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4.4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融资基础数据表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4.4.1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基本问题讨论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4.4.2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计算建设期利息与不贷款金额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4.4.3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项目资本金一次到位与分批到位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4.4.4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债权融资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4.4.5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股权融资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4.5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付费基础数据表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4.5.1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什么是政府补助？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4.5.2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七张子表如何编制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4.5.3  模型操作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第四天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/20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财务分析初级课程</w:t>
            </w:r>
            <w:r>
              <w:rPr>
                <w:rFonts w:ascii="宋体" w:hAnsi="宋体" w:eastAsia="宋体"/>
                <w:sz w:val="20"/>
                <w:szCs w:val="20"/>
              </w:rPr>
              <w:t>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基建财务分析决策与建模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CH4  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模式财务分析辅助报表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4.6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税金表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4.6.1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增值税计算表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4.6.2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税金及附加计算表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4.6.3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各项税费计算表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4.6.4  模型操作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4.7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利润表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4.7.1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子表</w:t>
            </w:r>
            <w:r>
              <w:rPr>
                <w:rFonts w:ascii="宋体" w:hAnsi="宋体" w:eastAsia="宋体"/>
                <w:sz w:val="20"/>
                <w:szCs w:val="20"/>
              </w:rPr>
              <w:t>2---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法定盈余公积金计算表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4.7.2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子表</w:t>
            </w:r>
            <w:r>
              <w:rPr>
                <w:rFonts w:ascii="宋体" w:hAnsi="宋体" w:eastAsia="宋体"/>
                <w:sz w:val="20"/>
                <w:szCs w:val="20"/>
              </w:rPr>
              <w:t>1---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利润计算表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4.7.3  模型操作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第五天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/21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财务分析初级课程</w:t>
            </w:r>
            <w:r>
              <w:rPr>
                <w:rFonts w:ascii="宋体" w:hAnsi="宋体" w:eastAsia="宋体"/>
                <w:sz w:val="20"/>
                <w:szCs w:val="20"/>
              </w:rPr>
              <w:t>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基建财务分析决策与建模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CH5  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模式财务分析主要报表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5.1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财务现金流量表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5.1.1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现金流量计算表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5.1.2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偿债备覆率计算表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5.1.3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利润调整表 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5.1.4  模型操作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5.2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资产负债表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5.2.1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如何编制资产负债表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5.2.2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报表不平衡如何处理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5.3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投资现金流量表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5.4 成本分析表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5.5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物有所值评价表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5.6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财政承受能力论证表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第六天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/22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财务分析中级课程-</w:t>
            </w:r>
            <w:r>
              <w:rPr>
                <w:rFonts w:ascii="宋体" w:hAnsi="宋体" w:eastAsia="宋体"/>
                <w:sz w:val="20"/>
                <w:szCs w:val="20"/>
              </w:rPr>
              <w:t>--PPP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模式边界条件的设定与风险防范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CH1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模式财务边界概述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CH2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模式的期日与期间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2.1 概述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2.2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签约期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准备期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2.4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建设期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2.5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运营期</w:t>
            </w:r>
            <w:r>
              <w:rPr>
                <w:rFonts w:ascii="宋体" w:hAnsi="宋体" w:eastAsia="宋体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一</w:t>
            </w:r>
            <w:r>
              <w:rPr>
                <w:rFonts w:ascii="宋体" w:hAnsi="宋体" w:eastAsia="宋体"/>
                <w:sz w:val="20"/>
                <w:szCs w:val="20"/>
              </w:rPr>
              <w:t>)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2.6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运营期</w:t>
            </w:r>
            <w:r>
              <w:rPr>
                <w:rFonts w:ascii="宋体" w:hAnsi="宋体" w:eastAsia="宋体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二</w:t>
            </w:r>
            <w:r>
              <w:rPr>
                <w:rFonts w:ascii="宋体" w:hAnsi="宋体" w:eastAsia="宋体"/>
                <w:sz w:val="20"/>
                <w:szCs w:val="20"/>
              </w:rPr>
              <w:t>)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CH3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模式的资产边界</w:t>
            </w:r>
          </w:p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3.1 PPP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资产的分类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 xml:space="preserve">3.2 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期满移交→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BOT v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s 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BOOT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、核心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 xml:space="preserve"> vs 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非核心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第七天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/23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财务分析中级课程-</w:t>
            </w:r>
            <w:r>
              <w:rPr>
                <w:rFonts w:ascii="宋体" w:hAnsi="宋体" w:eastAsia="宋体"/>
                <w:sz w:val="20"/>
                <w:szCs w:val="20"/>
              </w:rPr>
              <w:t>--PPP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模式边界条件的设定与风险防范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CH3  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模式的资产边界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3.3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期前移交→合同终止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3.3.1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为何要讨论这个问题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3.3.2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合同终止事由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3.3.3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合同终止金额如何结算→兼论资产回购与经营权对价的问题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CH4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模式的付费类型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4.1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付费类型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4.1.1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传统付费类型的问题 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4.1.2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三大类六小类的付费类型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4.1.3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三个服务单价、六个服务数量与多层次的付费机制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4.2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付费类型和建设运营成本的对应关系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4.3 公式法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第八天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/25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财务分析中级课程</w:t>
            </w:r>
            <w:r>
              <w:rPr>
                <w:rFonts w:ascii="宋体" w:hAnsi="宋体" w:eastAsia="宋体"/>
                <w:sz w:val="20"/>
                <w:szCs w:val="20"/>
              </w:rPr>
              <w:t>---PPP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模式边界条件的设定与风险防范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CH5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项目付费数额公式与付费控制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5.1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项目付费数额公式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5.2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第一类项目付费数额公式中基本服务费的计算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5.3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第二类项目付费数额公式中服务费的计算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5.4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付费控制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CH6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贷款市场报价利率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(LPR)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对于项目付费数额公式的影响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CH7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成本回报控制与纵向付费控制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CH8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计价控制与纵向付费控制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CH9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 总价付费系列付费控制案例讨论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9.1“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总价</w:t>
            </w:r>
            <w:r>
              <w:rPr>
                <w:rFonts w:ascii="宋体" w:hAnsi="宋体" w:eastAsia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总价付费”的付费控制案例</w:t>
            </w:r>
            <w:r>
              <w:rPr>
                <w:rFonts w:ascii="宋体" w:hAnsi="宋体" w:eastAsia="宋体"/>
                <w:sz w:val="20"/>
                <w:szCs w:val="20"/>
              </w:rPr>
              <w:t>1—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市政道路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9.2“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总价付费”的付费控制案例</w:t>
            </w:r>
            <w:r>
              <w:rPr>
                <w:rFonts w:ascii="宋体" w:hAnsi="宋体" w:eastAsia="宋体"/>
                <w:sz w:val="20"/>
                <w:szCs w:val="20"/>
              </w:rPr>
              <w:t>2--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学校项目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CH10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 单价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总价付费、单价付费类型付费控制案例讨论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10.1“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单价</w:t>
            </w:r>
            <w:r>
              <w:rPr>
                <w:rFonts w:ascii="宋体" w:hAnsi="宋体" w:eastAsia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总价付费”的付费控制案例</w:t>
            </w:r>
            <w:r>
              <w:rPr>
                <w:rFonts w:ascii="宋体" w:hAnsi="宋体" w:eastAsia="宋体"/>
                <w:sz w:val="20"/>
                <w:szCs w:val="20"/>
              </w:rPr>
              <w:t>3—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收费公路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10.2“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单价付费”的付费控制案例</w:t>
            </w:r>
            <w:r>
              <w:rPr>
                <w:rFonts w:ascii="宋体" w:hAnsi="宋体" w:eastAsia="宋体"/>
                <w:sz w:val="20"/>
                <w:szCs w:val="20"/>
              </w:rPr>
              <w:t>4—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城市污水处理厂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第九天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4/26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财务分析高级课程-</w:t>
            </w:r>
            <w:r>
              <w:rPr>
                <w:rFonts w:ascii="宋体" w:hAnsi="宋体" w:eastAsia="宋体"/>
                <w:sz w:val="20"/>
                <w:szCs w:val="20"/>
              </w:rPr>
              <w:t>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基建财务后评价以及多个子项目如何进行财务分析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CH1 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基建财务后评价基本问题讨论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1.1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什么是基建财务后评价？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1.2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财务边界条件的动态变化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1.3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付费机制与付费控制</w:t>
            </w:r>
            <w:r>
              <w:rPr>
                <w:rFonts w:ascii="宋体" w:hAnsi="宋体" w:eastAsia="宋体"/>
                <w:sz w:val="20"/>
                <w:szCs w:val="20"/>
              </w:rPr>
              <w:t>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总价</w:t>
            </w:r>
            <w:r>
              <w:rPr>
                <w:rFonts w:ascii="宋体" w:hAnsi="宋体" w:eastAsia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总价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1.4 G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市估算价基准日财务边界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1.5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财务边界条件变动对于</w:t>
            </w:r>
            <w:r>
              <w:rPr>
                <w:rFonts w:ascii="宋体" w:hAnsi="宋体" w:eastAsia="宋体"/>
                <w:sz w:val="20"/>
                <w:szCs w:val="20"/>
              </w:rPr>
              <w:t>IRR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的影响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1.6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多个子项目如何搭建财务模型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第十天</w:t>
            </w:r>
          </w:p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/27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财务分析高级课程</w:t>
            </w:r>
            <w:r>
              <w:rPr>
                <w:rFonts w:ascii="宋体" w:hAnsi="宋体" w:eastAsia="宋体"/>
                <w:sz w:val="20"/>
                <w:szCs w:val="20"/>
              </w:rPr>
              <w:t>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基建财务后评价以及多个子项目如何进行财务分析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CH2 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控制价基准日的财务边界与财务分析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2.1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控制价基准日财务边界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2.2 G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市项目财务模型的搭建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2.2.1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建设基础数据表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2.2.2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运营基础数据表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2.2.3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融资基础数据表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2.2.4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付费基础数据表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2.2.5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税金表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2.2.6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利润表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2.2.7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财务现金流量表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2.2.8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资产负债表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    2.2.9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投资现金流量表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 2.3 G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市项目的财务分析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第十一天4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/28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财务分析高级课程</w:t>
            </w:r>
            <w:r>
              <w:rPr>
                <w:rFonts w:ascii="宋体" w:hAnsi="宋体" w:eastAsia="宋体"/>
                <w:sz w:val="20"/>
                <w:szCs w:val="20"/>
              </w:rPr>
              <w:t>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基建财务后评价以及多个子项目如何进行财务分析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CH3 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投标阶基准日的财务边界与财务分析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CH4 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融资放贷的财务边界与财务分析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CH5 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竣工日的财务边界与财务分析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上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)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5.1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竣工日财务边界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5.2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资产减值的会计处理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5.3  G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市项目财务模型的调整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5.4  G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市项目财务分析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第十二天4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/29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财务分析高级课程</w:t>
            </w:r>
            <w:r>
              <w:rPr>
                <w:rFonts w:ascii="宋体" w:hAnsi="宋体" w:eastAsia="宋体"/>
                <w:sz w:val="20"/>
                <w:szCs w:val="20"/>
              </w:rPr>
              <w:t>---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基建财务后评价以及多个子项目如何进行财务分析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Ch6 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竣工日的财务边界与财务分析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下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)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6.1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财务模型</w:t>
            </w:r>
            <w:r>
              <w:rPr>
                <w:rFonts w:ascii="宋体" w:hAnsi="宋体" w:eastAsia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表与实际</w:t>
            </w:r>
            <w:r>
              <w:rPr>
                <w:rFonts w:ascii="宋体" w:hAnsi="宋体" w:eastAsia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表的差距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6.2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哪几个费用项目要列为调整的重点？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6.3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建设投资的调整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6.4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当期借款的调整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/>
                <w:sz w:val="20"/>
                <w:szCs w:val="20"/>
              </w:rPr>
              <w:t>6.5  G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市项目财务分析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Ch7 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决算日的财务边界与财务分析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CH8  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合同终止与财务分析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8.1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为何要讨论这个问题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8.2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合同终止事由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8.3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合同终止金额如何结算→兼论资产回购与经营权对价的问题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第十三天4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/30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如何使用公益版</w:t>
            </w:r>
            <w:r>
              <w:rPr>
                <w:rFonts w:ascii="宋体" w:hAnsi="宋体" w:eastAsia="宋体"/>
                <w:sz w:val="20"/>
                <w:szCs w:val="20"/>
              </w:rPr>
              <w:t>F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市</w:t>
            </w:r>
            <w:r>
              <w:rPr>
                <w:rFonts w:ascii="宋体" w:hAnsi="宋体" w:eastAsia="宋体"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合同参考文本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第一部分：为何要学习《公益版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F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市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合同参考文本》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第二部分：典型合同如何修改为其他类型的基建投资合同</w:t>
            </w:r>
          </w:p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第三部分：附录一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F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市合作协议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一般规定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合作范围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政府方与实施机构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社会资本方与联合体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5.引入基金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股东协议与公司章程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项目公司的组建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 w:eastAsia="宋体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签订</w:t>
            </w:r>
            <w:r>
              <w:rPr>
                <w:rFonts w:ascii="宋体" w:hAnsi="宋体" w:eastAsia="宋体"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第十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四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天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5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/2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如何使用公益版F市PPP合同参考文本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第四部分：附录二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F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市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项目合同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1.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定义和解释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2.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合作范围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3.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实施机构与关联方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4.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项目公司与关联方</w:t>
            </w:r>
            <w:r>
              <w:rPr>
                <w:rFonts w:ascii="宋体" w:hAnsi="宋体" w:eastAsia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 5.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履约担保与保障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6.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项目融资、财务管理与再融资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7.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准备阶段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8.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建设阶段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9.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竣工验收、结算与决算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10.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运营阶段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 xml:space="preserve">    11.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水质和污泥质量标准和检测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第十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五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天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5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/3</w:t>
            </w:r>
          </w:p>
        </w:tc>
        <w:tc>
          <w:tcPr>
            <w:tcW w:w="2835" w:type="dxa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如何使用公益版F市PPP合同参考文本</w:t>
            </w:r>
          </w:p>
        </w:tc>
        <w:tc>
          <w:tcPr>
            <w:tcW w:w="6826" w:type="dxa"/>
          </w:tcPr>
          <w:p>
            <w:pPr>
              <w:rPr>
                <w:rFonts w:ascii="宋体" w:hAnsi="宋体" w:eastAsia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第四部分：附录二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F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>市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>PPP</w:t>
            </w:r>
            <w:r>
              <w:rPr>
                <w:rFonts w:hint="eastAsia" w:ascii="宋体" w:hAnsi="宋体" w:eastAsia="宋体"/>
                <w:b/>
                <w:bCs/>
                <w:sz w:val="20"/>
                <w:szCs w:val="20"/>
              </w:rPr>
              <w:t xml:space="preserve">项目合同 </w:t>
            </w:r>
            <w:r>
              <w:rPr>
                <w:rFonts w:ascii="宋体" w:hAnsi="宋体" w:eastAsia="宋体"/>
                <w:b/>
                <w:bCs/>
                <w:sz w:val="20"/>
                <w:szCs w:val="20"/>
              </w:rPr>
              <w:t xml:space="preserve">   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12.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移交阶段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13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绩效评价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14.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水量与计价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15.付款方式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16.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风险与保险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17.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法律变更与不可抗力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18.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政府方介入权、融资方介入权与公众监督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19.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违约及提前终止</w:t>
            </w:r>
          </w:p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20.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行政区划调整与合同变更、转让</w:t>
            </w:r>
          </w:p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>21.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争议处理</w:t>
            </w:r>
          </w:p>
          <w:p>
            <w:pPr>
              <w:rPr>
                <w:rFonts w:ascii="宋体" w:hAnsi="宋体" w:eastAsia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TW"/>
              </w:rPr>
              <w:t xml:space="preserve">   22.</w:t>
            </w:r>
            <w:r>
              <w:rPr>
                <w:rFonts w:hint="eastAsia" w:ascii="宋体" w:hAnsi="宋体" w:eastAsia="宋体"/>
                <w:sz w:val="20"/>
                <w:szCs w:val="20"/>
                <w:lang w:eastAsia="zh-TW"/>
              </w:rPr>
              <w:t>合同附则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pStyle w:val="2"/>
        <w:ind w:left="851" w:hanging="491"/>
        <w:rPr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主</w:t>
      </w:r>
      <w:r>
        <w:rPr>
          <w:rFonts w:hint="eastAsia"/>
          <w:lang w:eastAsia="zh-CN"/>
        </w:rPr>
        <w:t>办单位：微观点智库</w:t>
      </w:r>
      <w:r>
        <w:rPr>
          <w:rFonts w:hint="eastAsia" w:asciiTheme="minorEastAsia" w:hAnsiTheme="minorEastAsia" w:eastAsiaTheme="minorEastAsia"/>
          <w:lang w:eastAsia="zh-CN"/>
        </w:rPr>
        <w:t>、微观点学院</w:t>
      </w:r>
    </w:p>
    <w:p>
      <w:pPr>
        <w:pStyle w:val="3"/>
        <w:ind w:left="462"/>
        <w:rPr>
          <w:rFonts w:ascii="宋体" w:hAnsi="宋体" w:eastAsia="宋体"/>
        </w:rPr>
      </w:pPr>
    </w:p>
    <w:p>
      <w:pPr>
        <w:pStyle w:val="2"/>
        <w:ind w:left="851" w:hanging="491"/>
        <w:rPr>
          <w:lang w:eastAsia="zh-CN"/>
        </w:rPr>
      </w:pPr>
      <w:r>
        <w:rPr>
          <w:rFonts w:hint="eastAsia"/>
          <w:lang w:eastAsia="zh-CN"/>
        </w:rPr>
        <w:t>主讲人：余文恭律师(现任上海段和段律师事务所合伙人)</w:t>
      </w:r>
      <w:r>
        <w:rPr>
          <w:lang w:eastAsia="zh-CN"/>
        </w:rPr>
        <w:t xml:space="preserve"> ~~</w:t>
      </w:r>
      <w:r>
        <w:rPr>
          <w:rFonts w:hint="eastAsia"/>
          <w:lang w:eastAsia="zh-CN"/>
        </w:rPr>
        <w:t>基建投资与资本领域的法律专家</w:t>
      </w:r>
      <w:r>
        <w:rPr>
          <w:lang w:eastAsia="zh-CN"/>
        </w:rPr>
        <w:t>~~</w:t>
      </w:r>
    </w:p>
    <w:p>
      <w:pPr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（一）基建投资领域：财政部发改委首批定向邀请</w:t>
      </w:r>
      <w:r>
        <w:rPr>
          <w:rFonts w:ascii="宋体" w:hAnsi="宋体" w:eastAsia="宋体"/>
        </w:rPr>
        <w:t>PPP</w:t>
      </w:r>
      <w:r>
        <w:rPr>
          <w:rFonts w:hint="eastAsia" w:ascii="宋体" w:hAnsi="宋体" w:eastAsia="宋体"/>
        </w:rPr>
        <w:t>专家库专家、中国政法大学</w:t>
      </w:r>
      <w:r>
        <w:rPr>
          <w:rFonts w:ascii="宋体" w:hAnsi="宋体" w:eastAsia="宋体"/>
        </w:rPr>
        <w:t>PPP</w:t>
      </w:r>
      <w:r>
        <w:rPr>
          <w:rFonts w:hint="eastAsia" w:ascii="宋体" w:hAnsi="宋体" w:eastAsia="宋体"/>
        </w:rPr>
        <w:t>中心法务委员会专家、四川省</w:t>
      </w:r>
      <w:r>
        <w:rPr>
          <w:rFonts w:ascii="宋体" w:hAnsi="宋体" w:eastAsia="宋体"/>
        </w:rPr>
        <w:t>PPP</w:t>
      </w:r>
      <w:r>
        <w:rPr>
          <w:rFonts w:hint="eastAsia" w:ascii="宋体" w:hAnsi="宋体" w:eastAsia="宋体"/>
        </w:rPr>
        <w:t>中心常设专家、多省市</w:t>
      </w:r>
      <w:r>
        <w:rPr>
          <w:rFonts w:ascii="宋体" w:hAnsi="宋体" w:eastAsia="宋体"/>
        </w:rPr>
        <w:t>PPP</w:t>
      </w:r>
      <w:r>
        <w:rPr>
          <w:rFonts w:hint="eastAsia" w:ascii="宋体" w:hAnsi="宋体" w:eastAsia="宋体"/>
        </w:rPr>
        <w:t>专家库专家、世界旅游轨道大会专家委员会成员，著有：《</w:t>
      </w:r>
      <w:r>
        <w:rPr>
          <w:rFonts w:ascii="宋体" w:hAnsi="宋体" w:eastAsia="宋体"/>
        </w:rPr>
        <w:t>PPP</w:t>
      </w:r>
      <w:r>
        <w:rPr>
          <w:rFonts w:hint="eastAsia" w:ascii="宋体" w:hAnsi="宋体" w:eastAsia="宋体"/>
        </w:rPr>
        <w:t>模式与结构化融资》、《政府与社会资本合作项目政策与法律文件汇编》。</w:t>
      </w:r>
    </w:p>
    <w:p>
      <w:pPr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（二）资本市场与财务分析领域：上海律协证券业务研究委员会委员，著有：《基建投资、城市更新、</w:t>
      </w:r>
      <w:r>
        <w:rPr>
          <w:rFonts w:ascii="宋体" w:hAnsi="宋体" w:eastAsia="宋体"/>
        </w:rPr>
        <w:t>REITS</w:t>
      </w:r>
      <w:r>
        <w:rPr>
          <w:rFonts w:hint="eastAsia" w:ascii="宋体" w:hAnsi="宋体" w:eastAsia="宋体"/>
        </w:rPr>
        <w:t>与财务分析决策》、《图解资产证券化—政策法规指引与重点提示》，深圳保理协会针对商业保理与供应链金融领域颁发“突出贡献个人”荣誉证书。</w:t>
      </w:r>
    </w:p>
    <w:p>
      <w:pPr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（三）建设工程领域：一带一路中国仲裁院仲裁员、中国国际工程咨询协会培训中心专家库专家，曾任江苏省法院建设工程审判研究班讲师。</w:t>
      </w:r>
    </w:p>
    <w:p>
      <w:pPr>
        <w:pStyle w:val="3"/>
        <w:ind w:left="480"/>
        <w:rPr>
          <w:rFonts w:ascii="宋体" w:hAnsi="宋体" w:eastAsia="宋体"/>
        </w:rPr>
      </w:pPr>
    </w:p>
    <w:p>
      <w:pPr>
        <w:pStyle w:val="2"/>
        <w:ind w:left="851" w:hanging="491"/>
      </w:pPr>
      <w:r>
        <w:rPr>
          <w:rFonts w:hint="eastAsia"/>
        </w:rPr>
        <w:t>课程收费：2</w:t>
      </w:r>
      <w:r>
        <w:t>000</w:t>
      </w:r>
      <w:r>
        <w:rPr>
          <w:rFonts w:hint="eastAsia"/>
        </w:rPr>
        <w:t>元。</w:t>
      </w:r>
    </w:p>
    <w:p>
      <w:pPr>
        <w:pStyle w:val="3"/>
        <w:numPr>
          <w:ilvl w:val="0"/>
          <w:numId w:val="2"/>
        </w:numPr>
        <w:ind w:firstLine="440"/>
        <w:rPr>
          <w:rFonts w:ascii="宋体" w:hAnsi="宋体" w:eastAsia="宋体"/>
        </w:rPr>
      </w:pPr>
      <w:r>
        <w:rPr>
          <w:rFonts w:ascii="宋体" w:hAnsi="宋体" w:eastAsia="宋体"/>
        </w:rPr>
        <w:t>15</w:t>
      </w:r>
      <w:r>
        <w:rPr>
          <w:rFonts w:hint="eastAsia" w:ascii="宋体" w:hAnsi="宋体" w:eastAsia="宋体"/>
        </w:rPr>
        <w:t>天课程加上超值赠品，这个价格以后很难再有了</w:t>
      </w:r>
    </w:p>
    <w:p>
      <w:pPr>
        <w:pStyle w:val="3"/>
        <w:numPr>
          <w:ilvl w:val="0"/>
          <w:numId w:val="2"/>
        </w:numPr>
        <w:ind w:firstLine="44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已经是最优惠的价格了，没法再优惠了</w:t>
      </w:r>
    </w:p>
    <w:p>
      <w:pPr>
        <w:pStyle w:val="3"/>
        <w:numPr>
          <w:ilvl w:val="0"/>
          <w:numId w:val="2"/>
        </w:numPr>
        <w:ind w:firstLine="440"/>
        <w:rPr>
          <w:rFonts w:ascii="宋体" w:hAnsi="宋体" w:eastAsia="宋体"/>
          <w:b/>
          <w:u w:val="single"/>
        </w:rPr>
      </w:pPr>
      <w:r>
        <w:rPr>
          <w:rFonts w:hint="eastAsia" w:ascii="宋体" w:hAnsi="宋体" w:eastAsia="宋体"/>
          <w:b/>
          <w:u w:val="single"/>
        </w:rPr>
        <w:t>开“咨询”电子普通发票，本课程回放时间从课程结束后一个月，介意者勿拍</w:t>
      </w:r>
    </w:p>
    <w:tbl>
      <w:tblPr>
        <w:tblStyle w:val="9"/>
        <w:tblpPr w:leftFromText="180" w:rightFromText="180" w:vertAnchor="text" w:horzAnchor="margin" w:tblpXSpec="center" w:tblpY="466"/>
        <w:tblOverlap w:val="never"/>
        <w:tblW w:w="10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04"/>
        <w:gridCol w:w="12"/>
        <w:gridCol w:w="972"/>
        <w:gridCol w:w="951"/>
        <w:gridCol w:w="157"/>
        <w:gridCol w:w="754"/>
        <w:gridCol w:w="409"/>
        <w:gridCol w:w="1104"/>
        <w:gridCol w:w="875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556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行业类别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5563" w:type="dxa"/>
            <w:gridSpan w:val="8"/>
            <w:vAlign w:val="center"/>
          </w:tcPr>
          <w:p>
            <w:pPr>
              <w:ind w:firstLine="1200" w:firstLineChars="50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 系 人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部门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电话/区号</w:t>
            </w:r>
          </w:p>
        </w:tc>
        <w:tc>
          <w:tcPr>
            <w:tcW w:w="32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传真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  <w:tc>
          <w:tcPr>
            <w:tcW w:w="2346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微信号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付款方式</w:t>
            </w:r>
          </w:p>
        </w:tc>
        <w:tc>
          <w:tcPr>
            <w:tcW w:w="3139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</w:tcPr>
          <w:p>
            <w:pPr>
              <w:spacing w:line="360" w:lineRule="auto"/>
              <w:rPr>
                <w:rFonts w:ascii="仿宋" w:hAnsi="仿宋" w:cs="仿宋"/>
                <w:b/>
                <w:sz w:val="24"/>
                <w:szCs w:val="24"/>
                <w:lang w:eastAsia="zh-TW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lang w:eastAsia="zh-TW"/>
              </w:rPr>
              <w:t>总金额</w:t>
            </w:r>
          </w:p>
        </w:tc>
        <w:tc>
          <w:tcPr>
            <w:tcW w:w="4325" w:type="dxa"/>
            <w:gridSpan w:val="3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2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发票类别</w:t>
            </w:r>
          </w:p>
        </w:tc>
        <w:tc>
          <w:tcPr>
            <w:tcW w:w="8784" w:type="dxa"/>
            <w:gridSpan w:val="10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增值税发票,开票信息如下：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 位 名 称：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税      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号：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cs="仿宋"/>
          <w:bCs/>
          <w:sz w:val="24"/>
          <w:szCs w:val="24"/>
        </w:rPr>
        <w:t xml:space="preserve"> </w:t>
      </w:r>
      <w:r>
        <w:rPr>
          <w:rFonts w:ascii="仿宋" w:hAnsi="仿宋" w:cs="仿宋"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>备注： 1、请尽早报名，额满为止。参会报名表复制有效</w:t>
      </w:r>
    </w:p>
    <w:p>
      <w:pPr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color w:val="FF0000"/>
          <w:sz w:val="24"/>
          <w:szCs w:val="24"/>
        </w:rPr>
        <w:t xml:space="preserve"> </w:t>
      </w:r>
      <w:r>
        <w:rPr>
          <w:rFonts w:ascii="仿宋" w:hAnsi="仿宋" w:eastAsia="仿宋" w:cs="仿宋"/>
          <w:bCs/>
          <w:color w:val="FF0000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bCs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</w:t>
      </w:r>
      <w:r>
        <w:rPr>
          <w:rFonts w:ascii="仿宋" w:hAnsi="仿宋" w:eastAsia="仿宋" w:cs="仿宋"/>
          <w:bCs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2、联系人：  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聂红军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   </w:t>
      </w:r>
      <w:r>
        <w:rPr>
          <w:rFonts w:ascii="仿宋" w:hAnsi="仿宋" w:eastAsia="仿宋" w:cs="仿宋"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        手  机：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18211071700（微信）</w:t>
      </w:r>
    </w:p>
    <w:p>
      <w:pPr>
        <w:ind w:firstLine="1100" w:firstLineChars="500"/>
      </w:pPr>
    </w:p>
    <w:p>
      <w:bookmarkStart w:id="0" w:name="_GoBack"/>
      <w:bookmarkEnd w:id="0"/>
      <w:r>
        <w:rPr>
          <w:rFonts w:hint="eastAsia"/>
          <w:lang w:eastAsia="zh-TW"/>
        </w:rPr>
        <w:t xml:space="preserve">                 </w:t>
      </w:r>
    </w:p>
    <w:p>
      <w:pPr>
        <w:rPr>
          <w:rFonts w:eastAsia="DengXian"/>
        </w:rPr>
      </w:pP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Microsoft JhengHei U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0560"/>
    <w:multiLevelType w:val="multilevel"/>
    <w:tmpl w:val="2AC50560"/>
    <w:lvl w:ilvl="0" w:tentative="0">
      <w:start w:val="1"/>
      <w:numFmt w:val="japaneseCounting"/>
      <w:pStyle w:val="2"/>
      <w:lvlText w:val="%1、"/>
      <w:lvlJc w:val="left"/>
      <w:pPr>
        <w:ind w:left="792" w:hanging="432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C05AC"/>
    <w:multiLevelType w:val="multilevel"/>
    <w:tmpl w:val="6BAC05AC"/>
    <w:lvl w:ilvl="0" w:tentative="0">
      <w:start w:val="1"/>
      <w:numFmt w:val="japaneseCounting"/>
      <w:lvlText w:val="(%1)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B"/>
    <w:rsid w:val="000023C2"/>
    <w:rsid w:val="0000685C"/>
    <w:rsid w:val="00012972"/>
    <w:rsid w:val="00012DDA"/>
    <w:rsid w:val="00025032"/>
    <w:rsid w:val="00031749"/>
    <w:rsid w:val="00034288"/>
    <w:rsid w:val="000441AF"/>
    <w:rsid w:val="00044E06"/>
    <w:rsid w:val="00054BB3"/>
    <w:rsid w:val="0005620A"/>
    <w:rsid w:val="0006124F"/>
    <w:rsid w:val="000707ED"/>
    <w:rsid w:val="00075199"/>
    <w:rsid w:val="00081798"/>
    <w:rsid w:val="00085E31"/>
    <w:rsid w:val="000906D5"/>
    <w:rsid w:val="0009573F"/>
    <w:rsid w:val="00096262"/>
    <w:rsid w:val="000A0B17"/>
    <w:rsid w:val="000A277B"/>
    <w:rsid w:val="000B3A62"/>
    <w:rsid w:val="000C2E5F"/>
    <w:rsid w:val="000C63D5"/>
    <w:rsid w:val="000C7F42"/>
    <w:rsid w:val="000D383E"/>
    <w:rsid w:val="000E1988"/>
    <w:rsid w:val="000E434C"/>
    <w:rsid w:val="000F4CD5"/>
    <w:rsid w:val="00101919"/>
    <w:rsid w:val="001076B3"/>
    <w:rsid w:val="001142DF"/>
    <w:rsid w:val="00115519"/>
    <w:rsid w:val="00115538"/>
    <w:rsid w:val="00117CD1"/>
    <w:rsid w:val="00142AE3"/>
    <w:rsid w:val="00143F25"/>
    <w:rsid w:val="0015593B"/>
    <w:rsid w:val="00161001"/>
    <w:rsid w:val="0017077C"/>
    <w:rsid w:val="001732C1"/>
    <w:rsid w:val="001768FA"/>
    <w:rsid w:val="0018489E"/>
    <w:rsid w:val="001956DC"/>
    <w:rsid w:val="00197335"/>
    <w:rsid w:val="001A457D"/>
    <w:rsid w:val="001B597E"/>
    <w:rsid w:val="001C3038"/>
    <w:rsid w:val="001D0785"/>
    <w:rsid w:val="001D1844"/>
    <w:rsid w:val="001F5CA0"/>
    <w:rsid w:val="00221F44"/>
    <w:rsid w:val="002237B1"/>
    <w:rsid w:val="002249A4"/>
    <w:rsid w:val="00241A55"/>
    <w:rsid w:val="002477F3"/>
    <w:rsid w:val="00250ECD"/>
    <w:rsid w:val="00253DDA"/>
    <w:rsid w:val="00260843"/>
    <w:rsid w:val="00267322"/>
    <w:rsid w:val="002738F3"/>
    <w:rsid w:val="00282FB6"/>
    <w:rsid w:val="00284C84"/>
    <w:rsid w:val="002A4FD9"/>
    <w:rsid w:val="002B518E"/>
    <w:rsid w:val="002B640B"/>
    <w:rsid w:val="002C05A5"/>
    <w:rsid w:val="002E3859"/>
    <w:rsid w:val="002E3EE5"/>
    <w:rsid w:val="002E7F15"/>
    <w:rsid w:val="002F248C"/>
    <w:rsid w:val="002F577B"/>
    <w:rsid w:val="003068D1"/>
    <w:rsid w:val="00322E38"/>
    <w:rsid w:val="00327021"/>
    <w:rsid w:val="0032722A"/>
    <w:rsid w:val="00330588"/>
    <w:rsid w:val="00342086"/>
    <w:rsid w:val="003475CE"/>
    <w:rsid w:val="003554E9"/>
    <w:rsid w:val="00374CA0"/>
    <w:rsid w:val="00397F93"/>
    <w:rsid w:val="003A3453"/>
    <w:rsid w:val="003B2530"/>
    <w:rsid w:val="003C162C"/>
    <w:rsid w:val="003E1781"/>
    <w:rsid w:val="003F29CC"/>
    <w:rsid w:val="003F7A31"/>
    <w:rsid w:val="00400062"/>
    <w:rsid w:val="00402985"/>
    <w:rsid w:val="004231AB"/>
    <w:rsid w:val="00430D4D"/>
    <w:rsid w:val="00432753"/>
    <w:rsid w:val="0045148F"/>
    <w:rsid w:val="00466488"/>
    <w:rsid w:val="00496938"/>
    <w:rsid w:val="004C5704"/>
    <w:rsid w:val="004D1AE9"/>
    <w:rsid w:val="004D44D7"/>
    <w:rsid w:val="004D52F6"/>
    <w:rsid w:val="004D75E3"/>
    <w:rsid w:val="004E4A9C"/>
    <w:rsid w:val="004E78C5"/>
    <w:rsid w:val="004F0B43"/>
    <w:rsid w:val="004F0BFD"/>
    <w:rsid w:val="00505325"/>
    <w:rsid w:val="005134E2"/>
    <w:rsid w:val="00514359"/>
    <w:rsid w:val="00523E6E"/>
    <w:rsid w:val="005273FC"/>
    <w:rsid w:val="0053733C"/>
    <w:rsid w:val="00537DA4"/>
    <w:rsid w:val="00542B6E"/>
    <w:rsid w:val="0054481D"/>
    <w:rsid w:val="0055082D"/>
    <w:rsid w:val="00553B0C"/>
    <w:rsid w:val="00562ED3"/>
    <w:rsid w:val="00585824"/>
    <w:rsid w:val="0058637C"/>
    <w:rsid w:val="005919DF"/>
    <w:rsid w:val="005A288B"/>
    <w:rsid w:val="005B21A8"/>
    <w:rsid w:val="005B3FED"/>
    <w:rsid w:val="005B71C7"/>
    <w:rsid w:val="005C32B9"/>
    <w:rsid w:val="005C3E41"/>
    <w:rsid w:val="005C4A86"/>
    <w:rsid w:val="005C58D6"/>
    <w:rsid w:val="005D4CF3"/>
    <w:rsid w:val="005F689E"/>
    <w:rsid w:val="00613190"/>
    <w:rsid w:val="00613E4A"/>
    <w:rsid w:val="00622D26"/>
    <w:rsid w:val="006252FB"/>
    <w:rsid w:val="00627331"/>
    <w:rsid w:val="00627C11"/>
    <w:rsid w:val="00641C52"/>
    <w:rsid w:val="00644272"/>
    <w:rsid w:val="00650A1E"/>
    <w:rsid w:val="00657DF9"/>
    <w:rsid w:val="006629EC"/>
    <w:rsid w:val="00662C49"/>
    <w:rsid w:val="00684B32"/>
    <w:rsid w:val="00692A3C"/>
    <w:rsid w:val="00697ACB"/>
    <w:rsid w:val="00697FD4"/>
    <w:rsid w:val="006A7D7C"/>
    <w:rsid w:val="006B6D64"/>
    <w:rsid w:val="006B786E"/>
    <w:rsid w:val="006C2AA8"/>
    <w:rsid w:val="006C4EC5"/>
    <w:rsid w:val="006D35DD"/>
    <w:rsid w:val="006E11AA"/>
    <w:rsid w:val="006E1664"/>
    <w:rsid w:val="006E69E9"/>
    <w:rsid w:val="006F157F"/>
    <w:rsid w:val="006F4758"/>
    <w:rsid w:val="00702C1D"/>
    <w:rsid w:val="00711096"/>
    <w:rsid w:val="00711FBE"/>
    <w:rsid w:val="00733B5F"/>
    <w:rsid w:val="0073637F"/>
    <w:rsid w:val="00747A0E"/>
    <w:rsid w:val="00757545"/>
    <w:rsid w:val="00761B43"/>
    <w:rsid w:val="007656DF"/>
    <w:rsid w:val="0077526F"/>
    <w:rsid w:val="007763FE"/>
    <w:rsid w:val="007832BE"/>
    <w:rsid w:val="0078345D"/>
    <w:rsid w:val="00785940"/>
    <w:rsid w:val="00791797"/>
    <w:rsid w:val="007A231E"/>
    <w:rsid w:val="007B2A72"/>
    <w:rsid w:val="007B472D"/>
    <w:rsid w:val="007D0222"/>
    <w:rsid w:val="007D40D7"/>
    <w:rsid w:val="007D6773"/>
    <w:rsid w:val="007E576C"/>
    <w:rsid w:val="007F5C9D"/>
    <w:rsid w:val="00816330"/>
    <w:rsid w:val="008237ED"/>
    <w:rsid w:val="008305BA"/>
    <w:rsid w:val="00831314"/>
    <w:rsid w:val="0083256E"/>
    <w:rsid w:val="008330D0"/>
    <w:rsid w:val="0085577B"/>
    <w:rsid w:val="0086035F"/>
    <w:rsid w:val="00863DBB"/>
    <w:rsid w:val="00866430"/>
    <w:rsid w:val="008827F8"/>
    <w:rsid w:val="00887E14"/>
    <w:rsid w:val="0089002D"/>
    <w:rsid w:val="0089254B"/>
    <w:rsid w:val="0089280A"/>
    <w:rsid w:val="00896F8B"/>
    <w:rsid w:val="008A5544"/>
    <w:rsid w:val="008B4783"/>
    <w:rsid w:val="008B77E8"/>
    <w:rsid w:val="008D165B"/>
    <w:rsid w:val="008D3E06"/>
    <w:rsid w:val="008D6D93"/>
    <w:rsid w:val="008E2B03"/>
    <w:rsid w:val="008E40CC"/>
    <w:rsid w:val="008E7853"/>
    <w:rsid w:val="008F46D4"/>
    <w:rsid w:val="00904ACF"/>
    <w:rsid w:val="00921637"/>
    <w:rsid w:val="00921CDD"/>
    <w:rsid w:val="00923366"/>
    <w:rsid w:val="00925ED5"/>
    <w:rsid w:val="00940B52"/>
    <w:rsid w:val="0094480C"/>
    <w:rsid w:val="00944D45"/>
    <w:rsid w:val="00965024"/>
    <w:rsid w:val="0098472C"/>
    <w:rsid w:val="00996E39"/>
    <w:rsid w:val="009B45F0"/>
    <w:rsid w:val="009B7C25"/>
    <w:rsid w:val="009C02DC"/>
    <w:rsid w:val="009C1194"/>
    <w:rsid w:val="009C3883"/>
    <w:rsid w:val="009D51E1"/>
    <w:rsid w:val="009E4649"/>
    <w:rsid w:val="009F483C"/>
    <w:rsid w:val="00A01DDB"/>
    <w:rsid w:val="00A02C83"/>
    <w:rsid w:val="00A10CDE"/>
    <w:rsid w:val="00A11F61"/>
    <w:rsid w:val="00A1500F"/>
    <w:rsid w:val="00A15BC7"/>
    <w:rsid w:val="00A22AF9"/>
    <w:rsid w:val="00A25CD3"/>
    <w:rsid w:val="00A3160F"/>
    <w:rsid w:val="00A333B6"/>
    <w:rsid w:val="00A42179"/>
    <w:rsid w:val="00A447CB"/>
    <w:rsid w:val="00A47D0C"/>
    <w:rsid w:val="00A50001"/>
    <w:rsid w:val="00A56E2F"/>
    <w:rsid w:val="00A65FA8"/>
    <w:rsid w:val="00A66199"/>
    <w:rsid w:val="00A66D16"/>
    <w:rsid w:val="00A71364"/>
    <w:rsid w:val="00A719FC"/>
    <w:rsid w:val="00A72AE2"/>
    <w:rsid w:val="00A72DED"/>
    <w:rsid w:val="00A81494"/>
    <w:rsid w:val="00A86FF6"/>
    <w:rsid w:val="00AB2773"/>
    <w:rsid w:val="00AC75F8"/>
    <w:rsid w:val="00AD0820"/>
    <w:rsid w:val="00AD2054"/>
    <w:rsid w:val="00AD24E5"/>
    <w:rsid w:val="00AD742A"/>
    <w:rsid w:val="00AE07A9"/>
    <w:rsid w:val="00AF4768"/>
    <w:rsid w:val="00B00CE6"/>
    <w:rsid w:val="00B02451"/>
    <w:rsid w:val="00B1226B"/>
    <w:rsid w:val="00B15F05"/>
    <w:rsid w:val="00B23D11"/>
    <w:rsid w:val="00B4291A"/>
    <w:rsid w:val="00B55702"/>
    <w:rsid w:val="00B857F3"/>
    <w:rsid w:val="00B87A9C"/>
    <w:rsid w:val="00B9235C"/>
    <w:rsid w:val="00B937A4"/>
    <w:rsid w:val="00B938B3"/>
    <w:rsid w:val="00BA4C73"/>
    <w:rsid w:val="00BB1D6F"/>
    <w:rsid w:val="00BD2708"/>
    <w:rsid w:val="00BD589A"/>
    <w:rsid w:val="00BD5E19"/>
    <w:rsid w:val="00BF37AF"/>
    <w:rsid w:val="00C0185E"/>
    <w:rsid w:val="00C21F30"/>
    <w:rsid w:val="00C24A6D"/>
    <w:rsid w:val="00C324C2"/>
    <w:rsid w:val="00C3412E"/>
    <w:rsid w:val="00C66F12"/>
    <w:rsid w:val="00C67307"/>
    <w:rsid w:val="00C725F0"/>
    <w:rsid w:val="00C7385B"/>
    <w:rsid w:val="00C747D1"/>
    <w:rsid w:val="00C90196"/>
    <w:rsid w:val="00C94B15"/>
    <w:rsid w:val="00C97B88"/>
    <w:rsid w:val="00CB3291"/>
    <w:rsid w:val="00CC0EE1"/>
    <w:rsid w:val="00CC1171"/>
    <w:rsid w:val="00CC494F"/>
    <w:rsid w:val="00CD0C90"/>
    <w:rsid w:val="00CD5458"/>
    <w:rsid w:val="00CD5E87"/>
    <w:rsid w:val="00CE1768"/>
    <w:rsid w:val="00CE2566"/>
    <w:rsid w:val="00CE654F"/>
    <w:rsid w:val="00CF136C"/>
    <w:rsid w:val="00CF62CC"/>
    <w:rsid w:val="00D0316F"/>
    <w:rsid w:val="00D11B66"/>
    <w:rsid w:val="00D24FC5"/>
    <w:rsid w:val="00D25107"/>
    <w:rsid w:val="00D56080"/>
    <w:rsid w:val="00D64AD4"/>
    <w:rsid w:val="00D67618"/>
    <w:rsid w:val="00D7345E"/>
    <w:rsid w:val="00D93F3E"/>
    <w:rsid w:val="00DB6652"/>
    <w:rsid w:val="00DB7ECC"/>
    <w:rsid w:val="00DD063B"/>
    <w:rsid w:val="00DE1384"/>
    <w:rsid w:val="00DF7EFD"/>
    <w:rsid w:val="00E04736"/>
    <w:rsid w:val="00E109C3"/>
    <w:rsid w:val="00E1331D"/>
    <w:rsid w:val="00E23C58"/>
    <w:rsid w:val="00E345BF"/>
    <w:rsid w:val="00E436A0"/>
    <w:rsid w:val="00E43D3F"/>
    <w:rsid w:val="00E44DA3"/>
    <w:rsid w:val="00E535CD"/>
    <w:rsid w:val="00E554B8"/>
    <w:rsid w:val="00E567C7"/>
    <w:rsid w:val="00E668AD"/>
    <w:rsid w:val="00E66D0F"/>
    <w:rsid w:val="00E821AB"/>
    <w:rsid w:val="00E82669"/>
    <w:rsid w:val="00E851C5"/>
    <w:rsid w:val="00E86004"/>
    <w:rsid w:val="00EC1873"/>
    <w:rsid w:val="00EC7BCD"/>
    <w:rsid w:val="00ED73AF"/>
    <w:rsid w:val="00F05551"/>
    <w:rsid w:val="00F16C73"/>
    <w:rsid w:val="00F26E1A"/>
    <w:rsid w:val="00F310F2"/>
    <w:rsid w:val="00F4058A"/>
    <w:rsid w:val="00F409CE"/>
    <w:rsid w:val="00F44CB6"/>
    <w:rsid w:val="00F476AB"/>
    <w:rsid w:val="00F5002B"/>
    <w:rsid w:val="00F64320"/>
    <w:rsid w:val="00F75C40"/>
    <w:rsid w:val="00F80270"/>
    <w:rsid w:val="00F81C52"/>
    <w:rsid w:val="00F82B30"/>
    <w:rsid w:val="00F84FE5"/>
    <w:rsid w:val="00FA36EC"/>
    <w:rsid w:val="00FA4E50"/>
    <w:rsid w:val="00FB6E5D"/>
    <w:rsid w:val="00FC6B2D"/>
    <w:rsid w:val="00FD0162"/>
    <w:rsid w:val="00FD097B"/>
    <w:rsid w:val="00FE0C70"/>
    <w:rsid w:val="00FE42A9"/>
    <w:rsid w:val="00FE70FE"/>
    <w:rsid w:val="00FE757B"/>
    <w:rsid w:val="00FF0FE0"/>
    <w:rsid w:val="00FF5A08"/>
    <w:rsid w:val="1001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80" w:lineRule="exact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3"/>
    <w:next w:val="1"/>
    <w:link w:val="18"/>
    <w:qFormat/>
    <w:uiPriority w:val="9"/>
    <w:pPr>
      <w:numPr>
        <w:ilvl w:val="0"/>
        <w:numId w:val="1"/>
      </w:numPr>
      <w:outlineLvl w:val="0"/>
    </w:pPr>
    <w:rPr>
      <w:rFonts w:ascii="宋体" w:hAnsi="宋体" w:eastAsia="宋体"/>
      <w:b/>
      <w:bCs/>
      <w:lang w:eastAsia="zh-TW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left="720"/>
      <w:contextualSpacing/>
    </w:pPr>
  </w:style>
  <w:style w:type="paragraph" w:styleId="4">
    <w:name w:val="annotation text"/>
    <w:basedOn w:val="1"/>
    <w:link w:val="1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5">
    <w:name w:val="Balloon Text"/>
    <w:basedOn w:val="1"/>
    <w:link w:val="15"/>
    <w:semiHidden/>
    <w:unhideWhenUsed/>
    <w:uiPriority w:val="99"/>
    <w:pPr>
      <w:spacing w:line="240" w:lineRule="auto"/>
    </w:pPr>
    <w:rPr>
      <w:rFonts w:ascii="Microsoft JhengHei UI" w:eastAsia="Microsoft JhengHei UI"/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320"/>
        <w:tab w:val="right" w:pos="8640"/>
      </w:tabs>
      <w:spacing w:line="240" w:lineRule="auto"/>
    </w:pPr>
  </w:style>
  <w:style w:type="paragraph" w:styleId="7">
    <w:name w:val="header"/>
    <w:basedOn w:val="1"/>
    <w:link w:val="16"/>
    <w:unhideWhenUsed/>
    <w:uiPriority w:val="99"/>
    <w:pPr>
      <w:tabs>
        <w:tab w:val="center" w:pos="4320"/>
        <w:tab w:val="right" w:pos="8640"/>
      </w:tabs>
      <w:spacing w:line="240" w:lineRule="auto"/>
    </w:pPr>
  </w:style>
  <w:style w:type="paragraph" w:styleId="8">
    <w:name w:val="annotation subject"/>
    <w:basedOn w:val="4"/>
    <w:next w:val="4"/>
    <w:link w:val="14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3">
    <w:name w:val="註解文字 字元"/>
    <w:basedOn w:val="11"/>
    <w:link w:val="4"/>
    <w:semiHidden/>
    <w:uiPriority w:val="99"/>
    <w:rPr>
      <w:sz w:val="20"/>
      <w:szCs w:val="20"/>
    </w:rPr>
  </w:style>
  <w:style w:type="character" w:customStyle="1" w:styleId="14">
    <w:name w:val="註解主旨 字元"/>
    <w:basedOn w:val="13"/>
    <w:link w:val="8"/>
    <w:semiHidden/>
    <w:uiPriority w:val="99"/>
    <w:rPr>
      <w:b/>
      <w:bCs/>
      <w:sz w:val="20"/>
      <w:szCs w:val="20"/>
    </w:rPr>
  </w:style>
  <w:style w:type="character" w:customStyle="1" w:styleId="15">
    <w:name w:val="註解方塊文字 字元"/>
    <w:basedOn w:val="11"/>
    <w:link w:val="5"/>
    <w:semiHidden/>
    <w:uiPriority w:val="99"/>
    <w:rPr>
      <w:rFonts w:ascii="Microsoft JhengHei UI" w:eastAsia="Microsoft JhengHei UI"/>
      <w:sz w:val="18"/>
      <w:szCs w:val="18"/>
    </w:rPr>
  </w:style>
  <w:style w:type="character" w:customStyle="1" w:styleId="16">
    <w:name w:val="頁首 字元"/>
    <w:basedOn w:val="11"/>
    <w:link w:val="7"/>
    <w:uiPriority w:val="99"/>
  </w:style>
  <w:style w:type="character" w:customStyle="1" w:styleId="17">
    <w:name w:val="頁尾 字元"/>
    <w:basedOn w:val="11"/>
    <w:link w:val="6"/>
    <w:uiPriority w:val="99"/>
  </w:style>
  <w:style w:type="character" w:customStyle="1" w:styleId="18">
    <w:name w:val="標題 1 字元"/>
    <w:basedOn w:val="11"/>
    <w:link w:val="2"/>
    <w:uiPriority w:val="9"/>
    <w:rPr>
      <w:rFonts w:ascii="宋体" w:hAnsi="宋体" w:eastAsia="宋体"/>
      <w:b/>
      <w:bCs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31B3D-7E5A-4DDC-84ED-5F9200420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957</Words>
  <Characters>5457</Characters>
  <Lines>45</Lines>
  <Paragraphs>12</Paragraphs>
  <TotalTime>109</TotalTime>
  <ScaleCrop>false</ScaleCrop>
  <LinksUpToDate>false</LinksUpToDate>
  <CharactersWithSpaces>6402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2022-04-08T15:00:00Z</dcterms:created>
  <dc:creator>yuwenkung</dc:creator>
  <cp:lastModifiedBy>聂红军</cp:lastModifiedBy>
  <dcterms:modified xsi:type="dcterms:W3CDTF">2022-04-11T00:34:25Z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