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00"/>
        <w:jc w:val="center"/>
        <w:rPr>
          <w:rFonts w:ascii="仿宋" w:hAnsi="仿宋" w:eastAsia="仿宋" w:cs="仿宋"/>
          <w:color w:val="000000"/>
          <w:spacing w:val="-12"/>
          <w:sz w:val="84"/>
          <w:szCs w:val="84"/>
        </w:rPr>
      </w:pPr>
      <w:r>
        <w:rPr>
          <w:rFonts w:hint="eastAsia" w:ascii="仿宋" w:hAnsi="仿宋" w:eastAsia="仿宋" w:cs="仿宋"/>
          <w:bCs/>
          <w:color w:val="FF0000"/>
          <w:spacing w:val="-34"/>
          <w:w w:val="85"/>
          <w:sz w:val="84"/>
          <w:szCs w:val="84"/>
          <w:lang w:val="en-US" w:eastAsia="zh-CN"/>
        </w:rPr>
        <w:t xml:space="preserve"> </w:t>
      </w:r>
      <w:r>
        <w:rPr>
          <w:rFonts w:hint="eastAsia" w:ascii="仿宋" w:hAnsi="仿宋" w:eastAsia="仿宋" w:cs="仿宋"/>
          <w:bCs/>
          <w:color w:val="FF0000"/>
          <w:spacing w:val="-34"/>
          <w:w w:val="85"/>
          <w:sz w:val="84"/>
          <w:szCs w:val="84"/>
        </w:rPr>
        <w:t>中国国际工程咨询协会</w:t>
      </w:r>
    </w:p>
    <w:p>
      <w:pPr>
        <w:adjustRightInd w:val="0"/>
        <w:snapToGrid w:val="0"/>
        <w:spacing w:line="300" w:lineRule="exact"/>
        <w:jc w:val="center"/>
        <w:rPr>
          <w:rFonts w:ascii="仿宋_GB2312" w:hAnsi="Calibri" w:eastAsia="仿宋_GB2312" w:cs="Times New Roman"/>
          <w:sz w:val="28"/>
          <w:szCs w:val="28"/>
        </w:rPr>
      </w:pPr>
      <w:r>
        <w:rPr>
          <w:rFonts w:hint="eastAsia" w:ascii="仿宋" w:hAnsi="仿宋" w:eastAsia="仿宋" w:cs="仿宋_GB2312"/>
          <w:color w:val="000000"/>
          <w:spacing w:val="-12"/>
          <w:sz w:val="28"/>
          <w:szCs w:val="28"/>
        </w:rPr>
        <w:t>国咨协［2022］</w:t>
      </w:r>
      <w:r>
        <w:rPr>
          <w:rFonts w:hint="eastAsia" w:ascii="仿宋" w:hAnsi="仿宋" w:eastAsia="仿宋" w:cs="仿宋_GB2312"/>
          <w:color w:val="000000"/>
          <w:spacing w:val="-12"/>
          <w:sz w:val="28"/>
          <w:szCs w:val="28"/>
          <w:lang w:val="en-US" w:eastAsia="zh-CN"/>
        </w:rPr>
        <w:t xml:space="preserve"> 045 </w:t>
      </w:r>
      <w:r>
        <w:rPr>
          <w:rFonts w:hint="eastAsia" w:ascii="仿宋" w:hAnsi="仿宋" w:eastAsia="仿宋" w:cs="仿宋_GB2312"/>
          <w:color w:val="000000"/>
          <w:spacing w:val="-12"/>
          <w:sz w:val="28"/>
          <w:szCs w:val="28"/>
        </w:rPr>
        <w:t>号</w:t>
      </w:r>
    </w:p>
    <w:p>
      <w:pPr>
        <w:spacing w:line="440" w:lineRule="exact"/>
        <w:rPr>
          <w:rFonts w:ascii="宋体" w:hAnsi="宋体" w:eastAsia="宋体" w:cs="微软雅黑"/>
          <w:sz w:val="32"/>
          <w:szCs w:val="32"/>
        </w:rPr>
      </w:pPr>
      <w:r>
        <w:rPr>
          <w:rFonts w:ascii="楷体" w:hAnsi="楷体" w:eastAsia="楷体" w:cs="宋体"/>
          <w:color w:val="000000"/>
          <w:sz w:val="32"/>
          <w:szCs w:val="32"/>
        </w:rPr>
        <mc:AlternateContent>
          <mc:Choice Requires="wps">
            <w:drawing>
              <wp:anchor distT="0" distB="0" distL="114300" distR="114300" simplePos="0" relativeHeight="251659264" behindDoc="0" locked="0" layoutInCell="1" allowOverlap="1">
                <wp:simplePos x="0" y="0"/>
                <wp:positionH relativeFrom="margin">
                  <wp:posOffset>284480</wp:posOffset>
                </wp:positionH>
                <wp:positionV relativeFrom="paragraph">
                  <wp:posOffset>73025</wp:posOffset>
                </wp:positionV>
                <wp:extent cx="5281930" cy="0"/>
                <wp:effectExtent l="0" t="13970" r="1270" b="19050"/>
                <wp:wrapNone/>
                <wp:docPr id="3" name="直接连接符 1"/>
                <wp:cNvGraphicFramePr/>
                <a:graphic xmlns:a="http://schemas.openxmlformats.org/drawingml/2006/main">
                  <a:graphicData uri="http://schemas.microsoft.com/office/word/2010/wordprocessingShape">
                    <wps:wsp>
                      <wps:cNvCnPr/>
                      <wps:spPr>
                        <a:xfrm>
                          <a:off x="0" y="0"/>
                          <a:ext cx="5281684" cy="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margin-left:22.4pt;margin-top:5.75pt;height:0pt;width:415.9pt;mso-position-horizontal-relative:margin;z-index:251659264;mso-width-relative:page;mso-height-relative:page;" filled="f" stroked="t" coordsize="21600,21600" o:gfxdata="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0wH2zWAAAACAEAAA8AAAAAAAAAAQAgAAAAIgAAAGRycy9kb3ducmV2LnhtbFBLAQIU&#10;ABQAAAAIAIdO4kCNGpYw9QEAAOcDAAAOAAAAAAAAAAEAIAAAACUBAABkcnMvZTJvRG9jLnhtbFBL&#10;BQYAAAAABgAGAFkBAACMBQAAAAA=&#10;">
                <v:fill on="f" focussize="0,0"/>
                <v:stroke weight="2.25pt" color="#FF0000" joinstyle="round"/>
                <v:imagedata o:title=""/>
                <o:lock v:ext="edit" aspectratio="f"/>
              </v:line>
            </w:pict>
          </mc:Fallback>
        </mc:AlternateContent>
      </w:r>
    </w:p>
    <w:p>
      <w:pPr>
        <w:jc w:val="center"/>
        <w:rPr>
          <w:rFonts w:hint="eastAsia" w:ascii="仿宋" w:hAnsi="仿宋" w:eastAsia="仿宋" w:cs="仿宋"/>
          <w:b/>
          <w:bCs/>
          <w:sz w:val="36"/>
          <w:szCs w:val="36"/>
        </w:rPr>
      </w:pPr>
      <w:r>
        <w:rPr>
          <w:rFonts w:hint="eastAsia" w:ascii="黑体" w:hAnsi="黑体" w:eastAsia="黑体"/>
          <w:b/>
          <w:bCs/>
          <w:sz w:val="36"/>
          <w:szCs w:val="36"/>
          <w:lang w:val="en-US" w:eastAsia="zh-CN"/>
        </w:rPr>
        <w:t xml:space="preserve"> </w:t>
      </w:r>
      <w:r>
        <w:rPr>
          <w:rFonts w:hint="eastAsia" w:ascii="仿宋" w:hAnsi="仿宋" w:eastAsia="仿宋" w:cs="仿宋"/>
          <w:b/>
          <w:bCs/>
          <w:sz w:val="36"/>
          <w:szCs w:val="36"/>
        </w:rPr>
        <w:t>关于开展企业</w:t>
      </w:r>
      <w:r>
        <w:rPr>
          <w:rFonts w:hint="eastAsia" w:ascii="仿宋" w:hAnsi="仿宋" w:eastAsia="仿宋" w:cs="仿宋"/>
          <w:b/>
          <w:bCs/>
          <w:sz w:val="36"/>
          <w:szCs w:val="36"/>
          <w:lang w:eastAsia="zh-CN"/>
        </w:rPr>
        <w:t>合规经营与</w:t>
      </w:r>
      <w:r>
        <w:rPr>
          <w:rFonts w:hint="eastAsia" w:ascii="仿宋" w:hAnsi="仿宋" w:eastAsia="仿宋" w:cs="仿宋"/>
          <w:b/>
          <w:bCs/>
          <w:sz w:val="36"/>
          <w:szCs w:val="36"/>
        </w:rPr>
        <w:t>责任追究专业人才培训的通知</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各有关单位：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自</w:t>
      </w:r>
      <w:r>
        <w:rPr>
          <w:rFonts w:hint="eastAsia" w:ascii="仿宋" w:hAnsi="仿宋" w:eastAsia="仿宋" w:cs="仿宋"/>
          <w:sz w:val="28"/>
          <w:szCs w:val="28"/>
        </w:rPr>
        <w:t>2020年3月,最高人民检察院在上海浦东、金山</w:t>
      </w:r>
      <w:r>
        <w:rPr>
          <w:rFonts w:hint="eastAsia" w:ascii="仿宋" w:hAnsi="仿宋" w:eastAsia="仿宋" w:cs="仿宋"/>
          <w:sz w:val="28"/>
          <w:szCs w:val="28"/>
          <w:lang w:eastAsia="zh-CN"/>
        </w:rPr>
        <w:t>、</w:t>
      </w:r>
      <w:r>
        <w:rPr>
          <w:rFonts w:hint="eastAsia" w:ascii="仿宋" w:hAnsi="仿宋" w:eastAsia="仿宋" w:cs="仿宋"/>
          <w:sz w:val="28"/>
          <w:szCs w:val="28"/>
        </w:rPr>
        <w:t>江苏张家港等6家基层检察院开展企业合规改革第一期试点工作以来。企业合规工作愈发受到各地党委政府和社会各界的高度认可和支持。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近期，国务院国资委印发了“关于做好2022年中央企业违规经营投资责任追究工作的通知（国资厅发监责〔2022〕7号）”，提出了中央企业还存在不敢追责、不愿追责、不会追责的“三不”问题，通过责任追究发挥“治已病、防未病”作用还不到位，责任追究队伍的力量配备和业务能力还有待进一步提升的问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为深入贯彻习近平总书记重要指示批示精神，</w:t>
      </w:r>
      <w:r>
        <w:rPr>
          <w:rFonts w:hint="eastAsia" w:ascii="仿宋" w:hAnsi="仿宋" w:eastAsia="仿宋" w:cs="仿宋"/>
          <w:color w:val="auto"/>
          <w:sz w:val="28"/>
          <w:szCs w:val="28"/>
          <w:lang w:val="en-US" w:eastAsia="zh-CN"/>
        </w:rPr>
        <w:t>顺应当前企业合规发展潮流和企业国际化经营的需求，</w:t>
      </w:r>
      <w:r>
        <w:rPr>
          <w:rFonts w:hint="eastAsia" w:ascii="仿宋" w:hAnsi="仿宋" w:eastAsia="仿宋" w:cs="仿宋"/>
          <w:color w:val="auto"/>
          <w:sz w:val="28"/>
          <w:szCs w:val="28"/>
        </w:rPr>
        <w:t>指导中央企业扎实做好2022 年违规经营投资责任追究工作</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培养具备企业合规经营管理综合能力的复合型人才，着力推动我国企业合规体系建设，提升企业合规水平。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中国国际工程咨询协会决定</w:t>
      </w:r>
      <w:r>
        <w:rPr>
          <w:rFonts w:hint="eastAsia" w:ascii="仿宋" w:hAnsi="仿宋" w:eastAsia="仿宋" w:cs="仿宋"/>
          <w:color w:val="auto"/>
          <w:sz w:val="28"/>
          <w:szCs w:val="28"/>
        </w:rPr>
        <w:t>开展企业</w:t>
      </w:r>
      <w:r>
        <w:rPr>
          <w:rFonts w:hint="eastAsia" w:ascii="仿宋" w:hAnsi="仿宋" w:eastAsia="仿宋" w:cs="仿宋"/>
          <w:color w:val="auto"/>
          <w:sz w:val="28"/>
          <w:szCs w:val="28"/>
          <w:lang w:eastAsia="zh-CN"/>
        </w:rPr>
        <w:t>合规经营与</w:t>
      </w:r>
      <w:r>
        <w:rPr>
          <w:rFonts w:hint="eastAsia" w:ascii="仿宋" w:hAnsi="仿宋" w:eastAsia="仿宋" w:cs="仿宋"/>
          <w:color w:val="auto"/>
          <w:sz w:val="28"/>
          <w:szCs w:val="28"/>
        </w:rPr>
        <w:t>责任追究专业人才培训</w:t>
      </w:r>
      <w:r>
        <w:rPr>
          <w:rFonts w:hint="eastAsia" w:ascii="仿宋" w:hAnsi="仿宋" w:eastAsia="仿宋" w:cs="仿宋"/>
          <w:color w:val="auto"/>
          <w:sz w:val="28"/>
          <w:szCs w:val="28"/>
          <w:lang w:val="en-US" w:eastAsia="zh-CN"/>
        </w:rPr>
        <w:t>的通知</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一、培训目的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深入贯彻党</w:t>
      </w:r>
      <w:r>
        <w:rPr>
          <w:rFonts w:hint="eastAsia" w:ascii="仿宋" w:hAnsi="仿宋" w:eastAsia="仿宋" w:cs="仿宋"/>
          <w:color w:val="auto"/>
          <w:sz w:val="28"/>
          <w:szCs w:val="28"/>
          <w:lang w:eastAsia="zh-CN"/>
        </w:rPr>
        <w:t>落实</w:t>
      </w:r>
      <w:r>
        <w:rPr>
          <w:rFonts w:hint="eastAsia" w:ascii="仿宋" w:hAnsi="仿宋" w:eastAsia="仿宋" w:cs="仿宋"/>
          <w:color w:val="auto"/>
          <w:sz w:val="28"/>
          <w:szCs w:val="28"/>
        </w:rPr>
        <w:t>中央、国务院关于加强国有企业违规经营投资责任追究的决策部署，全面落实国企改革三年行动任务分工，建立全覆盖的出资人违规责任追究工作体系，为做强做优做大国有资本和国有企业，促进中央企业依法合规经营和高质量发展提供坚实保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二、培训对象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 xml:space="preserve">1.企业各级管理人员、风险管理人员、法务人员等；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2.政府有关部门、事业单位和高等院校和科研机构的中层合规管理人员；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3.注册会计师事务所、税务所、金融、保险、证券等单位的管理人员；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4.从事会计、审计、税务、财务、金融等相关职业的有关人员。</w:t>
      </w:r>
    </w:p>
    <w:p>
      <w:pPr>
        <w:pStyle w:val="2"/>
        <w:ind w:left="0" w:leftChars="0" w:firstLine="0" w:firstLineChars="0"/>
        <w:rPr>
          <w:rFonts w:hint="eastAsia" w:ascii="仿宋" w:hAnsi="仿宋" w:eastAsia="仿宋" w:cs="仿宋"/>
          <w:sz w:val="28"/>
          <w:szCs w:val="28"/>
        </w:rPr>
      </w:pPr>
      <w:r>
        <w:rPr>
          <w:rFonts w:hint="eastAsia" w:ascii="仿宋" w:hAnsi="仿宋" w:eastAsia="仿宋" w:cs="仿宋"/>
          <w:b/>
          <w:bCs/>
          <w:sz w:val="28"/>
          <w:szCs w:val="28"/>
          <w:lang w:eastAsia="zh-CN"/>
        </w:rPr>
        <w:t>三</w:t>
      </w:r>
      <w:r>
        <w:rPr>
          <w:rFonts w:hint="eastAsia" w:ascii="仿宋" w:hAnsi="仿宋" w:eastAsia="仿宋" w:cs="仿宋"/>
          <w:b/>
          <w:bCs/>
          <w:sz w:val="28"/>
          <w:szCs w:val="28"/>
        </w:rPr>
        <w:t>、课程设置</w:t>
      </w:r>
    </w:p>
    <w:tbl>
      <w:tblPr>
        <w:tblStyle w:val="11"/>
        <w:tblpPr w:leftFromText="180" w:rightFromText="180" w:vertAnchor="text" w:horzAnchor="page" w:tblpX="1498" w:tblpY="2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6"/>
        <w:gridCol w:w="6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916" w:type="dxa"/>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center"/>
              <w:textAlignment w:val="auto"/>
              <w:rPr>
                <w:rFonts w:hint="eastAsia" w:ascii="仿宋" w:hAnsi="仿宋" w:eastAsia="仿宋" w:cs="仿宋"/>
                <w:b/>
                <w:bCs/>
                <w:color w:val="auto"/>
                <w:kern w:val="0"/>
                <w:sz w:val="28"/>
                <w:szCs w:val="28"/>
                <w:vertAlign w:val="baseline"/>
                <w:lang w:val="en-US" w:eastAsia="zh-CN" w:bidi="ar-SA"/>
              </w:rPr>
            </w:pPr>
            <w:r>
              <w:rPr>
                <w:rFonts w:hint="eastAsia" w:ascii="仿宋" w:hAnsi="仿宋" w:eastAsia="仿宋" w:cs="仿宋"/>
                <w:b/>
                <w:bCs/>
                <w:color w:val="auto"/>
                <w:kern w:val="0"/>
                <w:sz w:val="28"/>
                <w:szCs w:val="28"/>
                <w:vertAlign w:val="baseline"/>
                <w:lang w:val="en-US" w:eastAsia="zh-CN" w:bidi="ar-SA"/>
              </w:rPr>
              <w:t>政策解读</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center"/>
              <w:textAlignment w:val="auto"/>
              <w:rPr>
                <w:rFonts w:hint="eastAsia" w:ascii="仿宋" w:hAnsi="仿宋" w:eastAsia="仿宋" w:cs="仿宋"/>
                <w:b/>
                <w:bCs/>
                <w:color w:val="auto"/>
                <w:kern w:val="0"/>
                <w:sz w:val="28"/>
                <w:szCs w:val="28"/>
                <w:vertAlign w:val="baseline"/>
                <w:lang w:val="en-US" w:eastAsia="zh-CN" w:bidi="ar-SA"/>
              </w:rPr>
            </w:pPr>
          </w:p>
        </w:tc>
        <w:tc>
          <w:tcPr>
            <w:tcW w:w="6139" w:type="dxa"/>
          </w:tcPr>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auto"/>
                <w:kern w:val="0"/>
                <w:sz w:val="28"/>
                <w:szCs w:val="28"/>
                <w:vertAlign w:val="baseline"/>
                <w:lang w:val="en-US" w:eastAsia="zh-CN" w:bidi="ar-SA"/>
              </w:rPr>
            </w:pPr>
            <w:r>
              <w:rPr>
                <w:rFonts w:hint="eastAsia" w:ascii="仿宋" w:hAnsi="仿宋" w:eastAsia="仿宋" w:cs="仿宋"/>
                <w:b w:val="0"/>
                <w:bCs w:val="0"/>
                <w:color w:val="auto"/>
                <w:kern w:val="0"/>
                <w:sz w:val="28"/>
                <w:szCs w:val="28"/>
                <w:vertAlign w:val="baseline"/>
                <w:lang w:val="en-US" w:eastAsia="zh-CN" w:bidi="ar-SA"/>
              </w:rPr>
              <w:t>1.关于做好2022年中央企业违规经营投资责任追究工作的通知（国资厅发监责〔2022〕7号）重点解读；</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auto"/>
                <w:kern w:val="0"/>
                <w:sz w:val="28"/>
                <w:szCs w:val="28"/>
                <w:vertAlign w:val="baseline"/>
                <w:lang w:val="en-US" w:eastAsia="zh-CN" w:bidi="ar-SA"/>
              </w:rPr>
            </w:pPr>
            <w:r>
              <w:rPr>
                <w:rFonts w:hint="eastAsia" w:ascii="仿宋" w:hAnsi="仿宋" w:eastAsia="仿宋" w:cs="仿宋"/>
                <w:b w:val="0"/>
                <w:bCs w:val="0"/>
                <w:color w:val="auto"/>
                <w:kern w:val="0"/>
                <w:sz w:val="28"/>
                <w:szCs w:val="28"/>
                <w:vertAlign w:val="baseline"/>
                <w:lang w:val="en-US" w:eastAsia="zh-CN" w:bidi="ar-SA"/>
              </w:rPr>
              <w:t>2.《中央企业重大经营风险事件报告工作规则》重点解读；</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auto"/>
                <w:kern w:val="0"/>
                <w:sz w:val="28"/>
                <w:szCs w:val="28"/>
                <w:vertAlign w:val="baseline"/>
                <w:lang w:val="en-US" w:eastAsia="zh-CN" w:bidi="ar-SA"/>
              </w:rPr>
            </w:pPr>
            <w:r>
              <w:rPr>
                <w:rFonts w:hint="eastAsia" w:ascii="仿宋" w:hAnsi="仿宋" w:eastAsia="仿宋" w:cs="仿宋"/>
                <w:b w:val="0"/>
                <w:bCs w:val="0"/>
                <w:color w:val="auto"/>
                <w:kern w:val="0"/>
                <w:sz w:val="28"/>
                <w:szCs w:val="28"/>
                <w:vertAlign w:val="baseline"/>
                <w:lang w:val="en-US" w:eastAsia="zh-CN" w:bidi="ar-SA"/>
              </w:rPr>
              <w:t>3.《关于进一步深化法治央企建设的意见》重点解读；</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bCs/>
                <w:color w:val="auto"/>
                <w:kern w:val="0"/>
                <w:sz w:val="28"/>
                <w:szCs w:val="28"/>
                <w:vertAlign w:val="baseline"/>
                <w:lang w:val="en-US" w:eastAsia="zh-CN" w:bidi="ar-SA"/>
              </w:rPr>
            </w:pPr>
            <w:r>
              <w:rPr>
                <w:rFonts w:hint="eastAsia" w:ascii="仿宋" w:hAnsi="仿宋" w:eastAsia="仿宋" w:cs="仿宋"/>
                <w:b w:val="0"/>
                <w:bCs w:val="0"/>
                <w:color w:val="auto"/>
                <w:kern w:val="0"/>
                <w:sz w:val="28"/>
                <w:szCs w:val="28"/>
                <w:vertAlign w:val="baseline"/>
                <w:lang w:val="en-US" w:eastAsia="zh-CN" w:bidi="ar-SA"/>
              </w:rPr>
              <w:t>4.《中央企业合规管理指引（试行）》重点解读；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1" w:hRule="atLeast"/>
        </w:trPr>
        <w:tc>
          <w:tcPr>
            <w:tcW w:w="2916" w:type="dxa"/>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center"/>
              <w:textAlignment w:val="auto"/>
              <w:rPr>
                <w:rFonts w:hint="eastAsia" w:ascii="仿宋" w:hAnsi="仿宋" w:eastAsia="仿宋" w:cs="仿宋"/>
                <w:b/>
                <w:bCs/>
                <w:color w:val="000000"/>
                <w:kern w:val="0"/>
                <w:sz w:val="28"/>
                <w:szCs w:val="28"/>
                <w:vertAlign w:val="baseline"/>
                <w:lang w:val="en-US" w:eastAsia="zh-CN" w:bidi="ar-SA"/>
              </w:rPr>
            </w:pPr>
            <w:r>
              <w:rPr>
                <w:rFonts w:hint="eastAsia" w:ascii="仿宋" w:hAnsi="仿宋" w:eastAsia="仿宋" w:cs="仿宋"/>
                <w:b/>
                <w:bCs/>
                <w:color w:val="000000"/>
                <w:kern w:val="0"/>
                <w:sz w:val="28"/>
                <w:szCs w:val="28"/>
                <w:vertAlign w:val="baseline"/>
                <w:lang w:val="en-US" w:eastAsia="zh-CN" w:bidi="ar-SA"/>
              </w:rPr>
              <w:t>企业合规相关法规</w:t>
            </w:r>
          </w:p>
        </w:tc>
        <w:tc>
          <w:tcPr>
            <w:tcW w:w="6139" w:type="dxa"/>
          </w:tcPr>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1.公司运营中的法律风险防范</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2.合同法律风险防范</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3.企业投融资中的法律风险防范</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4.企业劳动用工法律风险防范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bCs/>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5.涉外合同中的法律风险防范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6" w:type="dxa"/>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center"/>
              <w:textAlignment w:val="auto"/>
              <w:rPr>
                <w:rFonts w:hint="eastAsia" w:ascii="仿宋" w:hAnsi="仿宋" w:eastAsia="仿宋" w:cs="仿宋"/>
                <w:b/>
                <w:bCs/>
                <w:color w:val="000000"/>
                <w:kern w:val="0"/>
                <w:sz w:val="28"/>
                <w:szCs w:val="28"/>
                <w:vertAlign w:val="baseline"/>
                <w:lang w:val="en-US" w:eastAsia="zh-CN" w:bidi="ar-SA"/>
              </w:rPr>
            </w:pPr>
            <w:r>
              <w:rPr>
                <w:rFonts w:hint="eastAsia" w:ascii="仿宋" w:hAnsi="仿宋" w:eastAsia="仿宋" w:cs="仿宋"/>
                <w:b/>
                <w:bCs/>
                <w:color w:val="000000"/>
                <w:kern w:val="0"/>
                <w:sz w:val="28"/>
                <w:szCs w:val="28"/>
                <w:vertAlign w:val="baseline"/>
                <w:lang w:val="en-US" w:eastAsia="zh-CN" w:bidi="ar-SA"/>
              </w:rPr>
              <w:t>合规管理</w:t>
            </w:r>
          </w:p>
        </w:tc>
        <w:tc>
          <w:tcPr>
            <w:tcW w:w="6139" w:type="dxa"/>
          </w:tcPr>
          <w:p>
            <w:pPr>
              <w:pStyle w:val="9"/>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合规风险的识别、监控与应对</w:t>
            </w:r>
          </w:p>
          <w:p>
            <w:pPr>
              <w:pStyle w:val="9"/>
              <w:keepNext w:val="0"/>
              <w:keepLines w:val="0"/>
              <w:pageBreakBefore w:val="0"/>
              <w:widowControl/>
              <w:numPr>
                <w:ilvl w:val="0"/>
                <w:numId w:val="1"/>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合规审查机制</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bCs/>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3.合规检查机制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6" w:type="dxa"/>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center"/>
              <w:textAlignment w:val="auto"/>
              <w:rPr>
                <w:rFonts w:hint="eastAsia" w:ascii="仿宋" w:hAnsi="仿宋" w:eastAsia="仿宋" w:cs="仿宋"/>
                <w:b/>
                <w:bCs/>
                <w:color w:val="000000"/>
                <w:kern w:val="0"/>
                <w:sz w:val="28"/>
                <w:szCs w:val="28"/>
                <w:vertAlign w:val="baseline"/>
                <w:lang w:val="en-US" w:eastAsia="zh-CN" w:bidi="ar-SA"/>
              </w:rPr>
            </w:pPr>
            <w:r>
              <w:rPr>
                <w:rFonts w:hint="eastAsia" w:ascii="仿宋" w:hAnsi="仿宋" w:eastAsia="仿宋" w:cs="仿宋"/>
                <w:b/>
                <w:bCs/>
                <w:color w:val="000000"/>
                <w:kern w:val="0"/>
                <w:sz w:val="28"/>
                <w:szCs w:val="28"/>
                <w:vertAlign w:val="baseline"/>
                <w:lang w:val="en-US" w:eastAsia="zh-CN" w:bidi="ar-SA"/>
              </w:rPr>
              <w:t>内部控制</w:t>
            </w:r>
          </w:p>
        </w:tc>
        <w:tc>
          <w:tcPr>
            <w:tcW w:w="6139" w:type="dxa"/>
          </w:tcPr>
          <w:p>
            <w:pPr>
              <w:pStyle w:val="9"/>
              <w:keepNext w:val="0"/>
              <w:keepLines w:val="0"/>
              <w:pageBreakBefore w:val="0"/>
              <w:widowControl/>
              <w:numPr>
                <w:ilvl w:val="0"/>
                <w:numId w:val="2"/>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内部控制基础概述</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bCs/>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2.企业内部控制的具体指引及应用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6" w:type="dxa"/>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center"/>
              <w:textAlignment w:val="auto"/>
              <w:rPr>
                <w:rFonts w:hint="eastAsia" w:ascii="仿宋" w:hAnsi="仿宋" w:eastAsia="仿宋" w:cs="仿宋"/>
                <w:b/>
                <w:bCs/>
                <w:color w:val="000000"/>
                <w:kern w:val="0"/>
                <w:sz w:val="28"/>
                <w:szCs w:val="28"/>
                <w:vertAlign w:val="baseline"/>
                <w:lang w:val="en-US" w:eastAsia="zh-CN" w:bidi="ar-SA"/>
              </w:rPr>
            </w:pPr>
            <w:r>
              <w:rPr>
                <w:rFonts w:hint="eastAsia" w:ascii="仿宋" w:hAnsi="仿宋" w:eastAsia="仿宋" w:cs="仿宋"/>
                <w:b/>
                <w:bCs/>
                <w:color w:val="000000"/>
                <w:kern w:val="0"/>
                <w:sz w:val="28"/>
                <w:szCs w:val="28"/>
                <w:vertAlign w:val="baseline"/>
                <w:lang w:val="en-US" w:eastAsia="zh-CN" w:bidi="ar-SA"/>
              </w:rPr>
              <w:t>全面风险管理</w:t>
            </w:r>
          </w:p>
        </w:tc>
        <w:tc>
          <w:tcPr>
            <w:tcW w:w="6139" w:type="dxa"/>
          </w:tcPr>
          <w:p>
            <w:pPr>
              <w:pStyle w:val="9"/>
              <w:keepNext w:val="0"/>
              <w:keepLines w:val="0"/>
              <w:pageBreakBefore w:val="0"/>
              <w:widowControl/>
              <w:numPr>
                <w:ilvl w:val="0"/>
                <w:numId w:val="3"/>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风险与风险管理</w:t>
            </w:r>
          </w:p>
          <w:p>
            <w:pPr>
              <w:pStyle w:val="9"/>
              <w:keepNext w:val="0"/>
              <w:keepLines w:val="0"/>
              <w:pageBreakBefore w:val="0"/>
              <w:widowControl/>
              <w:numPr>
                <w:ilvl w:val="0"/>
                <w:numId w:val="3"/>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企业风险评估</w:t>
            </w:r>
          </w:p>
          <w:p>
            <w:pPr>
              <w:pStyle w:val="9"/>
              <w:keepNext w:val="0"/>
              <w:keepLines w:val="0"/>
              <w:pageBreakBefore w:val="0"/>
              <w:widowControl/>
              <w:numPr>
                <w:ilvl w:val="0"/>
                <w:numId w:val="3"/>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企业风险管理及应用</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bCs/>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4.企业全面风险管理综合案例分析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2916" w:type="dxa"/>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center"/>
              <w:textAlignment w:val="auto"/>
              <w:rPr>
                <w:rFonts w:hint="eastAsia" w:ascii="仿宋" w:hAnsi="仿宋" w:eastAsia="仿宋" w:cs="仿宋"/>
                <w:b/>
                <w:bCs/>
                <w:color w:val="000000"/>
                <w:kern w:val="0"/>
                <w:sz w:val="28"/>
                <w:szCs w:val="28"/>
                <w:vertAlign w:val="baseli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firstLine="560" w:firstLineChars="200"/>
              <w:jc w:val="center"/>
              <w:textAlignment w:val="auto"/>
              <w:rPr>
                <w:rFonts w:hint="eastAsia" w:ascii="仿宋" w:hAnsi="仿宋" w:eastAsia="仿宋" w:cs="仿宋"/>
                <w:b/>
                <w:bCs/>
                <w:color w:val="000000"/>
                <w:kern w:val="0"/>
                <w:sz w:val="28"/>
                <w:szCs w:val="28"/>
                <w:vertAlign w:val="baseline"/>
                <w:lang w:val="en-US" w:eastAsia="zh-CN" w:bidi="ar-SA"/>
              </w:rPr>
            </w:pPr>
            <w:r>
              <w:rPr>
                <w:rFonts w:hint="eastAsia" w:ascii="仿宋" w:hAnsi="仿宋" w:eastAsia="仿宋" w:cs="仿宋"/>
                <w:b/>
                <w:bCs/>
                <w:color w:val="000000"/>
                <w:kern w:val="0"/>
                <w:sz w:val="28"/>
                <w:szCs w:val="28"/>
                <w:vertAlign w:val="baseline"/>
                <w:lang w:val="en-US" w:eastAsia="zh-CN" w:bidi="ar-SA"/>
              </w:rPr>
              <w:t>内部审计</w:t>
            </w:r>
          </w:p>
        </w:tc>
        <w:tc>
          <w:tcPr>
            <w:tcW w:w="6139" w:type="dxa"/>
          </w:tcPr>
          <w:p>
            <w:pPr>
              <w:pStyle w:val="9"/>
              <w:keepNext w:val="0"/>
              <w:keepLines w:val="0"/>
              <w:pageBreakBefore w:val="0"/>
              <w:widowControl/>
              <w:numPr>
                <w:ilvl w:val="0"/>
                <w:numId w:val="4"/>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内部审计的本质</w:t>
            </w:r>
          </w:p>
          <w:p>
            <w:pPr>
              <w:pStyle w:val="9"/>
              <w:keepNext w:val="0"/>
              <w:keepLines w:val="0"/>
              <w:pageBreakBefore w:val="0"/>
              <w:widowControl/>
              <w:numPr>
                <w:ilvl w:val="0"/>
                <w:numId w:val="4"/>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内部审计对内部控制的评价</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bCs/>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3.内部审计对企业风险管理的评价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2916" w:type="dxa"/>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center"/>
              <w:textAlignment w:val="auto"/>
              <w:rPr>
                <w:rFonts w:hint="eastAsia" w:ascii="仿宋" w:hAnsi="仿宋" w:eastAsia="仿宋" w:cs="仿宋"/>
                <w:b/>
                <w:bCs/>
                <w:color w:val="000000"/>
                <w:kern w:val="0"/>
                <w:sz w:val="28"/>
                <w:szCs w:val="28"/>
                <w:vertAlign w:val="baseline"/>
                <w:lang w:val="en-US" w:eastAsia="zh-CN" w:bidi="ar-SA"/>
              </w:rPr>
            </w:pPr>
            <w:r>
              <w:rPr>
                <w:rFonts w:hint="eastAsia" w:ascii="仿宋" w:hAnsi="仿宋" w:eastAsia="仿宋" w:cs="仿宋"/>
                <w:b/>
                <w:bCs/>
                <w:color w:val="000000"/>
                <w:kern w:val="0"/>
                <w:sz w:val="28"/>
                <w:szCs w:val="28"/>
                <w:vertAlign w:val="baseline"/>
                <w:lang w:val="en-US" w:eastAsia="zh-CN" w:bidi="ar-SA"/>
              </w:rPr>
              <w:t>内部合规运营管理</w:t>
            </w:r>
          </w:p>
        </w:tc>
        <w:tc>
          <w:tcPr>
            <w:tcW w:w="6139" w:type="dxa"/>
          </w:tcPr>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1.如何认识企业内部的合规管理</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2.合规管理制度体系的构建</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3.合规管理制度设计与合规风险识别</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4.合规审核的精细化管理</w:t>
            </w: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5.合规宣传与合规培训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2916" w:type="dxa"/>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center"/>
              <w:textAlignment w:val="auto"/>
              <w:rPr>
                <w:rFonts w:hint="eastAsia" w:ascii="仿宋" w:hAnsi="仿宋" w:eastAsia="仿宋" w:cs="仿宋"/>
                <w:b/>
                <w:bCs/>
                <w:color w:val="000000"/>
                <w:kern w:val="0"/>
                <w:sz w:val="28"/>
                <w:szCs w:val="28"/>
                <w:vertAlign w:val="baseli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center"/>
              <w:textAlignment w:val="auto"/>
              <w:rPr>
                <w:rFonts w:hint="eastAsia" w:ascii="仿宋" w:hAnsi="仿宋" w:eastAsia="仿宋" w:cs="仿宋"/>
                <w:b/>
                <w:bCs/>
                <w:color w:val="000000"/>
                <w:kern w:val="0"/>
                <w:sz w:val="28"/>
                <w:szCs w:val="28"/>
                <w:vertAlign w:val="baseline"/>
                <w:lang w:val="en-US" w:eastAsia="zh-CN" w:bidi="ar-SA"/>
              </w:rPr>
            </w:pPr>
            <w:r>
              <w:rPr>
                <w:rFonts w:hint="eastAsia" w:ascii="仿宋" w:hAnsi="仿宋" w:eastAsia="仿宋" w:cs="仿宋"/>
                <w:b/>
                <w:bCs/>
                <w:color w:val="000000"/>
                <w:kern w:val="0"/>
                <w:sz w:val="28"/>
                <w:szCs w:val="28"/>
                <w:vertAlign w:val="baseline"/>
                <w:lang w:val="en-US" w:eastAsia="zh-CN" w:bidi="ar-SA"/>
              </w:rPr>
              <w:t>合规管理体系构建</w:t>
            </w:r>
          </w:p>
        </w:tc>
        <w:tc>
          <w:tcPr>
            <w:tcW w:w="6139" w:type="dxa"/>
          </w:tcPr>
          <w:p>
            <w:pPr>
              <w:pStyle w:val="9"/>
              <w:keepNext w:val="0"/>
              <w:keepLines w:val="0"/>
              <w:pageBreakBefore w:val="0"/>
              <w:widowControl/>
              <w:numPr>
                <w:ilvl w:val="0"/>
                <w:numId w:val="5"/>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合规管理体系基本构成</w:t>
            </w:r>
          </w:p>
          <w:p>
            <w:pPr>
              <w:pStyle w:val="9"/>
              <w:keepNext w:val="0"/>
              <w:keepLines w:val="0"/>
              <w:pageBreakBefore w:val="0"/>
              <w:widowControl/>
              <w:numPr>
                <w:ilvl w:val="0"/>
                <w:numId w:val="5"/>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合规管理体系的构建</w:t>
            </w:r>
          </w:p>
          <w:p>
            <w:pPr>
              <w:pStyle w:val="9"/>
              <w:keepNext w:val="0"/>
              <w:keepLines w:val="0"/>
              <w:pageBreakBefore w:val="0"/>
              <w:widowControl/>
              <w:numPr>
                <w:ilvl w:val="0"/>
                <w:numId w:val="5"/>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合规体系实例样态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2916" w:type="dxa"/>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center"/>
              <w:textAlignment w:val="auto"/>
              <w:rPr>
                <w:rFonts w:hint="eastAsia" w:ascii="仿宋" w:hAnsi="仿宋" w:eastAsia="仿宋" w:cs="仿宋"/>
                <w:b/>
                <w:bCs/>
                <w:color w:val="000000"/>
                <w:kern w:val="0"/>
                <w:sz w:val="28"/>
                <w:szCs w:val="28"/>
                <w:vertAlign w:val="baseli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center"/>
              <w:textAlignment w:val="auto"/>
              <w:rPr>
                <w:rFonts w:hint="eastAsia" w:ascii="仿宋" w:hAnsi="仿宋" w:eastAsia="仿宋" w:cs="仿宋"/>
                <w:b/>
                <w:bCs/>
                <w:color w:val="000000"/>
                <w:kern w:val="0"/>
                <w:sz w:val="28"/>
                <w:szCs w:val="28"/>
                <w:vertAlign w:val="baseline"/>
                <w:lang w:val="en-US" w:eastAsia="zh-CN" w:bidi="ar-SA"/>
              </w:rPr>
            </w:pPr>
            <w:r>
              <w:rPr>
                <w:rFonts w:hint="eastAsia" w:ascii="仿宋" w:hAnsi="仿宋" w:eastAsia="仿宋" w:cs="仿宋"/>
                <w:b/>
                <w:bCs/>
                <w:color w:val="000000"/>
                <w:kern w:val="0"/>
                <w:sz w:val="28"/>
                <w:szCs w:val="28"/>
                <w:vertAlign w:val="baseline"/>
                <w:lang w:val="en-US" w:eastAsia="zh-CN" w:bidi="ar-SA"/>
              </w:rPr>
              <w:t>合规评价与结果应用</w:t>
            </w:r>
          </w:p>
        </w:tc>
        <w:tc>
          <w:tcPr>
            <w:tcW w:w="6139" w:type="dxa"/>
          </w:tcPr>
          <w:p>
            <w:pPr>
              <w:pStyle w:val="9"/>
              <w:keepNext w:val="0"/>
              <w:keepLines w:val="0"/>
              <w:pageBreakBefore w:val="0"/>
              <w:widowControl/>
              <w:numPr>
                <w:ilvl w:val="0"/>
                <w:numId w:val="6"/>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合规评价的实施与应用</w:t>
            </w:r>
          </w:p>
          <w:p>
            <w:pPr>
              <w:pStyle w:val="9"/>
              <w:keepNext w:val="0"/>
              <w:keepLines w:val="0"/>
              <w:pageBreakBefore w:val="0"/>
              <w:widowControl/>
              <w:numPr>
                <w:ilvl w:val="0"/>
                <w:numId w:val="6"/>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合规考核机制与指标设定</w:t>
            </w:r>
          </w:p>
          <w:p>
            <w:pPr>
              <w:pStyle w:val="9"/>
              <w:keepNext w:val="0"/>
              <w:keepLines w:val="0"/>
              <w:pageBreakBefore w:val="0"/>
              <w:widowControl/>
              <w:numPr>
                <w:ilvl w:val="0"/>
                <w:numId w:val="6"/>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合规行为的调查与处理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2916" w:type="dxa"/>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center"/>
              <w:textAlignment w:val="auto"/>
              <w:rPr>
                <w:rFonts w:hint="eastAsia" w:ascii="仿宋" w:hAnsi="仿宋" w:eastAsia="仿宋" w:cs="仿宋"/>
                <w:b/>
                <w:bCs/>
                <w:color w:val="000000"/>
                <w:kern w:val="0"/>
                <w:sz w:val="28"/>
                <w:szCs w:val="28"/>
                <w:vertAlign w:val="baseline"/>
                <w:lang w:val="en-US" w:eastAsia="zh-CN" w:bidi="ar-SA"/>
              </w:rPr>
            </w:pPr>
          </w:p>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center"/>
              <w:textAlignment w:val="auto"/>
              <w:rPr>
                <w:rFonts w:hint="eastAsia" w:ascii="仿宋" w:hAnsi="仿宋" w:eastAsia="仿宋" w:cs="仿宋"/>
                <w:b/>
                <w:bCs/>
                <w:color w:val="000000"/>
                <w:kern w:val="0"/>
                <w:sz w:val="28"/>
                <w:szCs w:val="28"/>
                <w:vertAlign w:val="baseline"/>
                <w:lang w:val="en-US" w:eastAsia="zh-CN" w:bidi="ar-SA"/>
              </w:rPr>
            </w:pPr>
            <w:r>
              <w:rPr>
                <w:rFonts w:hint="eastAsia" w:ascii="仿宋" w:hAnsi="仿宋" w:eastAsia="仿宋" w:cs="仿宋"/>
                <w:b/>
                <w:bCs/>
                <w:color w:val="000000"/>
                <w:kern w:val="0"/>
                <w:sz w:val="28"/>
                <w:szCs w:val="28"/>
                <w:vertAlign w:val="baseline"/>
                <w:lang w:val="en-US" w:eastAsia="zh-CN" w:bidi="ar-SA"/>
              </w:rPr>
              <w:t>业务领域合规管理的综合案例分析</w:t>
            </w:r>
          </w:p>
        </w:tc>
        <w:tc>
          <w:tcPr>
            <w:tcW w:w="6139" w:type="dxa"/>
          </w:tcPr>
          <w:p>
            <w:pPr>
              <w:pStyle w:val="9"/>
              <w:keepNext w:val="0"/>
              <w:keepLines w:val="0"/>
              <w:pageBreakBefore w:val="0"/>
              <w:widowControl/>
              <w:numPr>
                <w:ilvl w:val="0"/>
                <w:numId w:val="7"/>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合规相关定义与发展趋势</w:t>
            </w:r>
          </w:p>
          <w:p>
            <w:pPr>
              <w:pStyle w:val="9"/>
              <w:keepNext w:val="0"/>
              <w:keepLines w:val="0"/>
              <w:pageBreakBefore w:val="0"/>
              <w:widowControl/>
              <w:numPr>
                <w:ilvl w:val="0"/>
                <w:numId w:val="7"/>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企业违规经营投资责任追究</w:t>
            </w:r>
          </w:p>
          <w:p>
            <w:pPr>
              <w:pStyle w:val="9"/>
              <w:keepNext w:val="0"/>
              <w:keepLines w:val="0"/>
              <w:pageBreakBefore w:val="0"/>
              <w:widowControl/>
              <w:numPr>
                <w:ilvl w:val="0"/>
                <w:numId w:val="7"/>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企业合规管理领域重点与难点</w:t>
            </w:r>
          </w:p>
          <w:p>
            <w:pPr>
              <w:pStyle w:val="9"/>
              <w:keepNext w:val="0"/>
              <w:keepLines w:val="0"/>
              <w:pageBreakBefore w:val="0"/>
              <w:widowControl/>
              <w:numPr>
                <w:ilvl w:val="0"/>
                <w:numId w:val="7"/>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企业综合业务管理合规管理案例分析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16" w:type="dxa"/>
            <w:vAlign w:val="center"/>
          </w:tcPr>
          <w:p>
            <w:pPr>
              <w:pStyle w:val="9"/>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jc w:val="center"/>
              <w:textAlignment w:val="auto"/>
              <w:rPr>
                <w:rFonts w:hint="eastAsia" w:ascii="仿宋" w:hAnsi="仿宋" w:eastAsia="仿宋" w:cs="仿宋"/>
                <w:b/>
                <w:bCs/>
                <w:color w:val="000000"/>
                <w:kern w:val="0"/>
                <w:sz w:val="28"/>
                <w:szCs w:val="28"/>
                <w:vertAlign w:val="baseline"/>
                <w:lang w:val="en-US" w:eastAsia="zh-CN" w:bidi="ar-SA"/>
              </w:rPr>
            </w:pPr>
            <w:r>
              <w:rPr>
                <w:rFonts w:hint="eastAsia" w:ascii="仿宋" w:hAnsi="仿宋" w:eastAsia="仿宋" w:cs="仿宋"/>
                <w:b/>
                <w:bCs/>
                <w:color w:val="000000"/>
                <w:kern w:val="0"/>
                <w:sz w:val="28"/>
                <w:szCs w:val="28"/>
                <w:vertAlign w:val="baseline"/>
                <w:lang w:val="en-US" w:eastAsia="zh-CN" w:bidi="ar-SA"/>
              </w:rPr>
              <w:t>合规管理人才培养与文化建设</w:t>
            </w:r>
          </w:p>
        </w:tc>
        <w:tc>
          <w:tcPr>
            <w:tcW w:w="6139" w:type="dxa"/>
          </w:tcPr>
          <w:p>
            <w:pPr>
              <w:pStyle w:val="9"/>
              <w:keepNext w:val="0"/>
              <w:keepLines w:val="0"/>
              <w:pageBreakBefore w:val="0"/>
              <w:widowControl/>
              <w:numPr>
                <w:ilvl w:val="0"/>
                <w:numId w:val="8"/>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企业合规管理人才培养</w:t>
            </w:r>
          </w:p>
          <w:p>
            <w:pPr>
              <w:pStyle w:val="9"/>
              <w:keepNext w:val="0"/>
              <w:keepLines w:val="0"/>
              <w:pageBreakBefore w:val="0"/>
              <w:widowControl/>
              <w:numPr>
                <w:ilvl w:val="0"/>
                <w:numId w:val="8"/>
              </w:numPr>
              <w:kinsoku/>
              <w:wordWrap/>
              <w:overflowPunct/>
              <w:topLinePunct w:val="0"/>
              <w:autoSpaceDE/>
              <w:autoSpaceDN/>
              <w:bidi w:val="0"/>
              <w:adjustRightInd/>
              <w:snapToGrid w:val="0"/>
              <w:spacing w:before="0" w:beforeAutospacing="0" w:after="0" w:afterAutospacing="0" w:line="360" w:lineRule="auto"/>
              <w:ind w:right="0" w:rightChars="0"/>
              <w:jc w:val="both"/>
              <w:textAlignment w:val="auto"/>
              <w:rPr>
                <w:rFonts w:hint="eastAsia" w:ascii="仿宋" w:hAnsi="仿宋" w:eastAsia="仿宋" w:cs="仿宋"/>
                <w:b w:val="0"/>
                <w:bCs w:val="0"/>
                <w:color w:val="000000"/>
                <w:kern w:val="0"/>
                <w:sz w:val="28"/>
                <w:szCs w:val="28"/>
                <w:vertAlign w:val="baseline"/>
                <w:lang w:val="en-US" w:eastAsia="zh-CN" w:bidi="ar-SA"/>
              </w:rPr>
            </w:pPr>
            <w:r>
              <w:rPr>
                <w:rFonts w:hint="eastAsia" w:ascii="仿宋" w:hAnsi="仿宋" w:eastAsia="仿宋" w:cs="仿宋"/>
                <w:b w:val="0"/>
                <w:bCs w:val="0"/>
                <w:color w:val="000000"/>
                <w:kern w:val="0"/>
                <w:sz w:val="28"/>
                <w:szCs w:val="28"/>
                <w:vertAlign w:val="baseline"/>
                <w:lang w:val="en-US" w:eastAsia="zh-CN" w:bidi="ar-SA"/>
              </w:rPr>
              <w:t>企业合规文化建设</w:t>
            </w:r>
          </w:p>
        </w:tc>
      </w:tr>
    </w:tbl>
    <w:p>
      <w:pPr>
        <w:pStyle w:val="2"/>
        <w:keepNext w:val="0"/>
        <w:keepLines w:val="0"/>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仿宋" w:hAnsi="仿宋" w:eastAsia="仿宋" w:cs="仿宋"/>
          <w:b/>
          <w:bCs/>
          <w:sz w:val="28"/>
          <w:szCs w:val="28"/>
        </w:rPr>
      </w:pPr>
      <w:r>
        <w:rPr>
          <w:rFonts w:hint="eastAsia" w:ascii="仿宋" w:hAnsi="仿宋" w:eastAsia="仿宋" w:cs="仿宋"/>
          <w:b/>
          <w:bCs/>
          <w:sz w:val="28"/>
          <w:szCs w:val="28"/>
        </w:rPr>
        <w:t>四、项目优势</w:t>
      </w:r>
    </w:p>
    <w:p>
      <w:pPr>
        <w:keepNext w:val="0"/>
        <w:keepLines w:val="0"/>
        <w:pageBreakBefore w:val="0"/>
        <w:widowControl w:val="0"/>
        <w:kinsoku/>
        <w:wordWrap/>
        <w:overflowPunct/>
        <w:topLinePunct w:val="0"/>
        <w:autoSpaceDE/>
        <w:autoSpaceDN/>
        <w:bidi w:val="0"/>
        <w:adjustRightInd/>
        <w:spacing w:line="360" w:lineRule="auto"/>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（1）师资力量</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师资力量是由行业企业类的权威专家和高校的专业研究专家组成，满足理论+实战的教学要求。</w:t>
      </w:r>
    </w:p>
    <w:p>
      <w:pPr>
        <w:keepNext w:val="0"/>
        <w:keepLines w:val="0"/>
        <w:pageBreakBefore w:val="0"/>
        <w:widowControl w:val="0"/>
        <w:kinsoku/>
        <w:wordWrap/>
        <w:overflowPunct/>
        <w:topLinePunct w:val="0"/>
        <w:autoSpaceDE/>
        <w:autoSpaceDN/>
        <w:bidi w:val="0"/>
        <w:adjustRightInd/>
        <w:spacing w:line="360" w:lineRule="auto"/>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（2）科学合理的课程设计</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整个项目的课程体系设计都是依据国家新职业标准的要求，由权威专家和专业师资依据项目的需要共同研发和打造的，所以具有非常高的权威性和科学性。</w:t>
      </w:r>
    </w:p>
    <w:p>
      <w:pPr>
        <w:keepNext w:val="0"/>
        <w:keepLines w:val="0"/>
        <w:pageBreakBefore w:val="0"/>
        <w:widowControl w:val="0"/>
        <w:kinsoku/>
        <w:wordWrap/>
        <w:overflowPunct/>
        <w:topLinePunct w:val="0"/>
        <w:autoSpaceDE/>
        <w:autoSpaceDN/>
        <w:bidi w:val="0"/>
        <w:adjustRightInd/>
        <w:spacing w:line="360" w:lineRule="auto"/>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（3）提升学员的思维能力</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通过对整个项目的学习和培训，不仅能获得项目知识，还能取得证书，最重要的是还能提升大家的战略思维和企业合规的风险管控及操作能力。</w:t>
      </w:r>
    </w:p>
    <w:p>
      <w:pPr>
        <w:keepNext w:val="0"/>
        <w:keepLines w:val="0"/>
        <w:pageBreakBefore w:val="0"/>
        <w:widowControl w:val="0"/>
        <w:kinsoku/>
        <w:wordWrap/>
        <w:overflowPunct/>
        <w:topLinePunct w:val="0"/>
        <w:autoSpaceDE/>
        <w:autoSpaceDN/>
        <w:bidi w:val="0"/>
        <w:adjustRightInd/>
        <w:spacing w:line="360" w:lineRule="auto"/>
        <w:ind w:firstLine="420" w:firstLineChars="150"/>
        <w:textAlignment w:val="auto"/>
        <w:rPr>
          <w:rFonts w:hint="eastAsia" w:ascii="仿宋" w:hAnsi="仿宋" w:eastAsia="仿宋" w:cs="仿宋"/>
          <w:sz w:val="28"/>
          <w:szCs w:val="28"/>
        </w:rPr>
      </w:pPr>
      <w:r>
        <w:rPr>
          <w:rFonts w:hint="eastAsia" w:ascii="仿宋" w:hAnsi="仿宋" w:eastAsia="仿宋" w:cs="仿宋"/>
          <w:sz w:val="28"/>
          <w:szCs w:val="28"/>
        </w:rPr>
        <w:t>（4）真实的企业案例教学</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整个项目的教学过程中，融入了真实的企业案例，突出案例实战教学的特色，可以使大家更好的掌握项目所需要的理论知识和扩展知识，达到学以致用的效果。</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五</w:t>
      </w:r>
      <w:r>
        <w:rPr>
          <w:rFonts w:hint="eastAsia" w:ascii="仿宋" w:hAnsi="仿宋" w:eastAsia="仿宋" w:cs="仿宋"/>
          <w:b/>
          <w:bCs/>
          <w:sz w:val="28"/>
          <w:szCs w:val="28"/>
        </w:rPr>
        <w:t>、上课和考试时间</w:t>
      </w:r>
    </w:p>
    <w:p>
      <w:pPr>
        <w:keepNext w:val="0"/>
        <w:keepLines w:val="0"/>
        <w:pageBreakBefore w:val="0"/>
        <w:widowControl w:val="0"/>
        <w:kinsoku/>
        <w:wordWrap/>
        <w:overflowPunct/>
        <w:topLinePunct w:val="0"/>
        <w:autoSpaceDE/>
        <w:autoSpaceDN/>
        <w:bidi w:val="0"/>
        <w:adjustRightInd/>
        <w:snapToGrid w:val="0"/>
        <w:spacing w:line="360" w:lineRule="auto"/>
        <w:ind w:firstLine="296" w:firstLineChars="100"/>
        <w:jc w:val="both"/>
        <w:textAlignment w:val="auto"/>
        <w:rPr>
          <w:rFonts w:hint="eastAsia" w:ascii="仿宋" w:hAnsi="仿宋" w:eastAsia="仿宋" w:cs="仿宋"/>
          <w:spacing w:val="8"/>
          <w:sz w:val="28"/>
          <w:szCs w:val="28"/>
        </w:rPr>
      </w:pPr>
      <w:r>
        <w:rPr>
          <w:rFonts w:hint="eastAsia" w:ascii="仿宋" w:hAnsi="仿宋" w:eastAsia="仿宋" w:cs="仿宋"/>
          <w:spacing w:val="8"/>
          <w:sz w:val="28"/>
          <w:szCs w:val="28"/>
        </w:rPr>
        <w:t>2022年</w:t>
      </w:r>
      <w:r>
        <w:rPr>
          <w:rFonts w:hint="eastAsia" w:ascii="仿宋" w:hAnsi="仿宋" w:eastAsia="仿宋" w:cs="仿宋"/>
          <w:spacing w:val="8"/>
          <w:sz w:val="28"/>
          <w:szCs w:val="28"/>
          <w:lang w:val="en-US" w:eastAsia="zh-CN"/>
        </w:rPr>
        <w:t>7</w:t>
      </w:r>
      <w:r>
        <w:rPr>
          <w:rFonts w:hint="eastAsia" w:ascii="仿宋" w:hAnsi="仿宋" w:eastAsia="仿宋" w:cs="仿宋"/>
          <w:spacing w:val="8"/>
          <w:sz w:val="28"/>
          <w:szCs w:val="28"/>
        </w:rPr>
        <w:t>月22日—</w:t>
      </w:r>
      <w:r>
        <w:rPr>
          <w:rFonts w:hint="eastAsia" w:ascii="仿宋" w:hAnsi="仿宋" w:eastAsia="仿宋" w:cs="仿宋"/>
          <w:spacing w:val="8"/>
          <w:sz w:val="28"/>
          <w:szCs w:val="28"/>
          <w:lang w:val="en-US" w:eastAsia="zh-CN"/>
        </w:rPr>
        <w:t>25</w:t>
      </w:r>
      <w:r>
        <w:rPr>
          <w:rFonts w:hint="eastAsia" w:ascii="仿宋" w:hAnsi="仿宋" w:eastAsia="仿宋" w:cs="仿宋"/>
          <w:spacing w:val="8"/>
          <w:sz w:val="28"/>
          <w:szCs w:val="28"/>
        </w:rPr>
        <w:t xml:space="preserve">日  </w:t>
      </w:r>
      <w:r>
        <w:rPr>
          <w:rFonts w:hint="eastAsia" w:ascii="仿宋" w:hAnsi="仿宋" w:eastAsia="仿宋" w:cs="仿宋"/>
          <w:spacing w:val="8"/>
          <w:sz w:val="28"/>
          <w:szCs w:val="28"/>
          <w:lang w:val="en-US" w:eastAsia="zh-CN"/>
        </w:rPr>
        <w:t>济南市</w:t>
      </w:r>
      <w:r>
        <w:rPr>
          <w:rFonts w:hint="eastAsia" w:ascii="仿宋" w:hAnsi="仿宋" w:eastAsia="仿宋" w:cs="仿宋"/>
          <w:spacing w:val="8"/>
          <w:sz w:val="28"/>
          <w:szCs w:val="28"/>
        </w:rPr>
        <w:t>（22日报到</w:t>
      </w:r>
      <w:r>
        <w:rPr>
          <w:rFonts w:hint="eastAsia" w:ascii="仿宋" w:hAnsi="仿宋" w:eastAsia="仿宋" w:cs="仿宋"/>
          <w:spacing w:val="8"/>
          <w:sz w:val="28"/>
          <w:szCs w:val="28"/>
          <w:lang w:eastAsia="zh-CN"/>
        </w:rPr>
        <w:t>、</w:t>
      </w:r>
      <w:r>
        <w:rPr>
          <w:rFonts w:hint="eastAsia" w:ascii="仿宋" w:hAnsi="仿宋" w:eastAsia="仿宋" w:cs="仿宋"/>
          <w:spacing w:val="8"/>
          <w:sz w:val="28"/>
          <w:szCs w:val="28"/>
          <w:lang w:val="en-US" w:eastAsia="zh-CN"/>
        </w:rPr>
        <w:t>25日下午考试</w:t>
      </w:r>
      <w:r>
        <w:rPr>
          <w:rFonts w:hint="eastAsia" w:ascii="仿宋" w:hAnsi="仿宋" w:eastAsia="仿宋" w:cs="仿宋"/>
          <w:spacing w:val="8"/>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color w:val="000000" w:themeColor="text1"/>
          <w:spacing w:val="8"/>
          <w:sz w:val="28"/>
          <w:szCs w:val="28"/>
          <w:lang w:eastAsia="zh-CN"/>
          <w14:textFill>
            <w14:solidFill>
              <w14:schemeClr w14:val="tx1"/>
            </w14:solidFill>
          </w14:textFill>
        </w:rPr>
      </w:pPr>
      <w:r>
        <w:rPr>
          <w:rFonts w:hint="eastAsia" w:ascii="仿宋" w:hAnsi="仿宋" w:eastAsia="仿宋" w:cs="仿宋"/>
          <w:b/>
          <w:bCs/>
          <w:color w:val="000000" w:themeColor="text1"/>
          <w:spacing w:val="8"/>
          <w:sz w:val="28"/>
          <w:szCs w:val="28"/>
          <w:lang w:eastAsia="zh-CN"/>
          <w14:textFill>
            <w14:solidFill>
              <w14:schemeClr w14:val="tx1"/>
            </w14:solidFill>
          </w14:textFill>
        </w:rPr>
        <w:t>备注：根据疫情影响</w:t>
      </w:r>
      <w:r>
        <w:rPr>
          <w:rFonts w:hint="eastAsia" w:ascii="仿宋" w:hAnsi="仿宋" w:eastAsia="仿宋" w:cs="仿宋"/>
          <w:b/>
          <w:bCs/>
          <w:color w:val="000000" w:themeColor="text1"/>
          <w:spacing w:val="8"/>
          <w:sz w:val="28"/>
          <w:szCs w:val="28"/>
          <w:lang w:val="en-US" w:eastAsia="zh-CN"/>
          <w14:textFill>
            <w14:solidFill>
              <w14:schemeClr w14:val="tx1"/>
            </w14:solidFill>
          </w14:textFill>
        </w:rPr>
        <w:t>每个月底</w:t>
      </w:r>
      <w:r>
        <w:rPr>
          <w:rFonts w:hint="eastAsia" w:ascii="仿宋" w:hAnsi="仿宋" w:eastAsia="仿宋" w:cs="仿宋"/>
          <w:b/>
          <w:bCs/>
          <w:color w:val="000000" w:themeColor="text1"/>
          <w:spacing w:val="8"/>
          <w:sz w:val="28"/>
          <w:szCs w:val="28"/>
          <w:lang w:eastAsia="zh-CN"/>
          <w14:textFill>
            <w14:solidFill>
              <w14:schemeClr w14:val="tx1"/>
            </w14:solidFill>
          </w14:textFill>
        </w:rPr>
        <w:t>采取线上线下相结合的授课形式。</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六</w:t>
      </w:r>
      <w:r>
        <w:rPr>
          <w:rFonts w:hint="eastAsia" w:ascii="仿宋" w:hAnsi="仿宋" w:eastAsia="仿宋" w:cs="仿宋"/>
          <w:b/>
          <w:bCs/>
          <w:sz w:val="28"/>
          <w:szCs w:val="28"/>
        </w:rPr>
        <w:t>、证书颁发</w:t>
      </w:r>
    </w:p>
    <w:p>
      <w:pPr>
        <w:keepNext w:val="0"/>
        <w:keepLines w:val="0"/>
        <w:pageBreakBefore w:val="0"/>
        <w:widowControl w:val="0"/>
        <w:kinsoku/>
        <w:wordWrap/>
        <w:overflowPunct/>
        <w:topLinePunct w:val="0"/>
        <w:autoSpaceDE/>
        <w:autoSpaceDN/>
        <w:bidi w:val="0"/>
        <w:adjustRightInd/>
        <w:snapToGrid/>
        <w:spacing w:line="480" w:lineRule="exact"/>
        <w:ind w:left="559" w:leftChars="266" w:firstLine="0" w:firstLineChars="0"/>
        <w:jc w:val="left"/>
        <w:textAlignment w:val="auto"/>
        <w:rPr>
          <w:rFonts w:hint="eastAsia" w:ascii="仿宋" w:hAnsi="仿宋" w:eastAsia="仿宋" w:cs="仿宋"/>
          <w:color w:val="auto"/>
          <w:sz w:val="28"/>
          <w:szCs w:val="28"/>
          <w:lang w:val="en-US" w:eastAsia="zh-CN"/>
        </w:rPr>
      </w:pPr>
      <w:r>
        <w:rPr>
          <w:rFonts w:hint="eastAsia" w:ascii="仿宋" w:hAnsi="仿宋" w:eastAsia="仿宋" w:cs="仿宋"/>
          <w:sz w:val="28"/>
          <w:szCs w:val="28"/>
        </w:rPr>
        <w:t>完成课程培训学习，由</w:t>
      </w:r>
      <w:r>
        <w:rPr>
          <w:rFonts w:hint="eastAsia" w:ascii="仿宋" w:hAnsi="仿宋" w:eastAsia="仿宋" w:cs="仿宋"/>
          <w:sz w:val="28"/>
          <w:szCs w:val="28"/>
          <w:lang w:val="en-US" w:eastAsia="zh-CN"/>
        </w:rPr>
        <w:t>中国国际工程咨询协会</w:t>
      </w:r>
      <w:r>
        <w:rPr>
          <w:rFonts w:hint="eastAsia" w:ascii="仿宋" w:hAnsi="仿宋" w:eastAsia="仿宋" w:cs="仿宋"/>
          <w:sz w:val="28"/>
          <w:szCs w:val="28"/>
        </w:rPr>
        <w:t>颁发</w:t>
      </w:r>
      <w:r>
        <w:rPr>
          <w:rFonts w:hint="eastAsia" w:ascii="仿宋" w:hAnsi="仿宋" w:eastAsia="仿宋" w:cs="仿宋"/>
          <w:color w:val="auto"/>
          <w:sz w:val="28"/>
          <w:szCs w:val="28"/>
        </w:rPr>
        <w:t>“企业合规</w:t>
      </w:r>
      <w:r>
        <w:rPr>
          <w:rFonts w:hint="eastAsia" w:ascii="仿宋" w:hAnsi="仿宋" w:eastAsia="仿宋" w:cs="仿宋"/>
          <w:color w:val="auto"/>
          <w:sz w:val="28"/>
          <w:szCs w:val="28"/>
          <w:lang w:val="en-US" w:eastAsia="zh-CN"/>
        </w:rPr>
        <w:t>师</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岗</w:t>
      </w:r>
    </w:p>
    <w:p>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位能力</w:t>
      </w:r>
      <w:r>
        <w:rPr>
          <w:rFonts w:hint="eastAsia" w:ascii="仿宋" w:hAnsi="仿宋" w:eastAsia="仿宋" w:cs="仿宋"/>
          <w:color w:val="auto"/>
          <w:sz w:val="28"/>
          <w:szCs w:val="28"/>
        </w:rPr>
        <w:t>证书</w:t>
      </w:r>
      <w:r>
        <w:rPr>
          <w:rFonts w:hint="eastAsia" w:ascii="仿宋" w:hAnsi="仿宋" w:eastAsia="仿宋" w:cs="仿宋"/>
          <w:color w:val="auto"/>
          <w:sz w:val="28"/>
          <w:szCs w:val="28"/>
          <w:lang w:val="en-US" w:eastAsia="zh-CN"/>
        </w:rPr>
        <w:t>及中国招投标网颁发“企业合规师”的培训证书（双证）</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证书</w:t>
      </w:r>
      <w:r>
        <w:rPr>
          <w:rFonts w:hint="eastAsia" w:ascii="仿宋" w:hAnsi="仿宋" w:eastAsia="仿宋" w:cs="仿宋_GB2312"/>
          <w:b w:val="0"/>
          <w:bCs/>
          <w:color w:val="auto"/>
          <w:kern w:val="2"/>
          <w:sz w:val="30"/>
          <w:szCs w:val="30"/>
          <w:lang w:val="en-US" w:eastAsia="zh-CN" w:bidi="ar-SA"/>
        </w:rPr>
        <w:t>可在中国国际工程咨询协会-培训中心（www.caiecta.com）、中国招标投标网（www.cecbid.org.cn）进行查询</w:t>
      </w:r>
      <w:r>
        <w:rPr>
          <w:rFonts w:hint="eastAsia" w:ascii="仿宋" w:hAnsi="仿宋" w:eastAsia="仿宋" w:cs="仿宋"/>
          <w:color w:val="auto"/>
          <w:sz w:val="28"/>
          <w:szCs w:val="28"/>
        </w:rPr>
        <w:t>，可作为从事企业</w:t>
      </w:r>
      <w:r>
        <w:rPr>
          <w:rFonts w:hint="eastAsia" w:ascii="仿宋" w:hAnsi="仿宋" w:eastAsia="仿宋" w:cs="仿宋"/>
          <w:color w:val="auto"/>
          <w:sz w:val="28"/>
          <w:szCs w:val="28"/>
          <w:lang w:eastAsia="zh-CN"/>
        </w:rPr>
        <w:t>合规经营与</w:t>
      </w:r>
      <w:r>
        <w:rPr>
          <w:rFonts w:hint="eastAsia" w:ascii="仿宋" w:hAnsi="仿宋" w:eastAsia="仿宋" w:cs="仿宋"/>
          <w:color w:val="auto"/>
          <w:sz w:val="28"/>
          <w:szCs w:val="28"/>
        </w:rPr>
        <w:t>责任追究专业岗位</w:t>
      </w:r>
      <w:r>
        <w:rPr>
          <w:rFonts w:hint="eastAsia" w:ascii="仿宋" w:hAnsi="仿宋" w:eastAsia="仿宋" w:cs="仿宋"/>
          <w:color w:val="auto"/>
          <w:sz w:val="28"/>
          <w:szCs w:val="28"/>
          <w:lang w:eastAsia="zh-CN"/>
        </w:rPr>
        <w:t>的</w:t>
      </w:r>
      <w:r>
        <w:rPr>
          <w:rFonts w:hint="eastAsia" w:ascii="仿宋" w:hAnsi="仿宋" w:eastAsia="仿宋" w:cs="仿宋"/>
          <w:color w:val="auto"/>
          <w:sz w:val="28"/>
          <w:szCs w:val="28"/>
        </w:rPr>
        <w:t>重要依据。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请学员自备身份证复印件、最高学历证明复印件扫描版及二寸免冠彩色蓝底照片电子版。</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七</w:t>
      </w:r>
      <w:r>
        <w:rPr>
          <w:rFonts w:hint="eastAsia" w:ascii="仿宋" w:hAnsi="仿宋" w:eastAsia="仿宋" w:cs="仿宋"/>
          <w:b/>
          <w:bCs/>
          <w:sz w:val="28"/>
          <w:szCs w:val="28"/>
        </w:rPr>
        <w:t>、收费标准</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培训费：</w:t>
      </w:r>
      <w:r>
        <w:rPr>
          <w:rFonts w:hint="eastAsia" w:ascii="仿宋" w:hAnsi="仿宋" w:eastAsia="仿宋" w:cs="仿宋"/>
          <w:sz w:val="28"/>
          <w:szCs w:val="28"/>
          <w:lang w:val="en-US" w:eastAsia="zh-CN"/>
        </w:rPr>
        <w:t>8</w:t>
      </w:r>
      <w:r>
        <w:rPr>
          <w:rFonts w:hint="eastAsia" w:ascii="仿宋" w:hAnsi="仿宋" w:eastAsia="仿宋" w:cs="仿宋"/>
          <w:sz w:val="28"/>
          <w:szCs w:val="28"/>
        </w:rPr>
        <w:t>800元/人（包含三天的线上课程费用、资料费、研讨费、报名费</w:t>
      </w:r>
      <w:r>
        <w:rPr>
          <w:rFonts w:hint="eastAsia" w:ascii="仿宋" w:hAnsi="仿宋" w:eastAsia="仿宋" w:cs="仿宋"/>
          <w:sz w:val="28"/>
          <w:szCs w:val="28"/>
          <w:lang w:eastAsia="zh-CN"/>
        </w:rPr>
        <w:t>、考试费及</w:t>
      </w:r>
      <w:r>
        <w:rPr>
          <w:rFonts w:hint="eastAsia" w:ascii="仿宋" w:hAnsi="仿宋" w:eastAsia="仿宋" w:cs="仿宋"/>
          <w:sz w:val="28"/>
          <w:szCs w:val="28"/>
        </w:rPr>
        <w:t>证书工本费</w:t>
      </w:r>
      <w:r>
        <w:rPr>
          <w:rFonts w:hint="eastAsia" w:ascii="仿宋" w:hAnsi="仿宋" w:eastAsia="仿宋" w:cs="仿宋"/>
          <w:sz w:val="28"/>
          <w:szCs w:val="28"/>
          <w:lang w:eastAsia="zh-CN"/>
        </w:rPr>
        <w:t>等</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pacing w:line="360" w:lineRule="auto"/>
        <w:ind w:firstLine="560" w:firstLineChars="200"/>
        <w:textAlignment w:val="auto"/>
        <w:rPr>
          <w:rFonts w:hint="eastAsia" w:ascii="仿宋" w:hAnsi="仿宋" w:eastAsia="仿宋" w:cs="仿宋"/>
          <w:b/>
          <w:bCs/>
          <w:color w:val="000000" w:themeColor="text1"/>
          <w:sz w:val="28"/>
          <w:szCs w:val="28"/>
          <w:lang w:eastAsia="zh-CN"/>
          <w14:textFill>
            <w14:solidFill>
              <w14:schemeClr w14:val="tx1"/>
            </w14:solidFill>
          </w14:textFill>
        </w:rPr>
      </w:pPr>
      <w:r>
        <w:rPr>
          <w:rFonts w:hint="eastAsia" w:ascii="仿宋" w:hAnsi="仿宋" w:eastAsia="仿宋" w:cs="仿宋"/>
          <w:b/>
          <w:bCs/>
          <w:color w:val="000000" w:themeColor="text1"/>
          <w:sz w:val="28"/>
          <w:szCs w:val="28"/>
          <w:lang w:eastAsia="zh-CN"/>
          <w14:textFill>
            <w14:solidFill>
              <w14:schemeClr w14:val="tx1"/>
            </w14:solidFill>
          </w14:textFill>
        </w:rPr>
        <w:t>凡报名参加线上学习课程的学员，可免费参加相关主题线下课程一次。</w:t>
      </w:r>
    </w:p>
    <w:p>
      <w:pPr>
        <w:keepNext w:val="0"/>
        <w:keepLines w:val="0"/>
        <w:pageBreakBefore w:val="0"/>
        <w:widowControl w:val="0"/>
        <w:numPr>
          <w:ilvl w:val="0"/>
          <w:numId w:val="9"/>
        </w:numPr>
        <w:kinsoku/>
        <w:wordWrap/>
        <w:overflowPunct/>
        <w:topLinePunct w:val="0"/>
        <w:autoSpaceDE/>
        <w:autoSpaceDN/>
        <w:bidi w:val="0"/>
        <w:adjustRightInd/>
        <w:spacing w:line="360" w:lineRule="auto"/>
        <w:ind w:firstLine="560" w:firstLineChars="200"/>
        <w:textAlignment w:val="auto"/>
        <w:rPr>
          <w:rFonts w:hint="eastAsia"/>
        </w:rPr>
      </w:pPr>
      <w:r>
        <w:rPr>
          <w:rFonts w:hint="eastAsia" w:ascii="仿宋" w:hAnsi="仿宋" w:eastAsia="仿宋" w:cs="仿宋"/>
          <w:b/>
          <w:bCs/>
          <w:sz w:val="28"/>
          <w:szCs w:val="28"/>
        </w:rPr>
        <w:t>联系方式</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报名负责人：聂红军 主任18211071700（微信）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电  话：010-87697580      邮    箱：zqgphwz@126.com  </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qq咨询：3177524020        网址查询：http://www.zqgpchina.cn/附件：报名回执</w:t>
      </w:r>
    </w:p>
    <w:p>
      <w:pPr>
        <w:ind w:firstLine="4620" w:firstLineChars="1650"/>
        <w:rPr>
          <w:rFonts w:hint="eastAsia" w:ascii="仿宋" w:hAnsi="仿宋" w:eastAsia="仿宋" w:cs="仿宋"/>
          <w:sz w:val="28"/>
          <w:szCs w:val="28"/>
        </w:rPr>
      </w:pPr>
      <w:r>
        <w:rPr>
          <w:rFonts w:hint="eastAsia" w:ascii="宋体" w:hAnsi="宋体"/>
          <w:sz w:val="28"/>
          <w:szCs w:val="28"/>
        </w:rPr>
        <w:drawing>
          <wp:anchor distT="0" distB="0" distL="114300" distR="114300" simplePos="0" relativeHeight="251660288" behindDoc="1" locked="0" layoutInCell="1" allowOverlap="1">
            <wp:simplePos x="0" y="0"/>
            <wp:positionH relativeFrom="column">
              <wp:posOffset>3508375</wp:posOffset>
            </wp:positionH>
            <wp:positionV relativeFrom="paragraph">
              <wp:posOffset>31750</wp:posOffset>
            </wp:positionV>
            <wp:extent cx="1537970" cy="1529715"/>
            <wp:effectExtent l="0" t="0" r="5080" b="13335"/>
            <wp:wrapNone/>
            <wp:docPr id="9"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descr="图片1"/>
                    <pic:cNvPicPr>
                      <a:picLocks noChangeAspect="1"/>
                    </pic:cNvPicPr>
                  </pic:nvPicPr>
                  <pic:blipFill>
                    <a:blip r:embed="rId5"/>
                    <a:stretch>
                      <a:fillRect/>
                    </a:stretch>
                  </pic:blipFill>
                  <pic:spPr>
                    <a:xfrm>
                      <a:off x="0" y="0"/>
                      <a:ext cx="1537970" cy="1529715"/>
                    </a:xfrm>
                    <a:prstGeom prst="rect">
                      <a:avLst/>
                    </a:prstGeom>
                    <a:noFill/>
                    <a:ln>
                      <a:noFill/>
                    </a:ln>
                  </pic:spPr>
                </pic:pic>
              </a:graphicData>
            </a:graphic>
          </wp:anchor>
        </w:drawing>
      </w:r>
    </w:p>
    <w:p>
      <w:pPr>
        <w:ind w:firstLine="5320" w:firstLineChars="19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中国国际工程咨询协会</w:t>
      </w:r>
    </w:p>
    <w:p>
      <w:pPr>
        <w:ind w:left="0" w:leftChars="0" w:firstLine="5358" w:firstLineChars="1786"/>
        <w:rPr>
          <w:rFonts w:hint="eastAsia" w:ascii="仿宋" w:hAnsi="仿宋" w:eastAsia="仿宋" w:cs="仿宋_GB2312"/>
          <w:color w:val="2C2C2C"/>
          <w:sz w:val="30"/>
          <w:szCs w:val="30"/>
        </w:rPr>
      </w:pPr>
      <w:r>
        <w:rPr>
          <w:rFonts w:hint="eastAsia" w:ascii="仿宋" w:hAnsi="仿宋" w:eastAsia="仿宋" w:cs="仿宋_GB2312"/>
          <w:color w:val="2C2C2C"/>
          <w:sz w:val="30"/>
          <w:szCs w:val="30"/>
        </w:rPr>
        <w:t>二〇二</w:t>
      </w:r>
      <w:r>
        <w:rPr>
          <w:rFonts w:hint="eastAsia" w:ascii="仿宋" w:hAnsi="仿宋" w:eastAsia="仿宋" w:cs="仿宋_GB2312"/>
          <w:color w:val="2C2C2C"/>
          <w:sz w:val="30"/>
          <w:szCs w:val="30"/>
          <w:lang w:val="en-US" w:eastAsia="zh-CN"/>
        </w:rPr>
        <w:t>二年五月六</w:t>
      </w:r>
      <w:r>
        <w:rPr>
          <w:rFonts w:hint="eastAsia" w:ascii="仿宋" w:hAnsi="仿宋" w:eastAsia="仿宋" w:cs="仿宋_GB2312"/>
          <w:color w:val="2C2C2C"/>
          <w:sz w:val="30"/>
          <w:szCs w:val="30"/>
        </w:rPr>
        <w:t>日</w:t>
      </w:r>
    </w:p>
    <w:p>
      <w:pPr>
        <w:spacing w:before="35"/>
        <w:ind w:right="0"/>
        <w:jc w:val="left"/>
        <w:rPr>
          <w:rFonts w:hint="eastAsia" w:ascii="宋体" w:hAnsi="宋体" w:eastAsia="宋体" w:cs="宋体"/>
          <w:b/>
          <w:spacing w:val="-1"/>
          <w:w w:val="99"/>
          <w:sz w:val="28"/>
          <w:szCs w:val="28"/>
        </w:rPr>
      </w:pPr>
    </w:p>
    <w:p>
      <w:pPr>
        <w:spacing w:before="35"/>
        <w:ind w:right="0"/>
        <w:jc w:val="left"/>
        <w:rPr>
          <w:rFonts w:hint="eastAsia" w:ascii="宋体" w:hAnsi="宋体" w:eastAsia="宋体" w:cs="宋体"/>
          <w:b/>
          <w:spacing w:val="-1"/>
          <w:w w:val="99"/>
          <w:sz w:val="28"/>
          <w:szCs w:val="28"/>
        </w:rPr>
      </w:pPr>
    </w:p>
    <w:p>
      <w:pPr>
        <w:spacing w:before="35"/>
        <w:ind w:right="0"/>
        <w:jc w:val="left"/>
        <w:rPr>
          <w:rFonts w:hint="eastAsia" w:ascii="宋体" w:hAnsi="宋体" w:eastAsia="宋体" w:cs="宋体"/>
          <w:b/>
          <w:spacing w:val="-1"/>
          <w:w w:val="99"/>
          <w:sz w:val="28"/>
          <w:szCs w:val="28"/>
        </w:rPr>
      </w:pPr>
    </w:p>
    <w:p>
      <w:pPr>
        <w:spacing w:before="35"/>
        <w:ind w:right="0"/>
        <w:jc w:val="left"/>
        <w:rPr>
          <w:rFonts w:hint="eastAsia" w:ascii="宋体" w:hAnsi="宋体" w:eastAsia="宋体" w:cs="宋体"/>
          <w:b/>
          <w:spacing w:val="-1"/>
          <w:w w:val="99"/>
          <w:sz w:val="28"/>
          <w:szCs w:val="28"/>
        </w:rPr>
      </w:pPr>
    </w:p>
    <w:p>
      <w:pPr>
        <w:spacing w:before="35"/>
        <w:ind w:right="0"/>
        <w:jc w:val="left"/>
        <w:rPr>
          <w:rFonts w:hint="eastAsia" w:ascii="宋体" w:hAnsi="宋体" w:eastAsia="宋体" w:cs="宋体"/>
          <w:b/>
          <w:spacing w:val="-1"/>
          <w:w w:val="99"/>
          <w:sz w:val="28"/>
          <w:szCs w:val="28"/>
        </w:rPr>
      </w:pPr>
    </w:p>
    <w:p>
      <w:pPr>
        <w:spacing w:before="35"/>
        <w:ind w:right="0"/>
        <w:jc w:val="left"/>
        <w:rPr>
          <w:rFonts w:hint="eastAsia" w:ascii="宋体" w:hAnsi="宋体" w:eastAsia="宋体" w:cs="宋体"/>
          <w:b/>
          <w:spacing w:val="-1"/>
          <w:w w:val="99"/>
          <w:sz w:val="28"/>
          <w:szCs w:val="28"/>
        </w:rPr>
      </w:pPr>
    </w:p>
    <w:p>
      <w:pPr>
        <w:spacing w:before="35"/>
        <w:ind w:right="0"/>
        <w:jc w:val="left"/>
        <w:rPr>
          <w:rFonts w:hint="eastAsia" w:ascii="宋体" w:hAnsi="宋体" w:eastAsia="宋体" w:cs="宋体"/>
          <w:b/>
          <w:spacing w:val="-1"/>
          <w:w w:val="99"/>
          <w:sz w:val="28"/>
          <w:szCs w:val="28"/>
        </w:rPr>
      </w:pPr>
    </w:p>
    <w:p>
      <w:pPr>
        <w:spacing w:before="35"/>
        <w:ind w:right="0"/>
        <w:jc w:val="left"/>
        <w:rPr>
          <w:rFonts w:hint="eastAsia" w:ascii="宋体" w:hAnsi="宋体" w:eastAsia="宋体" w:cs="宋体"/>
          <w:b/>
          <w:spacing w:val="-1"/>
          <w:w w:val="99"/>
          <w:sz w:val="28"/>
          <w:szCs w:val="28"/>
        </w:rPr>
      </w:pPr>
    </w:p>
    <w:p>
      <w:pPr>
        <w:spacing w:before="35"/>
        <w:ind w:right="0"/>
        <w:jc w:val="left"/>
        <w:rPr>
          <w:rFonts w:hint="eastAsia" w:ascii="宋体" w:hAnsi="宋体" w:eastAsia="宋体" w:cs="宋体"/>
          <w:b/>
          <w:spacing w:val="-1"/>
          <w:w w:val="99"/>
          <w:sz w:val="28"/>
          <w:szCs w:val="28"/>
        </w:rPr>
      </w:pPr>
    </w:p>
    <w:p>
      <w:pPr>
        <w:spacing w:before="35"/>
        <w:ind w:right="0"/>
        <w:jc w:val="left"/>
        <w:rPr>
          <w:rFonts w:hint="eastAsia" w:ascii="宋体" w:hAnsi="宋体" w:eastAsia="宋体" w:cs="宋体"/>
          <w:sz w:val="28"/>
          <w:szCs w:val="28"/>
        </w:rPr>
      </w:pPr>
      <w:r>
        <w:rPr>
          <w:rFonts w:hint="eastAsia" w:ascii="宋体" w:hAnsi="宋体" w:eastAsia="宋体" w:cs="宋体"/>
          <w:b/>
          <w:spacing w:val="-1"/>
          <w:w w:val="99"/>
          <w:sz w:val="28"/>
          <w:szCs w:val="28"/>
        </w:rPr>
        <w:t>附件</w:t>
      </w:r>
      <w:r>
        <w:rPr>
          <w:rFonts w:hint="eastAsia" w:ascii="宋体" w:hAnsi="宋体" w:eastAsia="宋体" w:cs="宋体"/>
          <w:b/>
          <w:spacing w:val="-72"/>
          <w:sz w:val="28"/>
          <w:szCs w:val="28"/>
        </w:rPr>
        <w:t xml:space="preserve"> </w:t>
      </w:r>
      <w:r>
        <w:rPr>
          <w:rFonts w:hint="eastAsia" w:ascii="宋体" w:hAnsi="宋体" w:eastAsia="宋体" w:cs="宋体"/>
          <w:b/>
          <w:spacing w:val="1"/>
          <w:w w:val="99"/>
          <w:sz w:val="28"/>
          <w:szCs w:val="28"/>
        </w:rPr>
        <w:t>1</w:t>
      </w:r>
      <w:r>
        <w:rPr>
          <w:rFonts w:hint="eastAsia" w:ascii="宋体" w:hAnsi="宋体" w:eastAsia="宋体" w:cs="宋体"/>
          <w:b/>
          <w:spacing w:val="-20"/>
          <w:w w:val="99"/>
          <w:sz w:val="28"/>
          <w:szCs w:val="28"/>
        </w:rPr>
        <w:t>：</w:t>
      </w:r>
    </w:p>
    <w:tbl>
      <w:tblPr>
        <w:tblStyle w:val="10"/>
        <w:tblW w:w="9795" w:type="dxa"/>
        <w:jc w:val="center"/>
        <w:shd w:val="clear" w:color="auto" w:fill="auto"/>
        <w:tblLayout w:type="fixed"/>
        <w:tblCellMar>
          <w:top w:w="0" w:type="dxa"/>
          <w:left w:w="108" w:type="dxa"/>
          <w:bottom w:w="0" w:type="dxa"/>
          <w:right w:w="108" w:type="dxa"/>
        </w:tblCellMar>
      </w:tblPr>
      <w:tblGrid>
        <w:gridCol w:w="2256"/>
        <w:gridCol w:w="1329"/>
        <w:gridCol w:w="1022"/>
        <w:gridCol w:w="836"/>
        <w:gridCol w:w="845"/>
        <w:gridCol w:w="1439"/>
        <w:gridCol w:w="2068"/>
      </w:tblGrid>
      <w:tr>
        <w:tblPrEx>
          <w:shd w:val="clear" w:color="auto" w:fill="auto"/>
          <w:tblCellMar>
            <w:top w:w="0" w:type="dxa"/>
            <w:left w:w="108" w:type="dxa"/>
            <w:bottom w:w="0" w:type="dxa"/>
            <w:right w:w="108" w:type="dxa"/>
          </w:tblCellMar>
        </w:tblPrEx>
        <w:trPr>
          <w:trHeight w:val="930" w:hRule="atLeast"/>
          <w:jc w:val="center"/>
        </w:trPr>
        <w:tc>
          <w:tcPr>
            <w:tcW w:w="979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8"/>
                <w:szCs w:val="28"/>
                <w:u w:val="none"/>
              </w:rPr>
            </w:pPr>
            <w:r>
              <w:rPr>
                <w:rFonts w:hint="eastAsia" w:ascii="宋体" w:hAnsi="宋体" w:eastAsia="宋体" w:cs="宋体"/>
                <w:b/>
                <w:bCs/>
                <w:color w:val="auto"/>
                <w:sz w:val="28"/>
                <w:szCs w:val="28"/>
              </w:rPr>
              <w:t>企业合规经营专业人才培训报名表</w:t>
            </w:r>
          </w:p>
        </w:tc>
      </w:tr>
      <w:tr>
        <w:tblPrEx>
          <w:tblCellMar>
            <w:top w:w="0" w:type="dxa"/>
            <w:left w:w="108" w:type="dxa"/>
            <w:bottom w:w="0" w:type="dxa"/>
            <w:right w:w="108" w:type="dxa"/>
          </w:tblCellMar>
        </w:tblPrEx>
        <w:trPr>
          <w:trHeight w:val="652" w:hRule="atLeast"/>
          <w:jc w:val="center"/>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姓名</w:t>
            </w:r>
          </w:p>
        </w:tc>
        <w:tc>
          <w:tcPr>
            <w:tcW w:w="13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8"/>
                <w:szCs w:val="28"/>
                <w:u w:val="none"/>
              </w:rPr>
            </w:pPr>
          </w:p>
        </w:tc>
        <w:tc>
          <w:tcPr>
            <w:tcW w:w="10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性别</w:t>
            </w: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8"/>
                <w:szCs w:val="28"/>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电话</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8"/>
                <w:szCs w:val="28"/>
                <w:u w:val="none"/>
              </w:rPr>
            </w:pPr>
          </w:p>
        </w:tc>
        <w:tc>
          <w:tcPr>
            <w:tcW w:w="2068" w:type="dxa"/>
            <w:vMerge w:val="restart"/>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（一寸蓝底</w:t>
            </w:r>
            <w:r>
              <w:rPr>
                <w:rFonts w:hint="eastAsia" w:ascii="宋体" w:hAnsi="宋体" w:eastAsia="宋体" w:cs="宋体"/>
                <w:i w:val="0"/>
                <w:iCs w:val="0"/>
                <w:color w:val="auto"/>
                <w:kern w:val="0"/>
                <w:sz w:val="28"/>
                <w:szCs w:val="28"/>
                <w:u w:val="none"/>
                <w:lang w:val="en-US" w:eastAsia="zh-CN" w:bidi="ar"/>
              </w:rPr>
              <w:br w:type="textWrapping"/>
            </w:r>
            <w:r>
              <w:rPr>
                <w:rFonts w:hint="eastAsia" w:ascii="宋体" w:hAnsi="宋体" w:eastAsia="宋体" w:cs="宋体"/>
                <w:i w:val="0"/>
                <w:iCs w:val="0"/>
                <w:color w:val="auto"/>
                <w:kern w:val="0"/>
                <w:sz w:val="28"/>
                <w:szCs w:val="28"/>
                <w:u w:val="none"/>
                <w:lang w:val="en-US" w:eastAsia="zh-CN" w:bidi="ar"/>
              </w:rPr>
              <w:t>证件照片）</w:t>
            </w:r>
          </w:p>
        </w:tc>
      </w:tr>
      <w:tr>
        <w:tblPrEx>
          <w:tblCellMar>
            <w:top w:w="0" w:type="dxa"/>
            <w:left w:w="108" w:type="dxa"/>
            <w:bottom w:w="0" w:type="dxa"/>
            <w:right w:w="108" w:type="dxa"/>
          </w:tblCellMar>
        </w:tblPrEx>
        <w:trPr>
          <w:trHeight w:val="568" w:hRule="atLeast"/>
          <w:jc w:val="center"/>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单位</w:t>
            </w:r>
          </w:p>
        </w:tc>
        <w:tc>
          <w:tcPr>
            <w:tcW w:w="318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8"/>
                <w:szCs w:val="28"/>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邮箱</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8"/>
                <w:szCs w:val="28"/>
                <w:u w:val="single"/>
              </w:rPr>
            </w:pPr>
          </w:p>
        </w:tc>
        <w:tc>
          <w:tcPr>
            <w:tcW w:w="206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8"/>
                <w:szCs w:val="28"/>
                <w:u w:val="none"/>
              </w:rPr>
            </w:pPr>
          </w:p>
        </w:tc>
      </w:tr>
      <w:tr>
        <w:tblPrEx>
          <w:tblCellMar>
            <w:top w:w="0" w:type="dxa"/>
            <w:left w:w="108" w:type="dxa"/>
            <w:bottom w:w="0" w:type="dxa"/>
            <w:right w:w="108" w:type="dxa"/>
          </w:tblCellMar>
        </w:tblPrEx>
        <w:trPr>
          <w:trHeight w:val="566" w:hRule="atLeast"/>
          <w:jc w:val="center"/>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身份证号</w:t>
            </w:r>
          </w:p>
        </w:tc>
        <w:tc>
          <w:tcPr>
            <w:tcW w:w="547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8"/>
                <w:szCs w:val="28"/>
                <w:u w:val="none"/>
              </w:rPr>
            </w:pPr>
          </w:p>
        </w:tc>
        <w:tc>
          <w:tcPr>
            <w:tcW w:w="206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8"/>
                <w:szCs w:val="28"/>
                <w:u w:val="none"/>
              </w:rPr>
            </w:pPr>
          </w:p>
        </w:tc>
      </w:tr>
      <w:tr>
        <w:tblPrEx>
          <w:tblCellMar>
            <w:top w:w="0" w:type="dxa"/>
            <w:left w:w="108" w:type="dxa"/>
            <w:bottom w:w="0" w:type="dxa"/>
            <w:right w:w="108" w:type="dxa"/>
          </w:tblCellMar>
        </w:tblPrEx>
        <w:trPr>
          <w:trHeight w:val="534" w:hRule="atLeast"/>
          <w:jc w:val="center"/>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8"/>
                <w:szCs w:val="28"/>
                <w:u w:val="none"/>
              </w:rPr>
            </w:pPr>
            <w:r>
              <w:rPr>
                <w:rFonts w:hint="eastAsia" w:ascii="宋体" w:hAnsi="宋体" w:eastAsia="宋体" w:cs="宋体"/>
                <w:i w:val="0"/>
                <w:iCs w:val="0"/>
                <w:color w:val="auto"/>
                <w:kern w:val="0"/>
                <w:sz w:val="28"/>
                <w:szCs w:val="28"/>
                <w:u w:val="none"/>
                <w:lang w:val="en-US" w:eastAsia="zh-CN" w:bidi="ar"/>
              </w:rPr>
              <w:t>地址</w:t>
            </w:r>
          </w:p>
        </w:tc>
        <w:tc>
          <w:tcPr>
            <w:tcW w:w="547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auto"/>
                <w:sz w:val="28"/>
                <w:szCs w:val="28"/>
                <w:u w:val="none"/>
              </w:rPr>
            </w:pPr>
          </w:p>
        </w:tc>
        <w:tc>
          <w:tcPr>
            <w:tcW w:w="2068"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8"/>
                <w:szCs w:val="28"/>
                <w:u w:val="none"/>
              </w:rPr>
            </w:pPr>
          </w:p>
        </w:tc>
      </w:tr>
      <w:tr>
        <w:tblPrEx>
          <w:tblCellMar>
            <w:top w:w="0" w:type="dxa"/>
            <w:left w:w="108" w:type="dxa"/>
            <w:bottom w:w="0" w:type="dxa"/>
            <w:right w:w="108" w:type="dxa"/>
          </w:tblCellMar>
        </w:tblPrEx>
        <w:trPr>
          <w:trHeight w:val="578" w:hRule="atLeast"/>
          <w:jc w:val="center"/>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毕业学校</w:t>
            </w:r>
          </w:p>
        </w:tc>
        <w:tc>
          <w:tcPr>
            <w:tcW w:w="23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学历</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学位</w:t>
            </w:r>
          </w:p>
        </w:tc>
        <w:tc>
          <w:tcPr>
            <w:tcW w:w="2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p>
        </w:tc>
      </w:tr>
      <w:tr>
        <w:tblPrEx>
          <w:tblCellMar>
            <w:top w:w="0" w:type="dxa"/>
            <w:left w:w="108" w:type="dxa"/>
            <w:bottom w:w="0" w:type="dxa"/>
            <w:right w:w="108" w:type="dxa"/>
          </w:tblCellMar>
        </w:tblPrEx>
        <w:trPr>
          <w:trHeight w:val="1729" w:hRule="atLeast"/>
          <w:jc w:val="center"/>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工作经历</w:t>
            </w:r>
          </w:p>
        </w:tc>
        <w:tc>
          <w:tcPr>
            <w:tcW w:w="75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p>
        </w:tc>
      </w:tr>
      <w:tr>
        <w:tblPrEx>
          <w:tblCellMar>
            <w:top w:w="0" w:type="dxa"/>
            <w:left w:w="108" w:type="dxa"/>
            <w:bottom w:w="0" w:type="dxa"/>
            <w:right w:w="108" w:type="dxa"/>
          </w:tblCellMar>
        </w:tblPrEx>
        <w:trPr>
          <w:trHeight w:val="1627" w:hRule="atLeast"/>
          <w:jc w:val="center"/>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社会荣誉</w:t>
            </w:r>
          </w:p>
        </w:tc>
        <w:tc>
          <w:tcPr>
            <w:tcW w:w="75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p>
        </w:tc>
      </w:tr>
      <w:tr>
        <w:tblPrEx>
          <w:tblCellMar>
            <w:top w:w="0" w:type="dxa"/>
            <w:left w:w="108" w:type="dxa"/>
            <w:bottom w:w="0" w:type="dxa"/>
            <w:right w:w="108" w:type="dxa"/>
          </w:tblCellMar>
        </w:tblPrEx>
        <w:trPr>
          <w:trHeight w:val="784" w:hRule="atLeast"/>
          <w:jc w:val="center"/>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备 注</w:t>
            </w:r>
            <w:r>
              <w:rPr>
                <w:rFonts w:hint="eastAsia" w:ascii="宋体" w:hAnsi="宋体" w:eastAsia="宋体" w:cs="宋体"/>
                <w:i w:val="0"/>
                <w:iCs w:val="0"/>
                <w:color w:val="auto"/>
                <w:kern w:val="0"/>
                <w:sz w:val="28"/>
                <w:szCs w:val="28"/>
                <w:u w:val="none"/>
                <w:lang w:val="en-US" w:eastAsia="zh-CN" w:bidi="ar"/>
              </w:rPr>
              <w:tab/>
            </w:r>
          </w:p>
        </w:tc>
        <w:tc>
          <w:tcPr>
            <w:tcW w:w="7539"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p>
        </w:tc>
      </w:tr>
      <w:tr>
        <w:tblPrEx>
          <w:tblCellMar>
            <w:top w:w="0" w:type="dxa"/>
            <w:left w:w="108" w:type="dxa"/>
            <w:bottom w:w="0" w:type="dxa"/>
            <w:right w:w="108" w:type="dxa"/>
          </w:tblCellMar>
        </w:tblPrEx>
        <w:trPr>
          <w:trHeight w:val="1680" w:hRule="atLeast"/>
          <w:jc w:val="center"/>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汇款方式</w:t>
            </w:r>
          </w:p>
        </w:tc>
        <w:tc>
          <w:tcPr>
            <w:tcW w:w="75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rPr>
                <w:rFonts w:hint="default" w:ascii="仿宋" w:hAnsi="仿宋" w:eastAsia="仿宋" w:cstheme="minorEastAsia"/>
                <w:color w:val="000000" w:themeColor="text1"/>
                <w:sz w:val="24"/>
                <w:szCs w:val="24"/>
                <w:highlight w:val="none"/>
                <w14:textFill>
                  <w14:solidFill>
                    <w14:schemeClr w14:val="tx1"/>
                  </w14:solidFill>
                </w14:textFill>
              </w:rPr>
            </w:pPr>
            <w:r>
              <w:rPr>
                <w:rFonts w:hint="default" w:ascii="仿宋" w:hAnsi="仿宋" w:eastAsia="仿宋" w:cstheme="minorEastAsia"/>
                <w:color w:val="000000" w:themeColor="text1"/>
                <w:sz w:val="24"/>
                <w:szCs w:val="24"/>
                <w:highlight w:val="none"/>
                <w14:textFill>
                  <w14:solidFill>
                    <w14:schemeClr w14:val="tx1"/>
                  </w14:solidFill>
                </w14:textFill>
              </w:rPr>
              <w:t>户  名: 北京中科领航教育咨询有限公司</w:t>
            </w:r>
          </w:p>
          <w:p>
            <w:pPr>
              <w:widowControl/>
              <w:spacing w:line="440" w:lineRule="exact"/>
              <w:rPr>
                <w:rFonts w:hint="default" w:ascii="仿宋" w:hAnsi="仿宋" w:eastAsia="仿宋" w:cstheme="minorEastAsia"/>
                <w:color w:val="000000" w:themeColor="text1"/>
                <w:sz w:val="24"/>
                <w:szCs w:val="24"/>
                <w:highlight w:val="none"/>
                <w14:textFill>
                  <w14:solidFill>
                    <w14:schemeClr w14:val="tx1"/>
                  </w14:solidFill>
                </w14:textFill>
              </w:rPr>
            </w:pPr>
            <w:r>
              <w:rPr>
                <w:rFonts w:hint="default" w:ascii="仿宋" w:hAnsi="仿宋" w:eastAsia="仿宋" w:cstheme="minorEastAsia"/>
                <w:color w:val="000000" w:themeColor="text1"/>
                <w:sz w:val="24"/>
                <w:szCs w:val="24"/>
                <w:highlight w:val="none"/>
                <w14:textFill>
                  <w14:solidFill>
                    <w14:schemeClr w14:val="tx1"/>
                  </w14:solidFill>
                </w14:textFill>
              </w:rPr>
              <w:t>开户行：中国工商银行股份有限公司北京半壁店支行</w:t>
            </w:r>
          </w:p>
          <w:p>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8"/>
                <w:szCs w:val="28"/>
                <w:u w:val="none"/>
                <w:lang w:val="en-US" w:eastAsia="zh-CN" w:bidi="ar"/>
              </w:rPr>
            </w:pPr>
            <w:r>
              <w:rPr>
                <w:rFonts w:hint="default" w:ascii="仿宋" w:hAnsi="仿宋" w:eastAsia="仿宋" w:cstheme="minorEastAsia"/>
                <w:color w:val="000000" w:themeColor="text1"/>
                <w:sz w:val="24"/>
                <w:szCs w:val="24"/>
                <w:highlight w:val="none"/>
                <w14:textFill>
                  <w14:solidFill>
                    <w14:schemeClr w14:val="tx1"/>
                  </w14:solidFill>
                </w14:textFill>
              </w:rPr>
              <w:t>账  号：0200247009200076612</w:t>
            </w:r>
          </w:p>
        </w:tc>
      </w:tr>
      <w:tr>
        <w:tblPrEx>
          <w:tblCellMar>
            <w:top w:w="0" w:type="dxa"/>
            <w:left w:w="108" w:type="dxa"/>
            <w:bottom w:w="0" w:type="dxa"/>
            <w:right w:w="108" w:type="dxa"/>
          </w:tblCellMar>
        </w:tblPrEx>
        <w:trPr>
          <w:trHeight w:val="998" w:hRule="atLeast"/>
          <w:jc w:val="center"/>
        </w:trPr>
        <w:tc>
          <w:tcPr>
            <w:tcW w:w="22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r>
              <w:rPr>
                <w:rFonts w:hint="eastAsia" w:ascii="宋体" w:hAnsi="宋体" w:eastAsia="宋体" w:cs="宋体"/>
                <w:i w:val="0"/>
                <w:iCs w:val="0"/>
                <w:color w:val="auto"/>
                <w:kern w:val="0"/>
                <w:sz w:val="28"/>
                <w:szCs w:val="28"/>
                <w:u w:val="none"/>
                <w:lang w:val="en-US" w:eastAsia="zh-CN" w:bidi="ar"/>
              </w:rPr>
              <w:t>备 注</w:t>
            </w:r>
            <w:r>
              <w:rPr>
                <w:rFonts w:hint="eastAsia" w:ascii="宋体" w:hAnsi="宋体" w:eastAsia="宋体" w:cs="宋体"/>
                <w:i w:val="0"/>
                <w:iCs w:val="0"/>
                <w:color w:val="auto"/>
                <w:kern w:val="0"/>
                <w:sz w:val="28"/>
                <w:szCs w:val="28"/>
                <w:u w:val="none"/>
                <w:lang w:val="en-US" w:eastAsia="zh-CN" w:bidi="ar"/>
              </w:rPr>
              <w:tab/>
            </w:r>
          </w:p>
        </w:tc>
        <w:tc>
          <w:tcPr>
            <w:tcW w:w="753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8"/>
                <w:szCs w:val="28"/>
                <w:u w:val="none"/>
                <w:lang w:val="en-US" w:eastAsia="zh-CN" w:bidi="ar"/>
              </w:rPr>
            </w:pPr>
          </w:p>
        </w:tc>
      </w:tr>
    </w:tbl>
    <w:p>
      <w:pPr>
        <w:pStyle w:val="2"/>
        <w:rPr>
          <w:rFonts w:hint="eastAsia" w:ascii="宋体" w:hAnsi="宋体" w:eastAsia="宋体" w:cs="宋体"/>
          <w:sz w:val="28"/>
          <w:szCs w:val="28"/>
        </w:rPr>
      </w:pPr>
      <w:r>
        <w:rPr>
          <w:rFonts w:hint="eastAsia" w:ascii="宋体" w:hAnsi="宋体" w:eastAsia="宋体" w:cs="宋体"/>
          <w:sz w:val="28"/>
          <w:szCs w:val="28"/>
        </w:rPr>
        <w:t xml:space="preserve">报名负责人：聂红军 主任18211071700（微信）   </w:t>
      </w:r>
    </w:p>
    <w:p>
      <w:pPr>
        <w:pStyle w:val="2"/>
        <w:rPr>
          <w:rFonts w:hint="eastAsia" w:ascii="宋体" w:hAnsi="宋体" w:eastAsia="宋体" w:cs="宋体"/>
          <w:sz w:val="28"/>
          <w:szCs w:val="28"/>
        </w:rPr>
      </w:pPr>
      <w:r>
        <w:rPr>
          <w:rFonts w:hint="eastAsia" w:ascii="宋体" w:hAnsi="宋体" w:eastAsia="宋体" w:cs="宋体"/>
          <w:sz w:val="28"/>
          <w:szCs w:val="28"/>
        </w:rPr>
        <w:t xml:space="preserve">电  话：010-87697580      邮    箱：zqgphwz@126.com  </w:t>
      </w:r>
    </w:p>
    <w:p>
      <w:pPr>
        <w:pStyle w:val="2"/>
        <w:rPr>
          <w:rFonts w:hint="eastAsia" w:ascii="仿宋" w:hAnsi="仿宋" w:eastAsia="仿宋" w:cs="仿宋_GB2312"/>
          <w:color w:val="2C2C2C"/>
          <w:sz w:val="30"/>
          <w:szCs w:val="30"/>
        </w:rPr>
      </w:pPr>
      <w:r>
        <w:rPr>
          <w:rFonts w:hint="eastAsia" w:ascii="宋体" w:hAnsi="宋体" w:eastAsia="宋体" w:cs="宋体"/>
          <w:sz w:val="28"/>
          <w:szCs w:val="28"/>
        </w:rPr>
        <w:t>qq咨询：3177524020        网址查询：http://www.zqgpchina.cn/</w:t>
      </w:r>
    </w:p>
    <w:p>
      <w:pPr>
        <w:spacing w:line="420" w:lineRule="exact"/>
        <w:rPr>
          <w:rFonts w:hint="eastAsia" w:ascii="黑体" w:hAnsi="黑体" w:eastAsia="黑体"/>
          <w:b/>
          <w:bCs/>
          <w:sz w:val="36"/>
          <w:szCs w:val="36"/>
        </w:rPr>
      </w:pPr>
      <w:bookmarkStart w:id="0" w:name="_GoBack"/>
      <w:bookmarkEnd w:id="0"/>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080F3C52" w:usb2="00000016" w:usb3="00000000" w:csb0="0004001F"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193027"/>
    <w:multiLevelType w:val="singleLevel"/>
    <w:tmpl w:val="85193027"/>
    <w:lvl w:ilvl="0" w:tentative="0">
      <w:start w:val="1"/>
      <w:numFmt w:val="decimal"/>
      <w:lvlText w:val="%1."/>
      <w:lvlJc w:val="left"/>
      <w:pPr>
        <w:tabs>
          <w:tab w:val="left" w:pos="312"/>
        </w:tabs>
      </w:pPr>
    </w:lvl>
  </w:abstractNum>
  <w:abstractNum w:abstractNumId="1">
    <w:nsid w:val="A270AA51"/>
    <w:multiLevelType w:val="singleLevel"/>
    <w:tmpl w:val="A270AA51"/>
    <w:lvl w:ilvl="0" w:tentative="0">
      <w:start w:val="1"/>
      <w:numFmt w:val="decimal"/>
      <w:lvlText w:val="%1."/>
      <w:lvlJc w:val="left"/>
      <w:pPr>
        <w:tabs>
          <w:tab w:val="left" w:pos="312"/>
        </w:tabs>
      </w:pPr>
    </w:lvl>
  </w:abstractNum>
  <w:abstractNum w:abstractNumId="2">
    <w:nsid w:val="AC0DA0EE"/>
    <w:multiLevelType w:val="singleLevel"/>
    <w:tmpl w:val="AC0DA0EE"/>
    <w:lvl w:ilvl="0" w:tentative="0">
      <w:start w:val="8"/>
      <w:numFmt w:val="chineseCounting"/>
      <w:suff w:val="nothing"/>
      <w:lvlText w:val="%1、"/>
      <w:lvlJc w:val="left"/>
      <w:rPr>
        <w:rFonts w:hint="eastAsia"/>
      </w:rPr>
    </w:lvl>
  </w:abstractNum>
  <w:abstractNum w:abstractNumId="3">
    <w:nsid w:val="B8CB9AC5"/>
    <w:multiLevelType w:val="singleLevel"/>
    <w:tmpl w:val="B8CB9AC5"/>
    <w:lvl w:ilvl="0" w:tentative="0">
      <w:start w:val="1"/>
      <w:numFmt w:val="decimal"/>
      <w:lvlText w:val="%1."/>
      <w:lvlJc w:val="left"/>
      <w:pPr>
        <w:tabs>
          <w:tab w:val="left" w:pos="312"/>
        </w:tabs>
      </w:pPr>
    </w:lvl>
  </w:abstractNum>
  <w:abstractNum w:abstractNumId="4">
    <w:nsid w:val="E273F521"/>
    <w:multiLevelType w:val="singleLevel"/>
    <w:tmpl w:val="E273F521"/>
    <w:lvl w:ilvl="0" w:tentative="0">
      <w:start w:val="1"/>
      <w:numFmt w:val="decimal"/>
      <w:lvlText w:val="%1."/>
      <w:lvlJc w:val="left"/>
      <w:pPr>
        <w:tabs>
          <w:tab w:val="left" w:pos="312"/>
        </w:tabs>
      </w:pPr>
    </w:lvl>
  </w:abstractNum>
  <w:abstractNum w:abstractNumId="5">
    <w:nsid w:val="53430336"/>
    <w:multiLevelType w:val="singleLevel"/>
    <w:tmpl w:val="53430336"/>
    <w:lvl w:ilvl="0" w:tentative="0">
      <w:start w:val="1"/>
      <w:numFmt w:val="decimal"/>
      <w:lvlText w:val="%1."/>
      <w:lvlJc w:val="left"/>
      <w:pPr>
        <w:tabs>
          <w:tab w:val="left" w:pos="312"/>
        </w:tabs>
      </w:pPr>
    </w:lvl>
  </w:abstractNum>
  <w:abstractNum w:abstractNumId="6">
    <w:nsid w:val="5950AAEB"/>
    <w:multiLevelType w:val="singleLevel"/>
    <w:tmpl w:val="5950AAEB"/>
    <w:lvl w:ilvl="0" w:tentative="0">
      <w:start w:val="1"/>
      <w:numFmt w:val="decimal"/>
      <w:lvlText w:val="%1."/>
      <w:lvlJc w:val="left"/>
      <w:pPr>
        <w:tabs>
          <w:tab w:val="left" w:pos="312"/>
        </w:tabs>
      </w:pPr>
    </w:lvl>
  </w:abstractNum>
  <w:abstractNum w:abstractNumId="7">
    <w:nsid w:val="59F607E7"/>
    <w:multiLevelType w:val="singleLevel"/>
    <w:tmpl w:val="59F607E7"/>
    <w:lvl w:ilvl="0" w:tentative="0">
      <w:start w:val="1"/>
      <w:numFmt w:val="decimal"/>
      <w:lvlText w:val="%1."/>
      <w:lvlJc w:val="left"/>
      <w:pPr>
        <w:tabs>
          <w:tab w:val="left" w:pos="312"/>
        </w:tabs>
      </w:pPr>
    </w:lvl>
  </w:abstractNum>
  <w:abstractNum w:abstractNumId="8">
    <w:nsid w:val="5CF2F09C"/>
    <w:multiLevelType w:val="singleLevel"/>
    <w:tmpl w:val="5CF2F09C"/>
    <w:lvl w:ilvl="0" w:tentative="0">
      <w:start w:val="1"/>
      <w:numFmt w:val="decimal"/>
      <w:lvlText w:val="%1."/>
      <w:lvlJc w:val="left"/>
      <w:pPr>
        <w:tabs>
          <w:tab w:val="left" w:pos="312"/>
        </w:tabs>
      </w:pPr>
    </w:lvl>
  </w:abstractNum>
  <w:num w:numId="1">
    <w:abstractNumId w:val="1"/>
  </w:num>
  <w:num w:numId="2">
    <w:abstractNumId w:val="8"/>
  </w:num>
  <w:num w:numId="3">
    <w:abstractNumId w:val="5"/>
  </w:num>
  <w:num w:numId="4">
    <w:abstractNumId w:val="0"/>
  </w:num>
  <w:num w:numId="5">
    <w:abstractNumId w:val="6"/>
  </w:num>
  <w:num w:numId="6">
    <w:abstractNumId w:val="3"/>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iYzkzNzk2ZDZmMTc2M2UwNGM0NDE5OGM1ZmVlN2IifQ=="/>
  </w:docVars>
  <w:rsids>
    <w:rsidRoot w:val="44E9335A"/>
    <w:rsid w:val="00126710"/>
    <w:rsid w:val="00395C35"/>
    <w:rsid w:val="003A6547"/>
    <w:rsid w:val="003C6F66"/>
    <w:rsid w:val="003D5947"/>
    <w:rsid w:val="00415D1C"/>
    <w:rsid w:val="00526BDC"/>
    <w:rsid w:val="006355AD"/>
    <w:rsid w:val="0082157E"/>
    <w:rsid w:val="008F2C45"/>
    <w:rsid w:val="009B18AB"/>
    <w:rsid w:val="00A206A9"/>
    <w:rsid w:val="00EC4B55"/>
    <w:rsid w:val="00FC06C5"/>
    <w:rsid w:val="00FD215A"/>
    <w:rsid w:val="01060441"/>
    <w:rsid w:val="01421494"/>
    <w:rsid w:val="01A15D73"/>
    <w:rsid w:val="01CF0DA4"/>
    <w:rsid w:val="029619A6"/>
    <w:rsid w:val="02E90150"/>
    <w:rsid w:val="039F1C20"/>
    <w:rsid w:val="04550B80"/>
    <w:rsid w:val="047A710A"/>
    <w:rsid w:val="04C16BC8"/>
    <w:rsid w:val="04FA09BD"/>
    <w:rsid w:val="050776D8"/>
    <w:rsid w:val="05171D67"/>
    <w:rsid w:val="054D205E"/>
    <w:rsid w:val="05A46876"/>
    <w:rsid w:val="05F2495B"/>
    <w:rsid w:val="07112A5D"/>
    <w:rsid w:val="07A53C3E"/>
    <w:rsid w:val="07B9102D"/>
    <w:rsid w:val="08926BCB"/>
    <w:rsid w:val="08A94F8B"/>
    <w:rsid w:val="08FD6CB2"/>
    <w:rsid w:val="099D6A32"/>
    <w:rsid w:val="09F61F78"/>
    <w:rsid w:val="0A173A74"/>
    <w:rsid w:val="0A551239"/>
    <w:rsid w:val="0A8F6B0C"/>
    <w:rsid w:val="0A9902CD"/>
    <w:rsid w:val="0AD60CDF"/>
    <w:rsid w:val="0C0B2673"/>
    <w:rsid w:val="0C227AE8"/>
    <w:rsid w:val="0C2C5409"/>
    <w:rsid w:val="0C4061DF"/>
    <w:rsid w:val="0DE678B2"/>
    <w:rsid w:val="0E1972AF"/>
    <w:rsid w:val="0E4233E9"/>
    <w:rsid w:val="0EAF1C6A"/>
    <w:rsid w:val="0EB03625"/>
    <w:rsid w:val="0F0F62D9"/>
    <w:rsid w:val="0F847A0B"/>
    <w:rsid w:val="0FF64005"/>
    <w:rsid w:val="10A4297D"/>
    <w:rsid w:val="10E076D3"/>
    <w:rsid w:val="116A633A"/>
    <w:rsid w:val="11930F72"/>
    <w:rsid w:val="11D126FB"/>
    <w:rsid w:val="11DD5DA6"/>
    <w:rsid w:val="123D3247"/>
    <w:rsid w:val="13832745"/>
    <w:rsid w:val="13A077A0"/>
    <w:rsid w:val="1664395B"/>
    <w:rsid w:val="176149D8"/>
    <w:rsid w:val="179A5EE0"/>
    <w:rsid w:val="17D83BEE"/>
    <w:rsid w:val="188D15CA"/>
    <w:rsid w:val="18DA1F8B"/>
    <w:rsid w:val="190351F6"/>
    <w:rsid w:val="19673843"/>
    <w:rsid w:val="197C398C"/>
    <w:rsid w:val="19953C6C"/>
    <w:rsid w:val="199C3ED4"/>
    <w:rsid w:val="1B0E2D7B"/>
    <w:rsid w:val="1BCB7717"/>
    <w:rsid w:val="1C392D6D"/>
    <w:rsid w:val="1C3E4B02"/>
    <w:rsid w:val="1C7F404A"/>
    <w:rsid w:val="1DC2259A"/>
    <w:rsid w:val="1DC70D9B"/>
    <w:rsid w:val="1F464796"/>
    <w:rsid w:val="1FDC5E15"/>
    <w:rsid w:val="1FE41427"/>
    <w:rsid w:val="201B25E5"/>
    <w:rsid w:val="203C65B2"/>
    <w:rsid w:val="207C4E98"/>
    <w:rsid w:val="20B56A55"/>
    <w:rsid w:val="20D208F4"/>
    <w:rsid w:val="21647201"/>
    <w:rsid w:val="21E27415"/>
    <w:rsid w:val="21E72BD4"/>
    <w:rsid w:val="22A03834"/>
    <w:rsid w:val="234B4A63"/>
    <w:rsid w:val="25C20C10"/>
    <w:rsid w:val="25D007BE"/>
    <w:rsid w:val="26894844"/>
    <w:rsid w:val="268A5BE9"/>
    <w:rsid w:val="26A94B0A"/>
    <w:rsid w:val="27C03714"/>
    <w:rsid w:val="28200713"/>
    <w:rsid w:val="283D182A"/>
    <w:rsid w:val="284C4BB8"/>
    <w:rsid w:val="28525195"/>
    <w:rsid w:val="290D196F"/>
    <w:rsid w:val="29475A5D"/>
    <w:rsid w:val="29777E28"/>
    <w:rsid w:val="29DD074D"/>
    <w:rsid w:val="2BA61154"/>
    <w:rsid w:val="2BAA2935"/>
    <w:rsid w:val="2C5139EA"/>
    <w:rsid w:val="2CC517C2"/>
    <w:rsid w:val="2DB44479"/>
    <w:rsid w:val="2E896B2E"/>
    <w:rsid w:val="2F83582A"/>
    <w:rsid w:val="301E2C2B"/>
    <w:rsid w:val="305540D9"/>
    <w:rsid w:val="306F49A9"/>
    <w:rsid w:val="314F063B"/>
    <w:rsid w:val="32C16B2B"/>
    <w:rsid w:val="3335259D"/>
    <w:rsid w:val="33DC3D3A"/>
    <w:rsid w:val="34B2494A"/>
    <w:rsid w:val="34D3033C"/>
    <w:rsid w:val="352C6DFA"/>
    <w:rsid w:val="35F677F1"/>
    <w:rsid w:val="36282906"/>
    <w:rsid w:val="3712297D"/>
    <w:rsid w:val="376B164D"/>
    <w:rsid w:val="377D5CA1"/>
    <w:rsid w:val="38864FC5"/>
    <w:rsid w:val="389D3370"/>
    <w:rsid w:val="38A67B08"/>
    <w:rsid w:val="38DA1C02"/>
    <w:rsid w:val="38E82AFE"/>
    <w:rsid w:val="392D3120"/>
    <w:rsid w:val="39740DFE"/>
    <w:rsid w:val="398636AB"/>
    <w:rsid w:val="3A856147"/>
    <w:rsid w:val="3B665E05"/>
    <w:rsid w:val="3B717BF6"/>
    <w:rsid w:val="3BA7165C"/>
    <w:rsid w:val="3BD145C3"/>
    <w:rsid w:val="3C057493"/>
    <w:rsid w:val="3C0D4BF8"/>
    <w:rsid w:val="3C627A79"/>
    <w:rsid w:val="3CF81A16"/>
    <w:rsid w:val="3D1C6313"/>
    <w:rsid w:val="3D9C63D7"/>
    <w:rsid w:val="3DC44310"/>
    <w:rsid w:val="3DF23AF3"/>
    <w:rsid w:val="3E3E62D7"/>
    <w:rsid w:val="3E6758F0"/>
    <w:rsid w:val="3E6C774A"/>
    <w:rsid w:val="3E93040B"/>
    <w:rsid w:val="3FA246AC"/>
    <w:rsid w:val="3FC40ABE"/>
    <w:rsid w:val="40AF6BC4"/>
    <w:rsid w:val="40E67640"/>
    <w:rsid w:val="41AF2851"/>
    <w:rsid w:val="41E11356"/>
    <w:rsid w:val="41E4533B"/>
    <w:rsid w:val="42626C49"/>
    <w:rsid w:val="42921A3C"/>
    <w:rsid w:val="42A877B8"/>
    <w:rsid w:val="42E239E4"/>
    <w:rsid w:val="43207D25"/>
    <w:rsid w:val="43D5724D"/>
    <w:rsid w:val="449B6C3A"/>
    <w:rsid w:val="44E9335A"/>
    <w:rsid w:val="45241EF2"/>
    <w:rsid w:val="45871C01"/>
    <w:rsid w:val="45B7173F"/>
    <w:rsid w:val="464A121D"/>
    <w:rsid w:val="46A74467"/>
    <w:rsid w:val="46C61088"/>
    <w:rsid w:val="4706213D"/>
    <w:rsid w:val="47E537D9"/>
    <w:rsid w:val="48EC258F"/>
    <w:rsid w:val="49210E8D"/>
    <w:rsid w:val="49922183"/>
    <w:rsid w:val="49D67A09"/>
    <w:rsid w:val="4AAC699A"/>
    <w:rsid w:val="4AF96718"/>
    <w:rsid w:val="4B192A1A"/>
    <w:rsid w:val="4B340A63"/>
    <w:rsid w:val="4B3E25A0"/>
    <w:rsid w:val="4B776027"/>
    <w:rsid w:val="4BBC590A"/>
    <w:rsid w:val="4BED1A83"/>
    <w:rsid w:val="4D0B144D"/>
    <w:rsid w:val="4D20222F"/>
    <w:rsid w:val="4E17137F"/>
    <w:rsid w:val="4E877BB9"/>
    <w:rsid w:val="4F66756E"/>
    <w:rsid w:val="4F925850"/>
    <w:rsid w:val="5041158F"/>
    <w:rsid w:val="504D6937"/>
    <w:rsid w:val="509D4F72"/>
    <w:rsid w:val="50DB7B7F"/>
    <w:rsid w:val="51422FAD"/>
    <w:rsid w:val="51E660DE"/>
    <w:rsid w:val="52BE63B4"/>
    <w:rsid w:val="52F21417"/>
    <w:rsid w:val="533B630C"/>
    <w:rsid w:val="53A62227"/>
    <w:rsid w:val="54225104"/>
    <w:rsid w:val="54D400E9"/>
    <w:rsid w:val="55564AD5"/>
    <w:rsid w:val="55E15141"/>
    <w:rsid w:val="570B3487"/>
    <w:rsid w:val="571E6A26"/>
    <w:rsid w:val="58EF739F"/>
    <w:rsid w:val="59122D41"/>
    <w:rsid w:val="59380C41"/>
    <w:rsid w:val="593E2A3E"/>
    <w:rsid w:val="598478A4"/>
    <w:rsid w:val="599F7845"/>
    <w:rsid w:val="59B2428D"/>
    <w:rsid w:val="59D5494A"/>
    <w:rsid w:val="59F67CAE"/>
    <w:rsid w:val="5A444C00"/>
    <w:rsid w:val="5B5655D0"/>
    <w:rsid w:val="5B7D2841"/>
    <w:rsid w:val="5C2F6C47"/>
    <w:rsid w:val="5C6F40E9"/>
    <w:rsid w:val="5CE72A90"/>
    <w:rsid w:val="5DDF6AD2"/>
    <w:rsid w:val="5E37292B"/>
    <w:rsid w:val="5F917F4A"/>
    <w:rsid w:val="5FEC7E16"/>
    <w:rsid w:val="5FF45053"/>
    <w:rsid w:val="606B73F8"/>
    <w:rsid w:val="60DD5FF3"/>
    <w:rsid w:val="61293C2F"/>
    <w:rsid w:val="61322EC6"/>
    <w:rsid w:val="61F87323"/>
    <w:rsid w:val="62DE544A"/>
    <w:rsid w:val="63FF2724"/>
    <w:rsid w:val="64947BD5"/>
    <w:rsid w:val="64CC14FA"/>
    <w:rsid w:val="658F3BCD"/>
    <w:rsid w:val="65E007E0"/>
    <w:rsid w:val="66752F56"/>
    <w:rsid w:val="679E206F"/>
    <w:rsid w:val="67C06EA1"/>
    <w:rsid w:val="67D976C1"/>
    <w:rsid w:val="68394F5F"/>
    <w:rsid w:val="697E1591"/>
    <w:rsid w:val="69824B79"/>
    <w:rsid w:val="69D922AF"/>
    <w:rsid w:val="69EC3309"/>
    <w:rsid w:val="6A000C13"/>
    <w:rsid w:val="6A621736"/>
    <w:rsid w:val="6A95664F"/>
    <w:rsid w:val="6AFF5619"/>
    <w:rsid w:val="6B3B530A"/>
    <w:rsid w:val="6B59757F"/>
    <w:rsid w:val="6C783951"/>
    <w:rsid w:val="6D340D90"/>
    <w:rsid w:val="6D3E48EC"/>
    <w:rsid w:val="6E0C3015"/>
    <w:rsid w:val="6E607840"/>
    <w:rsid w:val="6E964C46"/>
    <w:rsid w:val="6F031CB1"/>
    <w:rsid w:val="6F1937FE"/>
    <w:rsid w:val="6F8C7356"/>
    <w:rsid w:val="6FBD061C"/>
    <w:rsid w:val="70FE2170"/>
    <w:rsid w:val="71252D13"/>
    <w:rsid w:val="718B3CB4"/>
    <w:rsid w:val="720439CF"/>
    <w:rsid w:val="720B5189"/>
    <w:rsid w:val="7244187E"/>
    <w:rsid w:val="72CF033A"/>
    <w:rsid w:val="72FA708E"/>
    <w:rsid w:val="7334057E"/>
    <w:rsid w:val="73BE5958"/>
    <w:rsid w:val="73CE3B77"/>
    <w:rsid w:val="74121F82"/>
    <w:rsid w:val="74536F72"/>
    <w:rsid w:val="74C56B26"/>
    <w:rsid w:val="74F00DA3"/>
    <w:rsid w:val="75293D0F"/>
    <w:rsid w:val="7691481E"/>
    <w:rsid w:val="769E4B67"/>
    <w:rsid w:val="76AD43AF"/>
    <w:rsid w:val="76EE14A7"/>
    <w:rsid w:val="78A21197"/>
    <w:rsid w:val="78AA0E52"/>
    <w:rsid w:val="790E1A98"/>
    <w:rsid w:val="79D00965"/>
    <w:rsid w:val="79E656C0"/>
    <w:rsid w:val="7A0B4AC9"/>
    <w:rsid w:val="7A26189B"/>
    <w:rsid w:val="7AB371E8"/>
    <w:rsid w:val="7B170470"/>
    <w:rsid w:val="7B176B4E"/>
    <w:rsid w:val="7B4A55B4"/>
    <w:rsid w:val="7C243341"/>
    <w:rsid w:val="7C6F69EB"/>
    <w:rsid w:val="7DCA0222"/>
    <w:rsid w:val="7E6B07A2"/>
    <w:rsid w:val="7E766111"/>
    <w:rsid w:val="7F026F2E"/>
    <w:rsid w:val="7F744DAD"/>
    <w:rsid w:val="7FB43032"/>
    <w:rsid w:val="7FE348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1440"/>
      </w:tabs>
      <w:spacing w:after="0" w:line="360" w:lineRule="auto"/>
      <w:ind w:left="176" w:leftChars="0" w:firstLine="420" w:firstLineChars="200"/>
    </w:pPr>
    <w:rPr>
      <w:rFonts w:ascii="仿宋" w:hAnsi="Times New Roman" w:eastAsia="仿宋"/>
      <w:kern w:val="2"/>
      <w:szCs w:val="24"/>
    </w:rPr>
  </w:style>
  <w:style w:type="paragraph" w:styleId="3">
    <w:name w:val="Body Text Indent"/>
    <w:basedOn w:val="1"/>
    <w:semiHidden/>
    <w:unhideWhenUsed/>
    <w:qFormat/>
    <w:uiPriority w:val="99"/>
    <w:pPr>
      <w:spacing w:after="120"/>
      <w:ind w:left="420" w:leftChars="200"/>
    </w:pPr>
  </w:style>
  <w:style w:type="paragraph" w:styleId="5">
    <w:name w:val="Body Text"/>
    <w:basedOn w:val="1"/>
    <w:qFormat/>
    <w:uiPriority w:val="0"/>
    <w:pPr>
      <w:spacing w:line="500" w:lineRule="exact"/>
    </w:pPr>
    <w:rPr>
      <w:sz w:val="24"/>
      <w:szCs w:val="20"/>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eastAsia="宋体" w:cs="宋体"/>
      <w:sz w:val="24"/>
    </w:rPr>
  </w:style>
  <w:style w:type="paragraph" w:styleId="9">
    <w:name w:val="Normal (Web)"/>
    <w:basedOn w:val="1"/>
    <w:qFormat/>
    <w:uiPriority w:val="99"/>
    <w:pPr>
      <w:spacing w:beforeAutospacing="1" w:afterAutospacing="1"/>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rPr>
  </w:style>
  <w:style w:type="character" w:styleId="14">
    <w:name w:val="page number"/>
    <w:basedOn w:val="12"/>
    <w:qFormat/>
    <w:uiPriority w:val="0"/>
  </w:style>
  <w:style w:type="character" w:styleId="15">
    <w:name w:val="Emphasis"/>
    <w:basedOn w:val="12"/>
    <w:qFormat/>
    <w:uiPriority w:val="0"/>
    <w:rPr>
      <w:i/>
    </w:rPr>
  </w:style>
  <w:style w:type="character" w:styleId="16">
    <w:name w:val="Hyperlink"/>
    <w:basedOn w:val="12"/>
    <w:qFormat/>
    <w:uiPriority w:val="0"/>
    <w:rPr>
      <w:color w:val="0000FF"/>
      <w:u w:val="single"/>
    </w:rPr>
  </w:style>
  <w:style w:type="paragraph" w:customStyle="1" w:styleId="17">
    <w:name w:val="Table Paragraph"/>
    <w:basedOn w:val="1"/>
    <w:qFormat/>
    <w:uiPriority w:val="1"/>
    <w:rPr>
      <w:rFonts w:ascii="仿宋" w:hAnsi="仿宋" w:eastAsia="仿宋" w:cs="仿宋"/>
    </w:rPr>
  </w:style>
  <w:style w:type="paragraph" w:customStyle="1" w:styleId="18">
    <w:name w:val="pgc-h-arrow-right"/>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371</Words>
  <Characters>2117</Characters>
  <Lines>17</Lines>
  <Paragraphs>4</Paragraphs>
  <TotalTime>14</TotalTime>
  <ScaleCrop>false</ScaleCrop>
  <LinksUpToDate>false</LinksUpToDate>
  <CharactersWithSpaces>2484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2021-04-28T01:55:00Z</dcterms:created>
  <dc:creator>唐琪leeson</dc:creator>
  <cp:lastModifiedBy>聂红军</cp:lastModifiedBy>
  <dcterms:modified xsi:type="dcterms:W3CDTF">2022-05-09T00:27:39Z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77B9BD66E64E478891DED0944D0B866B</vt:lpwstr>
  </property>
</Properties>
</file>