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distribute"/>
        <w:rPr>
          <w:rFonts w:ascii="宋体" w:hAnsi="宋体" w:cs="宋体"/>
          <w:b/>
          <w:color w:val="FF0000"/>
          <w:sz w:val="72"/>
          <w:szCs w:val="72"/>
          <w:shd w:val="clear" w:color="auto" w:fill="FFFFFF"/>
        </w:rPr>
      </w:pPr>
      <w:r>
        <w:rPr>
          <w:rFonts w:hint="eastAsia" w:ascii="宋体" w:hAnsi="宋体" w:cs="宋体"/>
          <w:b/>
          <w:color w:val="FF0000"/>
          <w:sz w:val="72"/>
          <w:szCs w:val="72"/>
          <w:shd w:val="clear" w:color="auto" w:fill="FFFFFF"/>
        </w:rPr>
        <w:t>中国中小企业协会</w:t>
      </w:r>
    </w:p>
    <w:p>
      <w:pPr>
        <w:spacing w:line="440" w:lineRule="exac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23495</wp:posOffset>
                </wp:positionV>
                <wp:extent cx="5308600" cy="825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600" cy="825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pt;margin-top:1.85pt;height:0.65pt;width:418pt;z-index:251659264;mso-width-relative:page;mso-height-relative:page;" filled="f" stroked="t" coordsize="21600,21600" o:gfxdata="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8oqYjSAAAA&#10;BQEAAA8AAAAAAAAAAQAgAAAAIgAAAGRycy9kb3ducmV2LnhtbFBLAQIUABQAAAAIAIdO4kB2ZFVb&#10;6gEAALUDAAAOAAAAAAAAAAEAIAAAACEBAABkcnMvZTJvRG9jLnhtbFBLBQYAAAAABgAGAFkBAAB9&#10;BQAAAAA=&#10;">
                <v:fill on="f" focussize="0,0"/>
                <v:stroke weight="1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关于开展企业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  <w:lang w:val="en-US" w:eastAsia="zh-CN"/>
        </w:rPr>
        <w:t>全面法律风险管理系列人才培训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项目的通知</w:t>
      </w:r>
    </w:p>
    <w:p>
      <w:pPr>
        <w:spacing w:line="500" w:lineRule="exact"/>
        <w:jc w:val="center"/>
        <w:rPr>
          <w:rFonts w:ascii="华文中宋" w:hAnsi="华文中宋" w:eastAsia="华文中宋" w:cs="仿宋_GB2312"/>
          <w:b/>
          <w:sz w:val="32"/>
          <w:szCs w:val="32"/>
          <w:shd w:val="clear" w:color="auto" w:fill="FFFFFF"/>
        </w:rPr>
      </w:pPr>
    </w:p>
    <w:p>
      <w:pPr>
        <w:snapToGrid w:val="0"/>
        <w:spacing w:line="360" w:lineRule="auto"/>
        <w:jc w:val="left"/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各有关单位：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党的十九届六中全会通过的《中共中央关于党的百年奋斗重大成就和历史经验的决议》强调，富有竞争力的企业是高质量发展的微观基础，企业能否培育出核心竞争力、行稳致远，关键点就在于人才与经营管理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而企业全面风险管理是培育竞争力企业的重要保障。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近年来，中央企业不断加强全面风险管理指引，有效提升了企业管理能力水平。国家标准化委员会《企业法律风险管理指南》(GB/T 27914-2011)也指出，法律风险管理必须融入企业经营管理的全过程，并成为其有机组成部分。企业围绕总体经营目标，在初创设立、发展扩张、融资上市等历程中，不论优化升级企业核心价值链上法律风险、合同管理、税务筹划、不良资产处置等关键节点，或是实现风险管理与谋求产业价值链的整体最优，都依赖于用各专业、在各阶段、从各维度服务于企业的专业人才。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</w:rPr>
        <w:t>为推进企业全面风险管理机制与核心支柱人才建设，培养把控企业各模块的专业人才，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我</w:t>
      </w:r>
      <w:r>
        <w:rPr>
          <w:rFonts w:hint="eastAsia" w:ascii="宋体" w:hAnsi="宋体" w:eastAsia="宋体" w:cs="宋体"/>
          <w:sz w:val="30"/>
          <w:szCs w:val="30"/>
        </w:rPr>
        <w:t>协会开展企业法律风险管理等岗位能力培训项目，项目涵盖“企业法律风险管理、企业合同管理、人力资源法务、税务筹划、股权设计、资本运作规划、公司金融顾问、不良资产管理、全过程工程法律风险管理”共九项，请各单位积极组织派员参加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一、培养目标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独立承担各领域模块的统筹规划和监督管理工作，通过培训使学员对企业法律风险、合同管理、人力资源管理、税务筹划、股权设计、资本运作、不良资产管理及全过程工程管理等相关知识深入了解，打通企业流程节点，提升实操技能，为企业培训并储备相应人才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二、适用对象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企业服务部门有关人员</w:t>
      </w:r>
      <w:r>
        <w:rPr>
          <w:rFonts w:hint="eastAsia" w:ascii="宋体" w:hAnsi="宋体" w:eastAsia="宋体" w:cs="宋体"/>
          <w:sz w:val="30"/>
          <w:szCs w:val="30"/>
        </w:rPr>
        <w:t>；企业内部从事人力资源、法务、税务、审计、资本运作、金融、不良资产管理等业务部门从业人员；从事人力资源、法务、税务、审计、资本运作、金融、不良资产管理等专项服务的执业律师；承担决策、执行、监督各业务部门全流程工作的企业高级管理人员。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培训课时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企业法律风险管理、企业合同管理、人力资源法务、税务筹划、股权设计、资本运作规划、公司金融顾问、不良资产管理、全过程工程法律风险管理，每项培训课时均为30课时。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四、报名条件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报名任意一项均需满足：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大专及以上学历相关专业毕业或有1年以上相关岗位工作经验。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五、考试时间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考试时间为每月15日 8:00-20:00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六、收费标准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企业法律风险管理/企业合同管理/人力资源法务/税务筹划/股权设计/资本运作规划/公司金融顾问/不良资产管理/全过程工程法律风险管理，任意一项费用为（包含资料费、研讨费、报名及考试费用）：￥1980元/人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七、考试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统一线上考试，考试总分100分，考试题型为单选题、多选题和判断题，考试时间为180分钟。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八、证书颁发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经培训后考试合格者，由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中国中小企业协会</w:t>
      </w:r>
      <w:r>
        <w:rPr>
          <w:rFonts w:hint="eastAsia" w:ascii="宋体" w:hAnsi="宋体" w:eastAsia="宋体" w:cs="宋体"/>
          <w:sz w:val="30"/>
          <w:szCs w:val="30"/>
        </w:rPr>
        <w:t>颁发岗位能力培训证书。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九、报名资料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报名材料：一寸蓝底证件照片、身份证正反面、学历、职称证、相关工作证明、学员本人填写的培训报名表。</w:t>
      </w:r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注：以上均提供电子版。</w:t>
      </w:r>
    </w:p>
    <w:p>
      <w:pPr>
        <w:tabs>
          <w:tab w:val="left" w:pos="1880"/>
        </w:tabs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十、联系方式</w:t>
      </w:r>
    </w:p>
    <w:p>
      <w:pPr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报名负责人：聂红军 主任18211071700（微信）   </w:t>
      </w:r>
    </w:p>
    <w:p>
      <w:pPr>
        <w:tabs>
          <w:tab w:val="left" w:pos="261"/>
        </w:tabs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电  话：010-87697580      邮    箱：zqgphwz@126.com  </w:t>
      </w:r>
    </w:p>
    <w:p>
      <w:pPr>
        <w:tabs>
          <w:tab w:val="left" w:pos="1880"/>
        </w:tabs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qq咨询：3177524020        网址查询：http://www.zqgpchina.cn/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tabs>
          <w:tab w:val="left" w:pos="1880"/>
        </w:tabs>
        <w:snapToGrid w:val="0"/>
        <w:spacing w:line="360" w:lineRule="auto"/>
        <w:ind w:firstLine="60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附件：培训报名表      </w:t>
      </w:r>
    </w:p>
    <w:p>
      <w:pPr>
        <w:tabs>
          <w:tab w:val="left" w:pos="1880"/>
        </w:tabs>
        <w:snapToGrid w:val="0"/>
        <w:spacing w:line="360" w:lineRule="auto"/>
        <w:jc w:val="right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1880"/>
        </w:tabs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中国中小企业协会</w:t>
      </w:r>
    </w:p>
    <w:p>
      <w:pPr>
        <w:tabs>
          <w:tab w:val="left" w:pos="1880"/>
        </w:tabs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2022年3月14日</w:t>
      </w:r>
    </w:p>
    <w:p>
      <w:pPr>
        <w:tabs>
          <w:tab w:val="left" w:pos="1880"/>
        </w:tabs>
        <w:snapToGrid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tabs>
          <w:tab w:val="left" w:pos="1880"/>
        </w:tabs>
        <w:snapToGrid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spacing w:before="35"/>
        <w:jc w:val="left"/>
        <w:rPr>
          <w:rFonts w:hint="eastAsia" w:ascii="宋体" w:hAnsi="宋体" w:eastAsia="宋体" w:cs="宋体"/>
          <w:b/>
          <w:spacing w:val="-20"/>
          <w:w w:val="99"/>
          <w:sz w:val="30"/>
          <w:szCs w:val="30"/>
        </w:rPr>
      </w:pPr>
      <w:r>
        <w:rPr>
          <w:rFonts w:hint="eastAsia" w:ascii="宋体" w:hAnsi="宋体" w:eastAsia="宋体" w:cs="宋体"/>
          <w:b/>
          <w:spacing w:val="-1"/>
          <w:w w:val="99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spacing w:val="-7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spacing w:val="-20"/>
          <w:w w:val="99"/>
          <w:sz w:val="30"/>
          <w:szCs w:val="30"/>
        </w:rPr>
        <w:t>：</w:t>
      </w:r>
    </w:p>
    <w:tbl>
      <w:tblPr>
        <w:tblStyle w:val="6"/>
        <w:tblW w:w="9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158"/>
        <w:gridCol w:w="764"/>
        <w:gridCol w:w="964"/>
        <w:gridCol w:w="964"/>
        <w:gridCol w:w="1244"/>
        <w:gridCol w:w="2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证书名称</w:t>
            </w:r>
          </w:p>
        </w:tc>
        <w:tc>
          <w:tcPr>
            <w:tcW w:w="748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D0D0D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  <w:t>（一寸蓝底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  <w:t>证件照片）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800080"/>
                <w:sz w:val="24"/>
                <w:szCs w:val="24"/>
                <w:u w:val="single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证书邮寄地址</w:t>
            </w:r>
          </w:p>
        </w:tc>
        <w:tc>
          <w:tcPr>
            <w:tcW w:w="5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身份证信息</w:t>
            </w:r>
          </w:p>
        </w:tc>
        <w:tc>
          <w:tcPr>
            <w:tcW w:w="38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  <w:t>(身份证正面)</w:t>
            </w:r>
          </w:p>
        </w:tc>
        <w:tc>
          <w:tcPr>
            <w:tcW w:w="3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  <w:t>(身份证反面)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6A6A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附件1：</w:t>
            </w:r>
          </w:p>
        </w:tc>
        <w:tc>
          <w:tcPr>
            <w:tcW w:w="748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  <w:t>（工作证明）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  <w:tc>
          <w:tcPr>
            <w:tcW w:w="748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bidi="ar"/>
              </w:rPr>
              <w:t>附件2：</w:t>
            </w:r>
          </w:p>
        </w:tc>
        <w:tc>
          <w:tcPr>
            <w:tcW w:w="748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  <w:t>（学历证明）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Hans" w:bidi="ar"/>
              </w:rPr>
              <w:t>汇款账户</w:t>
            </w:r>
          </w:p>
        </w:tc>
        <w:tc>
          <w:tcPr>
            <w:tcW w:w="748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单位全称: 北京中科领航教育咨询有限公司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行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中国工商银行股份有限公司北京半壁店支行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6A6A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号： 0200247009200076612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报名负责人：聂红军 主任18211071700（微信）   </w:t>
      </w:r>
    </w:p>
    <w:p>
      <w:pPr>
        <w:tabs>
          <w:tab w:val="left" w:pos="261"/>
        </w:tabs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电  话：010-87697580      邮    箱：zqgphwz@126.com  </w:t>
      </w:r>
    </w:p>
    <w:p>
      <w:pPr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qq咨询：3177524020        网址查询：http://www.zqgpchina.cn/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TdhMjVkNjRiNzBhZjUyZjU0YWRmMTY2YjhkMTUifQ=="/>
  </w:docVars>
  <w:rsids>
    <w:rsidRoot w:val="09D1778C"/>
    <w:rsid w:val="004A2C79"/>
    <w:rsid w:val="00577359"/>
    <w:rsid w:val="008B170C"/>
    <w:rsid w:val="00D43F12"/>
    <w:rsid w:val="00D55206"/>
    <w:rsid w:val="00D62699"/>
    <w:rsid w:val="00F96D2D"/>
    <w:rsid w:val="00FA5D86"/>
    <w:rsid w:val="00FF5A2F"/>
    <w:rsid w:val="09D1778C"/>
    <w:rsid w:val="0C4A6364"/>
    <w:rsid w:val="0F2E253F"/>
    <w:rsid w:val="18F06224"/>
    <w:rsid w:val="22327D81"/>
    <w:rsid w:val="224276D4"/>
    <w:rsid w:val="27835988"/>
    <w:rsid w:val="31C22505"/>
    <w:rsid w:val="3EF91C1F"/>
    <w:rsid w:val="40CD42AB"/>
    <w:rsid w:val="45AB01F8"/>
    <w:rsid w:val="475829A4"/>
    <w:rsid w:val="537D524A"/>
    <w:rsid w:val="67BA67DF"/>
    <w:rsid w:val="6B05234E"/>
    <w:rsid w:val="7D8518BE"/>
    <w:rsid w:val="7F6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/>
      <w:kern w:val="2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1369</Words>
  <Characters>1451</Characters>
  <Lines>11</Lines>
  <Paragraphs>3</Paragraphs>
  <TotalTime>15</TotalTime>
  <ScaleCrop>false</ScaleCrop>
  <LinksUpToDate>false</LinksUpToDate>
  <CharactersWithSpaces>1470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2022-02-23T09:40:00Z</dcterms:created>
  <dc:creator>猫玖</dc:creator>
  <cp:lastModifiedBy>聂红军</cp:lastModifiedBy>
  <dcterms:modified xsi:type="dcterms:W3CDTF">2022-05-30T01:15:24Z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791B8FDA8F3C980D307390622B1758D9</vt:lpwstr>
  </property>
</Properties>
</file>