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jc w:val="center"/>
        <w:rPr>
          <w:rFonts w:hint="default" w:ascii="仿宋" w:hAnsi="仿宋" w:eastAsia="仿宋" w:cs="仿宋"/>
          <w:b/>
          <w:bCs/>
          <w:color w:val="FF0000"/>
          <w:w w:val="72"/>
          <w:sz w:val="112"/>
          <w:szCs w:val="112"/>
        </w:rPr>
      </w:pPr>
      <w:r>
        <w:rPr>
          <w:rFonts w:ascii="仿宋" w:hAnsi="仿宋" w:eastAsia="仿宋" w:cs="仿宋"/>
          <w:b/>
          <w:bCs/>
          <w:color w:val="FF0000"/>
          <w:w w:val="62"/>
          <w:sz w:val="84"/>
          <w:szCs w:val="72"/>
        </w:rPr>
        <w:t>中国开发区协会投融资专业委员会文件</w:t>
      </w:r>
    </w:p>
    <w:p>
      <w:pPr>
        <w:pStyle w:val="10"/>
        <w:spacing w:line="380" w:lineRule="exact"/>
        <w:jc w:val="center"/>
        <w:rPr>
          <w:rFonts w:hint="eastAsia" w:ascii="华文中宋" w:hAnsi="华文中宋" w:eastAsia="华文中宋"/>
          <w:sz w:val="36"/>
          <w:szCs w:val="36"/>
        </w:rPr>
      </w:pPr>
      <w:r>
        <w:rPr>
          <w:rFonts w:ascii="仿宋" w:hAnsi="仿宋" w:eastAsia="仿宋" w:cs="仿宋"/>
          <w:sz w:val="32"/>
          <w:szCs w:val="32"/>
        </w:rPr>
        <w:tab/>
      </w:r>
      <w:r>
        <w:rPr>
          <w:rFonts w:ascii="仿宋" w:hAnsi="仿宋" w:eastAsia="仿宋" w:cs="仿宋"/>
          <w:sz w:val="28"/>
          <w:szCs w:val="28"/>
        </w:rPr>
        <w:t xml:space="preserve">中开协投融培〔2022〕 </w:t>
      </w:r>
      <w:r>
        <w:rPr>
          <w:rFonts w:hint="eastAsia" w:ascii="仿宋" w:hAnsi="仿宋" w:eastAsia="仿宋" w:cs="仿宋"/>
          <w:sz w:val="28"/>
          <w:szCs w:val="28"/>
          <w:lang w:val="en-US" w:eastAsia="zh-CN"/>
        </w:rPr>
        <w:t>004</w:t>
      </w:r>
      <w:r>
        <w:rPr>
          <w:rFonts w:ascii="仿宋" w:hAnsi="仿宋" w:eastAsia="仿宋" w:cs="仿宋"/>
          <w:sz w:val="28"/>
          <w:szCs w:val="28"/>
        </w:rPr>
        <w:t>号</w:t>
      </w:r>
    </w:p>
    <w:p>
      <w:pPr>
        <w:jc w:val="center"/>
        <w:rPr>
          <w:rFonts w:hint="eastAsia" w:asciiTheme="minorEastAsia" w:hAnsiTheme="minorEastAsia" w:eastAsiaTheme="minorEastAsia" w:cstheme="minorEastAsia"/>
          <w:b/>
          <w:bCs/>
          <w:sz w:val="36"/>
          <w:szCs w:val="36"/>
          <w:lang w:eastAsia="zh-CN"/>
        </w:rPr>
      </w:pPr>
      <w:r>
        <w:rPr>
          <w:rFonts w:ascii="仿宋" w:hAnsi="仿宋" w:eastAsia="仿宋" w:cs="Times New Roman"/>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66675</wp:posOffset>
                </wp:positionV>
                <wp:extent cx="5774055" cy="17145"/>
                <wp:effectExtent l="0" t="0" r="0" b="0"/>
                <wp:wrapNone/>
                <wp:docPr id="4" name="直接连接符 1"/>
                <wp:cNvGraphicFramePr/>
                <a:graphic xmlns:a="http://schemas.openxmlformats.org/drawingml/2006/main">
                  <a:graphicData uri="http://schemas.microsoft.com/office/word/2010/wordprocessingShape">
                    <wps:wsp>
                      <wps:cNvCnPr/>
                      <wps:spPr>
                        <a:xfrm>
                          <a:off x="0" y="0"/>
                          <a:ext cx="5774055" cy="17145"/>
                        </a:xfrm>
                        <a:prstGeom prst="line">
                          <a:avLst/>
                        </a:prstGeom>
                        <a:ln w="19050" cap="flat" cmpd="sng">
                          <a:solidFill>
                            <a:srgbClr val="FF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margin-left:10.35pt;margin-top:5.25pt;height:1.35pt;width:454.65pt;z-index:251659264;mso-width-relative:page;mso-height-relative:page;" filled="f" stroked="t" coordsize="21600,21600" o:gfxdata="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DleMdcAAAAIAQAADwAAAAAAAAABACAAAAAiAAAAZHJzL2Rvd25yZXYueG1sUEsB&#10;AhQAFAAAAAgAh07iQLX8DWD2AQAA6wMAAA4AAAAAAAAAAQAgAAAAJgEAAGRycy9lMm9Eb2MueG1s&#10;UEsFBgAAAAAGAAYAWQEAAI4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b/>
          <w:bCs/>
          <w:sz w:val="36"/>
          <w:szCs w:val="36"/>
          <w:lang w:val="en-US" w:eastAsia="zh-CN"/>
        </w:rPr>
      </w:pPr>
      <w:r>
        <w:rPr>
          <w:rFonts w:hint="eastAsia" w:ascii="仿宋" w:hAnsi="仿宋" w:eastAsia="仿宋" w:cs="仿宋"/>
          <w:b/>
          <w:bCs/>
          <w:sz w:val="36"/>
          <w:szCs w:val="36"/>
          <w:lang w:eastAsia="zh-CN"/>
        </w:rPr>
        <w:t>关于举办“</w:t>
      </w:r>
      <w:bookmarkStart w:id="0" w:name="_GoBack"/>
      <w:r>
        <w:rPr>
          <w:rFonts w:hint="eastAsia" w:ascii="仿宋" w:hAnsi="仿宋" w:eastAsia="仿宋" w:cs="仿宋"/>
          <w:b/>
          <w:bCs/>
          <w:sz w:val="36"/>
          <w:szCs w:val="36"/>
          <w:lang w:val="en-US" w:eastAsia="zh-CN"/>
        </w:rPr>
        <w:t>EOD引领多模式运作城镇环境基础设施建设</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heme="minorEastAsia" w:hAnsiTheme="minorEastAsia" w:eastAsiaTheme="minorEastAsia" w:cstheme="minorEastAsia"/>
          <w:b/>
          <w:bCs/>
          <w:sz w:val="36"/>
          <w:szCs w:val="36"/>
          <w:lang w:val="en-US" w:eastAsia="zh-CN"/>
        </w:rPr>
      </w:pPr>
      <w:r>
        <w:rPr>
          <w:rFonts w:hint="eastAsia" w:ascii="仿宋" w:hAnsi="仿宋" w:eastAsia="仿宋" w:cs="仿宋"/>
          <w:b/>
          <w:bCs/>
          <w:sz w:val="36"/>
          <w:szCs w:val="36"/>
          <w:lang w:val="en-US" w:eastAsia="zh-CN"/>
        </w:rPr>
        <w:t>与片区综合开发</w:t>
      </w:r>
      <w:r>
        <w:rPr>
          <w:rFonts w:hint="eastAsia" w:ascii="仿宋" w:hAnsi="仿宋" w:eastAsia="仿宋" w:cs="仿宋"/>
          <w:b/>
          <w:bCs/>
          <w:sz w:val="36"/>
          <w:szCs w:val="36"/>
          <w:lang w:eastAsia="zh-CN"/>
        </w:rPr>
        <w:t>实务</w:t>
      </w:r>
      <w:bookmarkEnd w:id="0"/>
      <w:r>
        <w:rPr>
          <w:rFonts w:hint="eastAsia" w:ascii="仿宋" w:hAnsi="仿宋" w:eastAsia="仿宋" w:cs="仿宋"/>
          <w:b/>
          <w:bCs/>
          <w:sz w:val="36"/>
          <w:szCs w:val="36"/>
          <w:lang w:eastAsia="zh-CN"/>
        </w:rPr>
        <w:t>操作高级研修班”的通知</w:t>
      </w:r>
    </w:p>
    <w:p>
      <w:pPr>
        <w:rPr>
          <w:rFonts w:hint="eastAsia"/>
          <w:lang w:eastAsia="zh-CN"/>
        </w:rPr>
      </w:pPr>
    </w:p>
    <w:p>
      <w:pPr>
        <w:pStyle w:val="9"/>
        <w:keepNext w:val="0"/>
        <w:keepLines w:val="0"/>
        <w:pageBreakBefore w:val="0"/>
        <w:widowControl/>
        <w:suppressLineNumbers w:val="0"/>
        <w:shd w:val="clear" w:fill="FFFFFF"/>
        <w:kinsoku/>
        <w:wordWrap/>
        <w:overflowPunct/>
        <w:topLinePunct w:val="0"/>
        <w:autoSpaceDE/>
        <w:autoSpaceDN/>
        <w:bidi w:val="0"/>
        <w:adjustRightInd/>
        <w:spacing w:before="0" w:beforeAutospacing="0" w:after="192" w:afterAutospacing="0" w:line="440" w:lineRule="exact"/>
        <w:ind w:right="0"/>
        <w:textAlignment w:val="auto"/>
        <w:rPr>
          <w:rFonts w:hint="eastAsia" w:ascii="仿宋" w:hAnsi="仿宋" w:eastAsia="仿宋" w:cs="仿宋"/>
          <w:b/>
          <w:bCs/>
          <w:i w:val="0"/>
          <w:caps w:val="0"/>
          <w:color w:val="000000" w:themeColor="text1"/>
          <w:spacing w:val="0"/>
          <w:sz w:val="28"/>
          <w:szCs w:val="28"/>
          <w:shd w:val="clear" w:fill="FFFFFF"/>
          <w:lang w:eastAsia="zh-CN"/>
          <w14:textFill>
            <w14:solidFill>
              <w14:schemeClr w14:val="tx1"/>
            </w14:solidFill>
          </w14:textFill>
        </w:rPr>
      </w:pPr>
      <w:r>
        <w:rPr>
          <w:rFonts w:hint="eastAsia" w:ascii="仿宋" w:hAnsi="仿宋" w:eastAsia="仿宋" w:cs="仿宋"/>
          <w:b/>
          <w:bCs/>
          <w:i w:val="0"/>
          <w:caps w:val="0"/>
          <w:color w:val="000000" w:themeColor="text1"/>
          <w:spacing w:val="0"/>
          <w:sz w:val="28"/>
          <w:szCs w:val="28"/>
          <w:shd w:val="clear" w:fill="FFFFFF"/>
          <w:lang w:eastAsia="zh-CN"/>
          <w14:textFill>
            <w14:solidFill>
              <w14:schemeClr w14:val="tx1"/>
            </w14:solidFill>
          </w14:textFill>
        </w:rPr>
        <w:t>各有关单位：</w:t>
      </w:r>
    </w:p>
    <w:p>
      <w:pPr>
        <w:pStyle w:val="9"/>
        <w:keepNext w:val="0"/>
        <w:keepLines w:val="0"/>
        <w:pageBreakBefore w:val="0"/>
        <w:widowControl/>
        <w:suppressLineNumbers w:val="0"/>
        <w:shd w:val="clear" w:fill="FFFFFF"/>
        <w:kinsoku/>
        <w:wordWrap/>
        <w:overflowPunct/>
        <w:topLinePunct w:val="0"/>
        <w:autoSpaceDE/>
        <w:autoSpaceDN/>
        <w:bidi w:val="0"/>
        <w:adjustRightInd/>
        <w:spacing w:before="0" w:beforeAutospacing="0" w:after="192" w:afterAutospacing="0" w:line="440" w:lineRule="exact"/>
        <w:ind w:right="0" w:firstLine="560" w:firstLineChars="200"/>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近年来，在诸多城镇环境基础设施投资建设创新运作模式中,生态环境导向的开发模式即EOD模式不断获得政策支持。2020-2021年，生态环境部、国家发展改革委和国家开发银行连续两年联合征集EOD试点项目。2022年1月12日，《国务院办公厅转发国家发展改革委等部门关于加快推进城镇环境基础设施建设指导意见的通知》（国办函〔2022〕7号）强调，继续开展EOD模式项目试点。</w:t>
      </w:r>
    </w:p>
    <w:p>
      <w:pPr>
        <w:keepNext w:val="0"/>
        <w:keepLines w:val="0"/>
        <w:pageBreakBefore w:val="0"/>
        <w:widowControl w:val="0"/>
        <w:kinsoku/>
        <w:wordWrap/>
        <w:overflowPunct/>
        <w:topLinePunct w:val="0"/>
        <w:autoSpaceDE/>
        <w:autoSpaceDN/>
        <w:bidi w:val="0"/>
        <w:adjustRightInd/>
        <w:snapToGrid w:val="0"/>
        <w:spacing w:line="440" w:lineRule="exact"/>
        <w:ind w:firstLine="560" w:firstLineChars="200"/>
        <w:jc w:val="left"/>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今年是我国实施“十四五规划”的重要年份，“十四五规划”中重点强调了建设现代化基础设施体系、完善新型城镇化战略、提升城镇化发展质量。在这样的发展愿景下，地方政府既要从宏观角度谋划设计出顺应时代发展的项目，又要从微观角度思考如何在合法合规的框架下实现这一目标，尤其在防范政府隐性债务风险和顺利促进项目融资方面。片区综合开发作为引导产业聚集的重要手段，在转变城市发展方式、城乡融合发展中发挥着重要作用。片区综合开发投资规模大、包含子项目多、涉及政策法规面广，也会面临着诸多风险。</w:t>
      </w:r>
      <w:r>
        <w:rPr>
          <w:rFonts w:hint="eastAsia" w:ascii="仿宋" w:hAnsi="仿宋" w:eastAsia="仿宋" w:cs="仿宋"/>
          <w:sz w:val="28"/>
          <w:szCs w:val="28"/>
          <w:lang w:eastAsia="zh-CN"/>
        </w:rPr>
        <w:t>鉴此，</w:t>
      </w:r>
      <w:r>
        <w:rPr>
          <w:rFonts w:hint="eastAsia" w:ascii="仿宋" w:hAnsi="仿宋" w:eastAsia="仿宋" w:cs="仿宋"/>
          <w:sz w:val="28"/>
          <w:szCs w:val="28"/>
        </w:rPr>
        <w:t>中国开发区协会投融资专业委员会联合</w:t>
      </w:r>
      <w:r>
        <w:rPr>
          <w:rFonts w:hint="eastAsia" w:ascii="仿宋" w:hAnsi="仿宋" w:eastAsia="仿宋" w:cs="仿宋"/>
          <w:color w:val="000000" w:themeColor="text1"/>
          <w:sz w:val="28"/>
          <w:szCs w:val="28"/>
          <w:lang w:eastAsia="zh-CN"/>
          <w14:textFill>
            <w14:solidFill>
              <w14:schemeClr w14:val="tx1"/>
            </w14:solidFill>
          </w14:textFill>
        </w:rPr>
        <w:t>北京众合启迪教育咨询有限公司，</w:t>
      </w:r>
      <w:r>
        <w:rPr>
          <w:rFonts w:hint="eastAsia" w:ascii="仿宋" w:hAnsi="仿宋" w:eastAsia="仿宋" w:cs="仿宋"/>
          <w:color w:val="000000"/>
          <w:kern w:val="0"/>
          <w:sz w:val="28"/>
          <w:szCs w:val="28"/>
          <w:lang w:val="en-US" w:eastAsia="zh-CN"/>
        </w:rPr>
        <w:t>举办“EOD引领多模式运作城镇环境基础设施建设与片区综合开发实务操作高级研修班”，现将有关事项通知如下：</w:t>
      </w:r>
    </w:p>
    <w:p>
      <w:pPr>
        <w:pStyle w:val="2"/>
        <w:rPr>
          <w:rFonts w:hint="eastAsia"/>
          <w:lang w:val="en-US" w:eastAsia="zh-CN"/>
        </w:rPr>
      </w:pPr>
    </w:p>
    <w:p>
      <w:pPr>
        <w:numPr>
          <w:ilvl w:val="0"/>
          <w:numId w:val="1"/>
        </w:numPr>
        <w:snapToGrid w:val="0"/>
        <w:spacing w:line="480" w:lineRule="exact"/>
        <w:rPr>
          <w:rFonts w:hint="eastAsia" w:ascii="仿宋" w:hAnsi="仿宋" w:eastAsia="仿宋" w:cs="仿宋"/>
          <w:b/>
          <w:bCs/>
          <w:color w:val="000000"/>
          <w:kern w:val="2"/>
          <w:sz w:val="28"/>
          <w:szCs w:val="28"/>
          <w:lang w:val="en-US" w:eastAsia="zh-CN" w:bidi="ar-SA"/>
        </w:rPr>
      </w:pPr>
      <w:r>
        <w:rPr>
          <w:rFonts w:hint="eastAsia" w:ascii="仿宋" w:hAnsi="仿宋" w:eastAsia="仿宋" w:cs="仿宋"/>
          <w:b/>
          <w:bCs/>
          <w:color w:val="000000"/>
          <w:kern w:val="2"/>
          <w:sz w:val="28"/>
          <w:szCs w:val="28"/>
          <w:lang w:val="en-US" w:eastAsia="zh-CN" w:bidi="ar-SA"/>
        </w:rPr>
        <w:t>培训收益</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lang w:eastAsia="zh-CN"/>
        </w:rPr>
      </w:pPr>
      <w:r>
        <w:rPr>
          <w:rFonts w:hint="eastAsia" w:ascii="仿宋" w:hAnsi="仿宋" w:eastAsia="仿宋" w:cs="仿宋"/>
          <w:bCs/>
          <w:kern w:val="2"/>
          <w:sz w:val="28"/>
          <w:szCs w:val="28"/>
          <w:lang w:eastAsia="zh-CN"/>
        </w:rPr>
        <w:t>（一）了解</w:t>
      </w:r>
      <w:r>
        <w:rPr>
          <w:rFonts w:hint="eastAsia" w:ascii="仿宋" w:hAnsi="仿宋" w:eastAsia="仿宋" w:cs="仿宋"/>
          <w:bCs/>
          <w:kern w:val="2"/>
          <w:sz w:val="28"/>
          <w:szCs w:val="28"/>
        </w:rPr>
        <w:t>当前我国宏观经济形势</w:t>
      </w:r>
      <w:r>
        <w:rPr>
          <w:rFonts w:hint="eastAsia" w:ascii="仿宋" w:hAnsi="仿宋" w:eastAsia="仿宋" w:cs="仿宋"/>
          <w:bCs/>
          <w:kern w:val="2"/>
          <w:sz w:val="28"/>
          <w:szCs w:val="28"/>
          <w:lang w:eastAsia="zh-CN"/>
        </w:rPr>
        <w:t>；</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（二）学习并理解近期基建、投融资相关文件精神；</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（三）学习片区综合开发项目设计、包装与运营等内容与案例；</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（四）了解EOD项目谋划、申报及运营模式；</w:t>
      </w:r>
    </w:p>
    <w:p>
      <w:pPr>
        <w:pStyle w:val="2"/>
        <w:keepNext w:val="0"/>
        <w:keepLines w:val="0"/>
        <w:pageBreakBefore w:val="0"/>
        <w:widowControl w:val="0"/>
        <w:kinsoku/>
        <w:wordWrap/>
        <w:overflowPunct/>
        <w:topLinePunct w:val="0"/>
        <w:bidi w:val="0"/>
        <w:snapToGrid/>
        <w:spacing w:line="440" w:lineRule="exact"/>
        <w:ind w:left="0" w:leftChars="0" w:firstLine="560" w:firstLineChars="200"/>
        <w:textAlignment w:val="auto"/>
        <w:rPr>
          <w:rFonts w:hint="eastAsia" w:hAnsi="仿宋" w:cs="仿宋"/>
          <w:bCs/>
          <w:kern w:val="2"/>
          <w:sz w:val="28"/>
          <w:szCs w:val="28"/>
          <w:lang w:eastAsia="zh-CN"/>
        </w:rPr>
      </w:pPr>
      <w:r>
        <w:rPr>
          <w:rFonts w:hint="eastAsia" w:hAnsi="仿宋" w:cs="仿宋"/>
          <w:bCs/>
          <w:kern w:val="2"/>
          <w:sz w:val="28"/>
          <w:szCs w:val="28"/>
          <w:lang w:eastAsia="zh-CN"/>
        </w:rPr>
        <w:t>（五）学习各地项目谋划经典案例。</w:t>
      </w:r>
    </w:p>
    <w:p>
      <w:pPr>
        <w:pStyle w:val="2"/>
        <w:numPr>
          <w:ilvl w:val="0"/>
          <w:numId w:val="0"/>
        </w:numPr>
        <w:rPr>
          <w:rFonts w:hint="eastAsia" w:ascii="仿宋" w:hAnsi="仿宋" w:eastAsia="仿宋" w:cs="仿宋"/>
          <w:b/>
          <w:bCs/>
          <w:color w:val="000000"/>
          <w:kern w:val="0"/>
          <w:sz w:val="28"/>
          <w:szCs w:val="28"/>
          <w:lang w:eastAsia="zh-CN"/>
        </w:rPr>
      </w:pPr>
      <w:r>
        <w:rPr>
          <w:rFonts w:hint="eastAsia"/>
          <w:b/>
          <w:bCs/>
          <w:sz w:val="28"/>
          <w:szCs w:val="28"/>
          <w:lang w:val="en-US" w:eastAsia="zh-CN"/>
        </w:rPr>
        <w:t>二、培训内容</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（一）城镇环境基础设施项目运作实务</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1.城镇环境基础设施项目立项实务；</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2.城镇环境基础设施项目土地问题实务；</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3.城镇环境基础设施项目招标采购程序实务 ；</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4.城镇环境基础设施项目建设、运营、移交实务。</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（二）城镇环境基础设施EOD模式设计实务</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1. EOD模式产生背景及主要政策解读；</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2. EOD项目谋划与申报；</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3. EOD项目储备库入库解析；</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4. EOD项目产业选择与资源价值实施路径；</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5. EOD项目资金来源与投融资模式创新；</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6. EOD与PPP融合发展模式；</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7. EOD模式土地开发与产业导入；</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8. EOD项目运营模式及风险分析。</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（三）生态环境导向开发(EOD)模式典型案例分析</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1.项目概况；</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2.项目边界与操作模式；</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3.项目开发主体与合伙人选择；</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4.项目资金来源与投融资机制；</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5.项目预期收益与资金平衡方案；</w:t>
      </w:r>
    </w:p>
    <w:p>
      <w:pPr>
        <w:snapToGrid w:val="0"/>
        <w:spacing w:line="480" w:lineRule="exact"/>
        <w:ind w:firstLine="560" w:firstLineChars="200"/>
        <w:jc w:val="left"/>
        <w:rPr>
          <w:rFonts w:hint="eastAsia" w:ascii="仿宋" w:hAnsi="仿宋" w:eastAsia="仿宋" w:cs="仿宋"/>
          <w:b w:val="0"/>
          <w:bCs w:val="0"/>
          <w:color w:val="000000"/>
          <w:kern w:val="0"/>
          <w:sz w:val="28"/>
          <w:szCs w:val="28"/>
          <w:lang w:eastAsia="zh-CN"/>
        </w:rPr>
      </w:pPr>
      <w:r>
        <w:rPr>
          <w:rFonts w:hint="eastAsia" w:ascii="仿宋" w:hAnsi="仿宋" w:eastAsia="仿宋" w:cs="仿宋"/>
          <w:b w:val="0"/>
          <w:bCs w:val="0"/>
          <w:color w:val="000000"/>
          <w:kern w:val="0"/>
          <w:sz w:val="28"/>
          <w:szCs w:val="28"/>
          <w:lang w:eastAsia="zh-CN"/>
        </w:rPr>
        <w:t>6.项目开发、运营、移交方案；</w:t>
      </w:r>
    </w:p>
    <w:p>
      <w:pPr>
        <w:snapToGrid w:val="0"/>
        <w:spacing w:line="480" w:lineRule="exact"/>
        <w:ind w:firstLine="560" w:firstLineChars="200"/>
        <w:jc w:val="left"/>
        <w:rPr>
          <w:rFonts w:hint="default" w:ascii="仿宋" w:hAnsi="仿宋" w:eastAsia="仿宋" w:cs="仿宋"/>
          <w:color w:val="000000"/>
          <w:kern w:val="0"/>
          <w:sz w:val="28"/>
          <w:szCs w:val="28"/>
          <w:lang w:val="en-US" w:eastAsia="zh-CN"/>
        </w:rPr>
      </w:pPr>
      <w:r>
        <w:rPr>
          <w:rFonts w:hint="eastAsia" w:ascii="仿宋" w:hAnsi="仿宋" w:eastAsia="仿宋" w:cs="仿宋"/>
          <w:b w:val="0"/>
          <w:bCs w:val="0"/>
          <w:color w:val="000000"/>
          <w:kern w:val="0"/>
          <w:sz w:val="28"/>
          <w:szCs w:val="28"/>
          <w:lang w:eastAsia="zh-CN"/>
        </w:rPr>
        <w:t>7.项目生态资源实现路径分析（社会、经济、生态效益分析）。</w:t>
      </w:r>
      <w:r>
        <w:rPr>
          <w:rFonts w:hint="eastAsia" w:ascii="仿宋" w:hAnsi="仿宋" w:eastAsia="仿宋" w:cs="仿宋"/>
          <w:b w:val="0"/>
          <w:bCs w:val="0"/>
          <w:color w:val="000000"/>
          <w:kern w:val="0"/>
          <w:sz w:val="28"/>
          <w:szCs w:val="28"/>
          <w:lang w:val="en-US" w:eastAsia="zh-CN"/>
        </w:rPr>
        <w:t xml:space="preserve"> </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（四）片区综合开发投融资模式及案例</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1.PPP模式在片区综合开发应用存在短板；</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2.政府授权国企与投资者合作模式；</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3.ABO模式自身存在的短板及缓释措施与案例；</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4.地方政府对国有企业政策及资源支持途径及案例；</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5.投资人+EPC模式合规性与违规性分析及片区包装设计；</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6.投资人+EPC模式所涉及资产归属及回报机制设计；</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7.封闭运作、滚动开发、自求平衡模式解析及架构图分析；</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（五）片区综合开发各类风险识别及防范</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1.片区开发合规性的风险</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（1）避免增加政府债务；</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（2）授权开发模式的合规性；</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（3）项目本身的合规性。</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2.项目可融资性风险</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（1）交易结构设置问题带来融资不确定性；</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（2）项目组合性质不合理带来融资不确定性；</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（3）存在违反财预〔2017〕50号文及银保监发〔2021〕15号文的情形。</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3.项目投资风险</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（1）缺乏前期投资资金平衡方案有效分析；</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（2）单纯依靠土地出让收入为回款来源而盲目上马项目；</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（3）土地一二级联动未能实现对项目投资带来不确定性。</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（六）片区综合开发中土地储备与交易及案例</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1.怎样理解不得以预期土地出让收入作为偿债资金来源的融资；</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2.土地出让金作为片区开发支出与土地预期出让收入界定；</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3.土地储备（一级开发）主要环节解析；</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4.土地储备中两类主体分析及案例；</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5.土地储备中一、二级开发联动探讨及案例；</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6.土地储备中的不合规模式及案例；</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7.拆迁安置及前期开发资金解决方式探讨及案例。</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（七）平台公司如何参与片区综合开发</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1.地方政府如何规范授权国企成为实施主体及案例；</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2.地方政府如何合规利用财政资金对片区开发补贴；</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3.地方政府对片区产业招商、税收增量实施财政奖励；</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4.地方政府专项债券怎样支持片区项目及案例；</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5.平台公司通过政府授权获得项目业主或实施主体；</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6.平台公司怎样参与前期土地拆迁、收储及注意的问题；</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7.平台公司怎样选择投资人，公开招标关键环节及问题；</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8.平台公司的项目立项，资产所属及项目公司设立；</w:t>
      </w:r>
    </w:p>
    <w:p>
      <w:pPr>
        <w:snapToGrid w:val="0"/>
        <w:spacing w:line="480" w:lineRule="exact"/>
        <w:ind w:firstLine="560" w:firstLineChars="200"/>
        <w:jc w:val="left"/>
        <w:rPr>
          <w:rFonts w:hint="eastAsia" w:ascii="仿宋" w:hAnsi="仿宋" w:eastAsia="仿宋" w:cs="仿宋"/>
          <w:b w:val="0"/>
          <w:bCs w:val="0"/>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9.前期拆迁款、安置费、补偿款解决的几种方式；</w:t>
      </w:r>
    </w:p>
    <w:p>
      <w:pPr>
        <w:snapToGrid w:val="0"/>
        <w:spacing w:line="480" w:lineRule="exact"/>
        <w:ind w:firstLine="560" w:firstLineChars="200"/>
        <w:jc w:val="left"/>
        <w:rPr>
          <w:rFonts w:hint="eastAsia" w:ascii="仿宋" w:hAnsi="仿宋" w:eastAsia="仿宋" w:cs="仿宋"/>
          <w:color w:val="000000"/>
          <w:kern w:val="0"/>
          <w:sz w:val="28"/>
          <w:szCs w:val="28"/>
          <w:lang w:val="en-US" w:eastAsia="zh-CN"/>
        </w:rPr>
      </w:pPr>
      <w:r>
        <w:rPr>
          <w:rFonts w:hint="eastAsia" w:ascii="仿宋" w:hAnsi="仿宋" w:eastAsia="仿宋" w:cs="仿宋"/>
          <w:b w:val="0"/>
          <w:bCs w:val="0"/>
          <w:color w:val="000000"/>
          <w:kern w:val="0"/>
          <w:sz w:val="28"/>
          <w:szCs w:val="28"/>
          <w:lang w:val="en-US" w:eastAsia="zh-CN"/>
        </w:rPr>
        <w:t>10.片区开发中资产归属及资产转移问题探讨。</w:t>
      </w:r>
    </w:p>
    <w:p>
      <w:pPr>
        <w:keepNext w:val="0"/>
        <w:keepLines w:val="0"/>
        <w:pageBreakBefore w:val="0"/>
        <w:widowControl w:val="0"/>
        <w:kinsoku/>
        <w:wordWrap/>
        <w:overflowPunct/>
        <w:topLinePunct w:val="0"/>
        <w:autoSpaceDE/>
        <w:autoSpaceDN/>
        <w:bidi w:val="0"/>
        <w:adjustRightInd/>
        <w:snapToGrid/>
        <w:spacing w:line="44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（八）央企、国企参与片区综合开发模式探讨及案例</w:t>
      </w:r>
    </w:p>
    <w:p>
      <w:pPr>
        <w:keepNext w:val="0"/>
        <w:keepLines w:val="0"/>
        <w:pageBreakBefore w:val="0"/>
        <w:widowControl w:val="0"/>
        <w:kinsoku/>
        <w:wordWrap/>
        <w:overflowPunct/>
        <w:topLinePunct w:val="0"/>
        <w:autoSpaceDE/>
        <w:autoSpaceDN/>
        <w:bidi w:val="0"/>
        <w:adjustRightInd/>
        <w:snapToGrid/>
        <w:spacing w:line="44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1.开发型PPP模式在片区综合开发应用与案例；</w:t>
      </w:r>
    </w:p>
    <w:p>
      <w:pPr>
        <w:keepNext w:val="0"/>
        <w:keepLines w:val="0"/>
        <w:pageBreakBefore w:val="0"/>
        <w:widowControl w:val="0"/>
        <w:kinsoku/>
        <w:wordWrap/>
        <w:overflowPunct/>
        <w:topLinePunct w:val="0"/>
        <w:autoSpaceDE/>
        <w:autoSpaceDN/>
        <w:bidi w:val="0"/>
        <w:adjustRightInd/>
        <w:snapToGrid/>
        <w:spacing w:line="44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2.企业主导片区综合开发模式分析及案例；</w:t>
      </w:r>
    </w:p>
    <w:p>
      <w:pPr>
        <w:keepNext w:val="0"/>
        <w:keepLines w:val="0"/>
        <w:pageBreakBefore w:val="0"/>
        <w:widowControl w:val="0"/>
        <w:kinsoku/>
        <w:wordWrap/>
        <w:overflowPunct/>
        <w:topLinePunct w:val="0"/>
        <w:autoSpaceDE/>
        <w:autoSpaceDN/>
        <w:bidi w:val="0"/>
        <w:adjustRightInd/>
        <w:snapToGrid/>
        <w:spacing w:line="44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3.如何寻求政府财政合规的支持、支持途径及案例；</w:t>
      </w:r>
    </w:p>
    <w:p>
      <w:pPr>
        <w:keepNext w:val="0"/>
        <w:keepLines w:val="0"/>
        <w:pageBreakBefore w:val="0"/>
        <w:widowControl w:val="0"/>
        <w:kinsoku/>
        <w:wordWrap/>
        <w:overflowPunct/>
        <w:topLinePunct w:val="0"/>
        <w:autoSpaceDE/>
        <w:autoSpaceDN/>
        <w:bidi w:val="0"/>
        <w:adjustRightInd/>
        <w:snapToGrid/>
        <w:spacing w:line="44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4.“庞大项目”资本金的筹集渠道及合规性问题；</w:t>
      </w:r>
    </w:p>
    <w:p>
      <w:pPr>
        <w:keepNext w:val="0"/>
        <w:keepLines w:val="0"/>
        <w:pageBreakBefore w:val="0"/>
        <w:widowControl w:val="0"/>
        <w:kinsoku/>
        <w:wordWrap/>
        <w:overflowPunct/>
        <w:topLinePunct w:val="0"/>
        <w:autoSpaceDE/>
        <w:autoSpaceDN/>
        <w:bidi w:val="0"/>
        <w:adjustRightInd/>
        <w:snapToGrid/>
        <w:spacing w:line="44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5.政府对片区项目补贴方式、补贴类型及范围；</w:t>
      </w:r>
    </w:p>
    <w:p>
      <w:pPr>
        <w:keepNext w:val="0"/>
        <w:keepLines w:val="0"/>
        <w:pageBreakBefore w:val="0"/>
        <w:widowControl w:val="0"/>
        <w:kinsoku/>
        <w:wordWrap/>
        <w:overflowPunct/>
        <w:topLinePunct w:val="0"/>
        <w:autoSpaceDE/>
        <w:autoSpaceDN/>
        <w:bidi w:val="0"/>
        <w:adjustRightInd/>
        <w:snapToGrid/>
        <w:spacing w:line="440" w:lineRule="exact"/>
        <w:ind w:right="-147" w:rightChars="-70" w:firstLine="560" w:firstLineChars="200"/>
        <w:jc w:val="both"/>
        <w:textAlignment w:val="auto"/>
        <w:rPr>
          <w:rFonts w:hint="eastAsia" w:ascii="仿宋" w:hAnsi="仿宋" w:eastAsia="仿宋" w:cs="仿宋"/>
          <w:bCs/>
          <w:kern w:val="2"/>
          <w:sz w:val="28"/>
          <w:szCs w:val="28"/>
          <w:lang w:val="en-US" w:eastAsia="zh-CN"/>
        </w:rPr>
      </w:pPr>
      <w:r>
        <w:rPr>
          <w:rFonts w:hint="eastAsia" w:ascii="仿宋" w:hAnsi="仿宋" w:eastAsia="仿宋" w:cs="仿宋"/>
          <w:bCs/>
          <w:kern w:val="2"/>
          <w:sz w:val="28"/>
          <w:szCs w:val="28"/>
          <w:lang w:val="en-US" w:eastAsia="zh-CN"/>
        </w:rPr>
        <w:t>6.如何争取地方政府专项债券对项目支持及案例。</w:t>
      </w:r>
    </w:p>
    <w:p>
      <w:pPr>
        <w:numPr>
          <w:ilvl w:val="0"/>
          <w:numId w:val="0"/>
        </w:numPr>
        <w:snapToGrid w:val="0"/>
        <w:spacing w:line="480" w:lineRule="exact"/>
        <w:jc w:val="left"/>
        <w:rPr>
          <w:rFonts w:hint="eastAsia" w:ascii="仿宋" w:hAnsi="仿宋" w:eastAsia="仿宋" w:cs="仿宋"/>
          <w:b/>
          <w:bCs/>
          <w:color w:val="000000"/>
          <w:kern w:val="0"/>
          <w:sz w:val="28"/>
          <w:szCs w:val="28"/>
          <w:lang w:eastAsia="zh-CN"/>
        </w:rPr>
      </w:pPr>
      <w:r>
        <w:rPr>
          <w:rFonts w:hint="eastAsia" w:ascii="仿宋" w:hAnsi="仿宋" w:eastAsia="仿宋" w:cs="仿宋"/>
          <w:b/>
          <w:bCs/>
          <w:color w:val="000000"/>
          <w:kern w:val="0"/>
          <w:sz w:val="28"/>
          <w:szCs w:val="28"/>
          <w:lang w:eastAsia="zh-CN"/>
        </w:rPr>
        <w:t>三、培训对象</w:t>
      </w:r>
    </w:p>
    <w:p>
      <w:pPr>
        <w:keepNext w:val="0"/>
        <w:keepLines w:val="0"/>
        <w:pageBreakBefore w:val="0"/>
        <w:widowControl w:val="0"/>
        <w:numPr>
          <w:ilvl w:val="0"/>
          <w:numId w:val="0"/>
        </w:numPr>
        <w:kinsoku/>
        <w:wordWrap/>
        <w:overflowPunct/>
        <w:topLinePunct w:val="0"/>
        <w:autoSpaceDE/>
        <w:autoSpaceDN/>
        <w:bidi w:val="0"/>
        <w:adjustRightInd/>
        <w:snapToGrid w:val="0"/>
        <w:spacing w:line="480" w:lineRule="exact"/>
        <w:ind w:firstLine="560" w:firstLineChars="200"/>
        <w:jc w:val="left"/>
        <w:textAlignment w:val="auto"/>
        <w:rPr>
          <w:rFonts w:hint="eastAsia" w:ascii="仿宋" w:hAnsi="仿宋" w:eastAsia="仿宋" w:cs="仿宋"/>
          <w:b/>
          <w:bCs/>
          <w:color w:val="000000"/>
          <w:kern w:val="0"/>
          <w:sz w:val="28"/>
          <w:szCs w:val="28"/>
          <w:lang w:val="en-US" w:eastAsia="zh-CN"/>
        </w:rPr>
      </w:pPr>
      <w:r>
        <w:rPr>
          <w:rFonts w:hint="eastAsia" w:ascii="仿宋" w:hAnsi="仿宋" w:eastAsia="仿宋" w:cs="仿宋"/>
          <w:color w:val="000000"/>
          <w:kern w:val="0"/>
          <w:sz w:val="28"/>
          <w:szCs w:val="28"/>
          <w:lang w:val="en-US" w:eastAsia="zh-CN"/>
        </w:rPr>
        <w:t>各级发改、财政、教育、科技、司法、环保、住建、交通、水利、农业、林草、文旅、卫健、能源等政府职能部门工作人员；城投类平台公司、污水垃圾处理、供水供气供热、仓储物流、新能源、环境保护及建筑施工等行业企业管理人员；银行、证券、基金、信托、保险等金融机构专业人</w:t>
      </w:r>
      <w:r>
        <w:rPr>
          <w:rFonts w:hint="eastAsia" w:ascii="仿宋" w:hAnsi="仿宋" w:eastAsia="仿宋" w:cs="仿宋"/>
          <w:b w:val="0"/>
          <w:bCs w:val="0"/>
          <w:color w:val="000000"/>
          <w:kern w:val="0"/>
          <w:sz w:val="28"/>
          <w:szCs w:val="28"/>
          <w:lang w:val="en-US" w:eastAsia="zh-CN"/>
        </w:rPr>
        <w:t>员。</w:t>
      </w:r>
    </w:p>
    <w:p>
      <w:pPr>
        <w:numPr>
          <w:ilvl w:val="0"/>
          <w:numId w:val="0"/>
        </w:numPr>
        <w:snapToGrid w:val="0"/>
        <w:spacing w:line="480" w:lineRule="exact"/>
        <w:jc w:val="left"/>
        <w:rPr>
          <w:rFonts w:hint="eastAsia" w:ascii="仿宋" w:hAnsi="仿宋" w:eastAsia="仿宋" w:cs="仿宋"/>
          <w:b/>
          <w:bCs/>
          <w:color w:val="000000"/>
          <w:kern w:val="0"/>
          <w:sz w:val="28"/>
          <w:szCs w:val="28"/>
          <w:lang w:val="en-US" w:eastAsia="zh-CN"/>
        </w:rPr>
      </w:pPr>
      <w:r>
        <w:rPr>
          <w:rFonts w:hint="eastAsia" w:ascii="仿宋" w:hAnsi="仿宋" w:eastAsia="仿宋" w:cs="仿宋"/>
          <w:b/>
          <w:bCs/>
          <w:color w:val="000000"/>
          <w:kern w:val="0"/>
          <w:sz w:val="28"/>
          <w:szCs w:val="28"/>
          <w:lang w:val="en-US" w:eastAsia="zh-CN"/>
        </w:rPr>
        <w:t>四、授课师资</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邀请发改、财政、金融及法律等领域</w:t>
      </w:r>
      <w:r>
        <w:rPr>
          <w:rFonts w:hint="eastAsia" w:ascii="仿宋" w:hAnsi="仿宋" w:eastAsia="仿宋" w:cs="仿宋"/>
          <w:bCs/>
          <w:kern w:val="2"/>
          <w:sz w:val="28"/>
          <w:szCs w:val="28"/>
          <w:lang w:eastAsia="zh-CN"/>
        </w:rPr>
        <w:t>的</w:t>
      </w:r>
      <w:r>
        <w:rPr>
          <w:rFonts w:hint="eastAsia" w:ascii="仿宋" w:hAnsi="仿宋" w:eastAsia="仿宋" w:cs="仿宋"/>
          <w:bCs/>
          <w:kern w:val="2"/>
          <w:sz w:val="28"/>
          <w:szCs w:val="28"/>
        </w:rPr>
        <w:t>专家，采用专题讲座、现场答疑、互动交流等形式进行授课。</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eastAsia="zh-CN"/>
        </w:rPr>
        <w:t>五、培训时间与地点</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2022年0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8日—0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 xml:space="preserve">1日  </w:t>
      </w:r>
      <w:r>
        <w:rPr>
          <w:rFonts w:hint="eastAsia" w:ascii="仿宋" w:hAnsi="仿宋" w:eastAsia="仿宋" w:cs="仿宋"/>
          <w:bCs/>
          <w:kern w:val="2"/>
          <w:sz w:val="28"/>
          <w:szCs w:val="28"/>
          <w:lang w:eastAsia="zh-CN"/>
        </w:rPr>
        <w:t>成都</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0</w:t>
      </w:r>
      <w:r>
        <w:rPr>
          <w:rFonts w:hint="eastAsia" w:ascii="仿宋" w:hAnsi="仿宋" w:eastAsia="仿宋" w:cs="仿宋"/>
          <w:bCs/>
          <w:kern w:val="2"/>
          <w:sz w:val="28"/>
          <w:szCs w:val="28"/>
        </w:rPr>
        <w:t>8日全天报到）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22</w:t>
      </w:r>
      <w:r>
        <w:rPr>
          <w:rFonts w:hint="eastAsia" w:ascii="仿宋" w:hAnsi="仿宋" w:eastAsia="仿宋" w:cs="仿宋"/>
          <w:bCs/>
          <w:kern w:val="2"/>
          <w:sz w:val="28"/>
          <w:szCs w:val="28"/>
        </w:rPr>
        <w:t>日—0</w:t>
      </w:r>
      <w:r>
        <w:rPr>
          <w:rFonts w:hint="eastAsia" w:ascii="仿宋" w:hAnsi="仿宋" w:eastAsia="仿宋" w:cs="仿宋"/>
          <w:bCs/>
          <w:kern w:val="2"/>
          <w:sz w:val="28"/>
          <w:szCs w:val="28"/>
          <w:lang w:val="en-US" w:eastAsia="zh-CN"/>
        </w:rPr>
        <w:t>7</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25</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青岛</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22</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w:t>
      </w:r>
      <w:r>
        <w:rPr>
          <w:rFonts w:hint="eastAsia" w:ascii="仿宋" w:hAnsi="仿宋" w:eastAsia="仿宋" w:cs="仿宋"/>
          <w:bCs/>
          <w:kern w:val="2"/>
          <w:sz w:val="28"/>
          <w:szCs w:val="28"/>
        </w:rPr>
        <w:t>2日—0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15</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eastAsia="zh-CN"/>
        </w:rPr>
        <w:t>贵阳</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12</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w:t>
      </w:r>
      <w:r>
        <w:rPr>
          <w:rFonts w:hint="eastAsia" w:ascii="仿宋" w:hAnsi="仿宋" w:eastAsia="仿宋" w:cs="仿宋"/>
          <w:bCs/>
          <w:kern w:val="2"/>
          <w:sz w:val="28"/>
          <w:szCs w:val="28"/>
          <w:lang w:val="en-US" w:eastAsia="zh-CN"/>
        </w:rPr>
        <w:t>2</w:t>
      </w:r>
      <w:r>
        <w:rPr>
          <w:rFonts w:hint="eastAsia" w:ascii="仿宋" w:hAnsi="仿宋" w:eastAsia="仿宋" w:cs="仿宋"/>
          <w:bCs/>
          <w:kern w:val="2"/>
          <w:sz w:val="28"/>
          <w:szCs w:val="28"/>
        </w:rPr>
        <w:t>年0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26</w:t>
      </w:r>
      <w:r>
        <w:rPr>
          <w:rFonts w:hint="eastAsia" w:ascii="仿宋" w:hAnsi="仿宋" w:eastAsia="仿宋" w:cs="仿宋"/>
          <w:bCs/>
          <w:kern w:val="2"/>
          <w:sz w:val="28"/>
          <w:szCs w:val="28"/>
        </w:rPr>
        <w:t>日—0</w:t>
      </w:r>
      <w:r>
        <w:rPr>
          <w:rFonts w:hint="eastAsia" w:ascii="仿宋" w:hAnsi="仿宋" w:eastAsia="仿宋" w:cs="仿宋"/>
          <w:bCs/>
          <w:kern w:val="2"/>
          <w:sz w:val="28"/>
          <w:szCs w:val="28"/>
          <w:lang w:val="en-US" w:eastAsia="zh-CN"/>
        </w:rPr>
        <w:t>8</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29</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eastAsia="zh-CN"/>
        </w:rPr>
        <w:t>郑州</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26</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2022年0</w:t>
      </w:r>
      <w:r>
        <w:rPr>
          <w:rFonts w:hint="eastAsia" w:ascii="仿宋" w:hAnsi="仿宋" w:eastAsia="仿宋" w:cs="仿宋"/>
          <w:bCs/>
          <w:kern w:val="2"/>
          <w:sz w:val="28"/>
          <w:szCs w:val="28"/>
          <w:lang w:val="en-US" w:eastAsia="zh-CN"/>
        </w:rPr>
        <w:t>9</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16</w:t>
      </w:r>
      <w:r>
        <w:rPr>
          <w:rFonts w:hint="eastAsia" w:ascii="仿宋" w:hAnsi="仿宋" w:eastAsia="仿宋" w:cs="仿宋"/>
          <w:bCs/>
          <w:kern w:val="2"/>
          <w:sz w:val="28"/>
          <w:szCs w:val="28"/>
        </w:rPr>
        <w:t>日—0</w:t>
      </w:r>
      <w:r>
        <w:rPr>
          <w:rFonts w:hint="eastAsia" w:ascii="仿宋" w:hAnsi="仿宋" w:eastAsia="仿宋" w:cs="仿宋"/>
          <w:bCs/>
          <w:kern w:val="2"/>
          <w:sz w:val="28"/>
          <w:szCs w:val="28"/>
          <w:lang w:val="en-US" w:eastAsia="zh-CN"/>
        </w:rPr>
        <w:t>9</w:t>
      </w:r>
      <w:r>
        <w:rPr>
          <w:rFonts w:hint="eastAsia" w:ascii="仿宋" w:hAnsi="仿宋" w:eastAsia="仿宋" w:cs="仿宋"/>
          <w:bCs/>
          <w:kern w:val="2"/>
          <w:sz w:val="28"/>
          <w:szCs w:val="28"/>
        </w:rPr>
        <w:t>月</w:t>
      </w:r>
      <w:r>
        <w:rPr>
          <w:rFonts w:hint="eastAsia" w:ascii="仿宋" w:hAnsi="仿宋" w:eastAsia="仿宋" w:cs="仿宋"/>
          <w:bCs/>
          <w:kern w:val="2"/>
          <w:sz w:val="28"/>
          <w:szCs w:val="28"/>
          <w:lang w:val="en-US" w:eastAsia="zh-CN"/>
        </w:rPr>
        <w:t>19</w:t>
      </w:r>
      <w:r>
        <w:rPr>
          <w:rFonts w:hint="eastAsia" w:ascii="仿宋" w:hAnsi="仿宋" w:eastAsia="仿宋" w:cs="仿宋"/>
          <w:bCs/>
          <w:kern w:val="2"/>
          <w:sz w:val="28"/>
          <w:szCs w:val="28"/>
        </w:rPr>
        <w:t xml:space="preserve">日  </w:t>
      </w:r>
      <w:r>
        <w:rPr>
          <w:rFonts w:hint="eastAsia" w:ascii="仿宋" w:hAnsi="仿宋" w:eastAsia="仿宋" w:cs="仿宋"/>
          <w:bCs/>
          <w:kern w:val="2"/>
          <w:sz w:val="28"/>
          <w:szCs w:val="28"/>
          <w:lang w:val="en-US" w:eastAsia="zh-CN"/>
        </w:rPr>
        <w:t>西安</w:t>
      </w:r>
      <w:r>
        <w:rPr>
          <w:rFonts w:hint="eastAsia" w:ascii="仿宋" w:hAnsi="仿宋" w:eastAsia="仿宋" w:cs="仿宋"/>
          <w:bCs/>
          <w:kern w:val="2"/>
          <w:sz w:val="28"/>
          <w:szCs w:val="28"/>
        </w:rPr>
        <w:t>市（</w:t>
      </w:r>
      <w:r>
        <w:rPr>
          <w:rFonts w:hint="eastAsia" w:ascii="仿宋" w:hAnsi="仿宋" w:eastAsia="仿宋" w:cs="仿宋"/>
          <w:bCs/>
          <w:kern w:val="2"/>
          <w:sz w:val="28"/>
          <w:szCs w:val="28"/>
          <w:lang w:val="en-US" w:eastAsia="zh-CN"/>
        </w:rPr>
        <w:t>16</w:t>
      </w:r>
      <w:r>
        <w:rPr>
          <w:rFonts w:hint="eastAsia" w:ascii="仿宋" w:hAnsi="仿宋" w:eastAsia="仿宋" w:cs="仿宋"/>
          <w:bCs/>
          <w:kern w:val="2"/>
          <w:sz w:val="28"/>
          <w:szCs w:val="28"/>
        </w:rPr>
        <w:t>日全天报到）</w:t>
      </w:r>
    </w:p>
    <w:p>
      <w:pPr>
        <w:keepNext w:val="0"/>
        <w:keepLines w:val="0"/>
        <w:pageBreakBefore w:val="0"/>
        <w:widowControl w:val="0"/>
        <w:kinsoku/>
        <w:wordWrap/>
        <w:overflowPunct/>
        <w:topLinePunct w:val="0"/>
        <w:bidi w:val="0"/>
        <w:snapToGrid/>
        <w:spacing w:line="440" w:lineRule="exact"/>
        <w:ind w:left="487" w:leftChars="232" w:firstLine="0" w:firstLineChars="0"/>
        <w:textAlignment w:val="auto"/>
        <w:rPr>
          <w:rFonts w:hint="eastAsia" w:ascii="仿宋" w:hAnsi="仿宋" w:eastAsia="仿宋" w:cs="仿宋"/>
          <w:b/>
          <w:bCs/>
          <w:color w:val="000000"/>
          <w:sz w:val="28"/>
          <w:szCs w:val="28"/>
          <w:lang w:eastAsia="zh-CN"/>
        </w:rPr>
      </w:pPr>
      <w:r>
        <w:rPr>
          <w:rFonts w:hint="eastAsia" w:ascii="仿宋" w:hAnsi="仿宋" w:eastAsia="仿宋" w:cs="仿宋"/>
          <w:bCs/>
          <w:kern w:val="2"/>
          <w:sz w:val="28"/>
          <w:szCs w:val="28"/>
          <w:lang w:eastAsia="zh-CN"/>
        </w:rPr>
        <w:t>（</w:t>
      </w:r>
      <w:r>
        <w:rPr>
          <w:rFonts w:hint="eastAsia" w:ascii="仿宋" w:hAnsi="仿宋" w:eastAsia="仿宋" w:cs="仿宋"/>
          <w:bCs/>
          <w:kern w:val="2"/>
          <w:sz w:val="28"/>
          <w:szCs w:val="28"/>
          <w:lang w:val="en-US" w:eastAsia="zh-CN"/>
        </w:rPr>
        <w:t>因疫情采取线上线下同步授课，费用不变，线上学员2022年可免费参加线下公开课一次。）</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Cs/>
          <w:kern w:val="2"/>
          <w:sz w:val="28"/>
          <w:szCs w:val="28"/>
          <w:lang w:eastAsia="zh-CN"/>
        </w:rPr>
      </w:pPr>
      <w:r>
        <w:rPr>
          <w:rFonts w:hint="eastAsia" w:ascii="仿宋" w:hAnsi="仿宋" w:eastAsia="仿宋" w:cs="仿宋"/>
          <w:b/>
          <w:bCs/>
          <w:color w:val="000000"/>
          <w:sz w:val="28"/>
          <w:szCs w:val="28"/>
          <w:lang w:eastAsia="zh-CN"/>
        </w:rPr>
        <w:t>六</w:t>
      </w:r>
      <w:r>
        <w:rPr>
          <w:rFonts w:hint="eastAsia" w:ascii="仿宋" w:hAnsi="仿宋" w:eastAsia="仿宋" w:cs="仿宋"/>
          <w:b/>
          <w:bCs/>
          <w:color w:val="000000"/>
          <w:sz w:val="28"/>
          <w:szCs w:val="28"/>
        </w:rPr>
        <w:t>、</w:t>
      </w:r>
      <w:r>
        <w:rPr>
          <w:rFonts w:hint="eastAsia" w:ascii="仿宋" w:hAnsi="仿宋" w:eastAsia="仿宋" w:cs="仿宋"/>
          <w:b/>
          <w:bCs/>
          <w:color w:val="000000"/>
          <w:sz w:val="28"/>
          <w:szCs w:val="28"/>
          <w:lang w:eastAsia="zh-CN"/>
        </w:rPr>
        <w:t>收费标准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A.</w:t>
      </w:r>
      <w:r>
        <w:rPr>
          <w:rFonts w:hint="eastAsia" w:ascii="仿宋" w:hAnsi="仿宋" w:eastAsia="仿宋" w:cs="仿宋"/>
          <w:bCs/>
          <w:kern w:val="2"/>
          <w:sz w:val="28"/>
          <w:szCs w:val="28"/>
          <w:lang w:val="en-US" w:eastAsia="zh-CN"/>
        </w:rPr>
        <w:t>3600</w:t>
      </w:r>
      <w:r>
        <w:rPr>
          <w:rFonts w:hint="eastAsia" w:ascii="仿宋" w:hAnsi="仿宋" w:eastAsia="仿宋" w:cs="仿宋"/>
          <w:bCs/>
          <w:kern w:val="2"/>
          <w:sz w:val="28"/>
          <w:szCs w:val="28"/>
        </w:rPr>
        <w:t>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及培训期间午餐），住宿统一安排，费用自理。</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B.</w:t>
      </w:r>
      <w:r>
        <w:rPr>
          <w:rFonts w:hint="eastAsia" w:ascii="仿宋" w:hAnsi="仿宋" w:eastAsia="仿宋" w:cs="仿宋"/>
          <w:bCs/>
          <w:kern w:val="2"/>
          <w:sz w:val="28"/>
          <w:szCs w:val="28"/>
          <w:lang w:val="en-US" w:eastAsia="zh-CN"/>
        </w:rPr>
        <w:t>560</w:t>
      </w:r>
      <w:r>
        <w:rPr>
          <w:rFonts w:hint="eastAsia" w:ascii="仿宋" w:hAnsi="仿宋" w:eastAsia="仿宋" w:cs="仿宋"/>
          <w:bCs/>
          <w:kern w:val="2"/>
          <w:sz w:val="28"/>
          <w:szCs w:val="28"/>
        </w:rPr>
        <w:t>0元/人（含培训、资料、电子课件、场地</w:t>
      </w:r>
      <w:r>
        <w:rPr>
          <w:rFonts w:hint="eastAsia" w:ascii="仿宋" w:hAnsi="仿宋" w:eastAsia="仿宋" w:cs="仿宋"/>
          <w:bCs/>
          <w:kern w:val="2"/>
          <w:sz w:val="28"/>
          <w:szCs w:val="28"/>
          <w:lang w:eastAsia="zh-CN"/>
        </w:rPr>
        <w:t>费</w:t>
      </w:r>
      <w:r>
        <w:rPr>
          <w:rFonts w:hint="eastAsia" w:ascii="仿宋" w:hAnsi="仿宋" w:eastAsia="仿宋" w:cs="仿宋"/>
          <w:bCs/>
          <w:kern w:val="2"/>
          <w:sz w:val="28"/>
          <w:szCs w:val="28"/>
        </w:rPr>
        <w:t>、证书及培训期间午餐），住宿统一安排，费用自理。培训结束后，经考核合格，由</w:t>
      </w:r>
      <w:r>
        <w:rPr>
          <w:rFonts w:hint="eastAsia" w:ascii="仿宋" w:hAnsi="仿宋" w:eastAsia="仿宋" w:cs="仿宋"/>
          <w:bCs/>
          <w:kern w:val="2"/>
          <w:sz w:val="28"/>
          <w:szCs w:val="28"/>
          <w:lang w:eastAsia="zh-CN"/>
        </w:rPr>
        <w:t>中国管理科学研究院</w:t>
      </w:r>
      <w:r>
        <w:rPr>
          <w:rFonts w:hint="eastAsia" w:ascii="仿宋" w:hAnsi="仿宋" w:eastAsia="仿宋" w:cs="仿宋"/>
          <w:bCs/>
          <w:kern w:val="2"/>
          <w:sz w:val="28"/>
          <w:szCs w:val="28"/>
        </w:rPr>
        <w:t>颁发《投融资</w:t>
      </w:r>
      <w:r>
        <w:rPr>
          <w:rFonts w:hint="eastAsia" w:ascii="仿宋" w:hAnsi="仿宋" w:eastAsia="仿宋" w:cs="仿宋"/>
          <w:bCs/>
          <w:kern w:val="2"/>
          <w:sz w:val="28"/>
          <w:szCs w:val="28"/>
          <w:lang w:eastAsia="zh-CN"/>
        </w:rPr>
        <w:t>管理</w:t>
      </w:r>
      <w:r>
        <w:rPr>
          <w:rFonts w:hint="eastAsia" w:ascii="仿宋" w:hAnsi="仿宋" w:eastAsia="仿宋" w:cs="仿宋"/>
          <w:bCs/>
          <w:kern w:val="2"/>
          <w:sz w:val="28"/>
          <w:szCs w:val="28"/>
        </w:rPr>
        <w:t>师》证书，证书申报需提供申报表、二寸</w:t>
      </w:r>
      <w:r>
        <w:rPr>
          <w:rFonts w:hint="eastAsia" w:ascii="仿宋" w:hAnsi="仿宋" w:eastAsia="仿宋" w:cs="仿宋"/>
          <w:bCs/>
          <w:kern w:val="2"/>
          <w:sz w:val="28"/>
          <w:szCs w:val="28"/>
          <w:lang w:eastAsia="zh-CN"/>
        </w:rPr>
        <w:t>蓝</w:t>
      </w:r>
      <w:r>
        <w:rPr>
          <w:rFonts w:hint="eastAsia" w:ascii="仿宋" w:hAnsi="仿宋" w:eastAsia="仿宋" w:cs="仿宋"/>
          <w:bCs/>
          <w:kern w:val="2"/>
          <w:sz w:val="28"/>
          <w:szCs w:val="28"/>
        </w:rPr>
        <w:t>底免冠彩色照片（电子版）、身份证复印件、学历证书复印件各一份。</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七、</w:t>
      </w:r>
      <w:r>
        <w:rPr>
          <w:rFonts w:hint="eastAsia" w:ascii="仿宋" w:hAnsi="仿宋" w:eastAsia="仿宋" w:cs="仿宋"/>
          <w:b/>
          <w:bCs/>
          <w:color w:val="000000"/>
          <w:sz w:val="28"/>
          <w:szCs w:val="28"/>
          <w:lang w:eastAsia="zh-CN"/>
        </w:rPr>
        <w:t>课程权益</w:t>
      </w:r>
    </w:p>
    <w:p>
      <w:pPr>
        <w:keepNext w:val="0"/>
        <w:keepLines w:val="0"/>
        <w:pageBreakBefore w:val="0"/>
        <w:widowControl w:val="0"/>
        <w:kinsoku/>
        <w:wordWrap/>
        <w:overflowPunct/>
        <w:topLinePunct w:val="0"/>
        <w:bidi w:val="0"/>
        <w:snapToGrid/>
        <w:spacing w:line="440" w:lineRule="exact"/>
        <w:ind w:firstLine="600" w:firstLineChars="200"/>
        <w:textAlignment w:val="auto"/>
        <w:rPr>
          <w:rFonts w:hint="eastAsia" w:ascii="仿宋" w:hAnsi="仿宋" w:eastAsia="仿宋" w:cs="仿宋"/>
          <w:bCs/>
          <w:kern w:val="2"/>
          <w:sz w:val="28"/>
          <w:szCs w:val="28"/>
        </w:rPr>
      </w:pP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本培训班常年举办，本人</w:t>
      </w:r>
      <w:r>
        <w:rPr>
          <w:rFonts w:hint="eastAsia" w:ascii="仿宋" w:hAnsi="仿宋" w:eastAsia="仿宋" w:cs="仿宋"/>
          <w:color w:val="000000"/>
          <w:spacing w:val="10"/>
          <w:sz w:val="28"/>
          <w:szCs w:val="28"/>
          <w:lang w:eastAsia="zh-CN"/>
        </w:rPr>
        <w:t>一</w:t>
      </w:r>
      <w:r>
        <w:rPr>
          <w:rFonts w:hint="eastAsia" w:ascii="仿宋" w:hAnsi="仿宋" w:eastAsia="仿宋" w:cs="仿宋"/>
          <w:color w:val="000000"/>
          <w:spacing w:val="10"/>
          <w:sz w:val="28"/>
          <w:szCs w:val="28"/>
        </w:rPr>
        <w:t>年</w:t>
      </w:r>
      <w:r>
        <w:rPr>
          <w:rFonts w:hint="eastAsia" w:ascii="仿宋" w:hAnsi="仿宋" w:eastAsia="仿宋" w:cs="仿宋"/>
          <w:color w:val="000000"/>
          <w:spacing w:val="10"/>
          <w:sz w:val="28"/>
          <w:szCs w:val="28"/>
          <w:lang w:eastAsia="zh-CN"/>
        </w:rPr>
        <w:t>内</w:t>
      </w:r>
      <w:r>
        <w:rPr>
          <w:rFonts w:hint="eastAsia" w:ascii="仿宋" w:hAnsi="仿宋" w:eastAsia="仿宋" w:cs="仿宋"/>
          <w:color w:val="000000"/>
          <w:spacing w:val="10"/>
          <w:sz w:val="28"/>
          <w:szCs w:val="28"/>
        </w:rPr>
        <w:t>免费复训一次，只交资料费300元即可，赠送同主题一次网络课程</w:t>
      </w:r>
      <w:r>
        <w:rPr>
          <w:rFonts w:hint="eastAsia" w:ascii="仿宋" w:hAnsi="仿宋" w:eastAsia="仿宋" w:cs="仿宋"/>
          <w:bCs/>
          <w:kern w:val="2"/>
          <w:sz w:val="28"/>
          <w:szCs w:val="28"/>
        </w:rPr>
        <w:t>；</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（二）</w:t>
      </w:r>
      <w:r>
        <w:rPr>
          <w:rFonts w:hint="eastAsia" w:ascii="仿宋" w:hAnsi="仿宋" w:eastAsia="仿宋" w:cs="仿宋"/>
          <w:bCs/>
          <w:kern w:val="2"/>
          <w:sz w:val="28"/>
          <w:szCs w:val="28"/>
        </w:rPr>
        <w:t>免费赠送中建科信集团编著的《“两新一重”建设投融资政策解读》专著（中国金融出版社）；</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（三）</w:t>
      </w:r>
      <w:r>
        <w:rPr>
          <w:rFonts w:hint="eastAsia" w:ascii="仿宋" w:hAnsi="仿宋" w:eastAsia="仿宋" w:cs="仿宋"/>
          <w:bCs/>
          <w:kern w:val="2"/>
          <w:sz w:val="28"/>
          <w:szCs w:val="28"/>
        </w:rPr>
        <w:t xml:space="preserve">免费定期推送各类行业政策新闻及专家解读等相关资讯； </w:t>
      </w:r>
    </w:p>
    <w:p>
      <w:pPr>
        <w:keepNext w:val="0"/>
        <w:keepLines w:val="0"/>
        <w:pageBreakBefore w:val="0"/>
        <w:widowControl w:val="0"/>
        <w:kinsoku/>
        <w:wordWrap/>
        <w:overflowPunct/>
        <w:topLinePunct w:val="0"/>
        <w:bidi w:val="0"/>
        <w:snapToGrid/>
        <w:spacing w:line="440" w:lineRule="exact"/>
        <w:ind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lang w:eastAsia="zh-CN"/>
        </w:rPr>
        <w:t>（四）</w:t>
      </w:r>
      <w:r>
        <w:rPr>
          <w:rFonts w:hint="eastAsia" w:ascii="仿宋" w:hAnsi="仿宋" w:eastAsia="仿宋" w:cs="仿宋"/>
          <w:bCs/>
          <w:kern w:val="2"/>
          <w:sz w:val="28"/>
          <w:szCs w:val="28"/>
        </w:rPr>
        <w:t xml:space="preserve">咨询服务9折优惠。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b/>
          <w:bCs/>
          <w:color w:val="000000"/>
          <w:sz w:val="28"/>
          <w:szCs w:val="28"/>
          <w:lang w:eastAsia="zh-CN"/>
        </w:rPr>
      </w:pPr>
      <w:r>
        <w:rPr>
          <w:rFonts w:hint="eastAsia" w:ascii="仿宋" w:hAnsi="仿宋" w:eastAsia="仿宋" w:cs="仿宋"/>
          <w:b/>
          <w:bCs/>
          <w:color w:val="000000"/>
          <w:sz w:val="28"/>
          <w:szCs w:val="28"/>
          <w:lang w:val="en-US" w:eastAsia="zh-CN"/>
        </w:rPr>
        <w:t>八</w:t>
      </w:r>
      <w:r>
        <w:rPr>
          <w:rFonts w:hint="eastAsia" w:ascii="仿宋" w:hAnsi="仿宋" w:eastAsia="仿宋" w:cs="仿宋"/>
          <w:b/>
          <w:bCs/>
          <w:color w:val="000000"/>
          <w:sz w:val="28"/>
          <w:szCs w:val="28"/>
          <w:lang w:eastAsia="zh-CN"/>
        </w:rPr>
        <w:t>、报名办法</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报名负责人：聂红军 主任18211071700（微信）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bCs/>
          <w:kern w:val="2"/>
          <w:sz w:val="28"/>
          <w:szCs w:val="28"/>
        </w:rPr>
      </w:pPr>
      <w:r>
        <w:rPr>
          <w:rFonts w:hint="eastAsia" w:ascii="仿宋" w:hAnsi="仿宋" w:eastAsia="仿宋" w:cs="仿宋"/>
          <w:bCs/>
          <w:kern w:val="2"/>
          <w:sz w:val="28"/>
          <w:szCs w:val="28"/>
        </w:rPr>
        <w:t xml:space="preserve">电  话：010-87697580      邮    箱：zqgphwz@126.com  </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bCs/>
          <w:kern w:val="2"/>
          <w:sz w:val="28"/>
          <w:szCs w:val="28"/>
        </w:rPr>
        <w:t xml:space="preserve">qq咨询：3177524020       网址查询：http://www.zqgpchina.cn/ </w:t>
      </w:r>
      <w:r>
        <w:rPr>
          <w:rFonts w:hint="eastAsia" w:ascii="仿宋" w:hAnsi="仿宋" w:eastAsia="仿宋" w:cs="Times New Roman"/>
          <w:sz w:val="28"/>
          <w:szCs w:val="28"/>
          <w:lang w:val="en-US" w:eastAsia="zh-CN" w:bidi="ar-SA"/>
        </w:rPr>
        <w:drawing>
          <wp:anchor distT="0" distB="0" distL="114300" distR="114300" simplePos="0" relativeHeight="251660288" behindDoc="1" locked="0" layoutInCell="1" allowOverlap="1">
            <wp:simplePos x="0" y="0"/>
            <wp:positionH relativeFrom="column">
              <wp:posOffset>2661285</wp:posOffset>
            </wp:positionH>
            <wp:positionV relativeFrom="paragraph">
              <wp:posOffset>169545</wp:posOffset>
            </wp:positionV>
            <wp:extent cx="2343150" cy="2266950"/>
            <wp:effectExtent l="0" t="0" r="1270" b="3175"/>
            <wp:wrapNone/>
            <wp:docPr id="6" name="图片 6" descr="WPS图片编辑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PS图片编辑4"/>
                    <pic:cNvPicPr>
                      <a:picLocks noChangeAspect="1"/>
                    </pic:cNvPicPr>
                  </pic:nvPicPr>
                  <pic:blipFill>
                    <a:blip r:embed="rId5"/>
                    <a:stretch>
                      <a:fillRect/>
                    </a:stretch>
                  </pic:blipFill>
                  <pic:spPr>
                    <a:xfrm>
                      <a:off x="0" y="0"/>
                      <a:ext cx="2343150" cy="2266950"/>
                    </a:xfrm>
                    <a:prstGeom prst="rect">
                      <a:avLst/>
                    </a:prstGeom>
                  </pic:spPr>
                </pic:pic>
              </a:graphicData>
            </a:graphic>
          </wp:anchor>
        </w:drawing>
      </w:r>
    </w:p>
    <w:p>
      <w:pPr>
        <w:pStyle w:val="5"/>
        <w:keepNext w:val="0"/>
        <w:keepLines w:val="0"/>
        <w:pageBreakBefore w:val="0"/>
        <w:widowControl w:val="0"/>
        <w:kinsoku/>
        <w:wordWrap/>
        <w:overflowPunct/>
        <w:topLinePunct w:val="0"/>
        <w:autoSpaceDE/>
        <w:autoSpaceDN/>
        <w:bidi w:val="0"/>
        <w:adjustRightInd/>
        <w:snapToGrid/>
        <w:spacing w:line="240" w:lineRule="auto"/>
        <w:ind w:firstLine="3080" w:firstLineChars="1100"/>
        <w:textAlignment w:val="auto"/>
        <w:rPr>
          <w:rFonts w:hint="eastAsia" w:ascii="仿宋" w:hAnsi="仿宋" w:eastAsia="仿宋" w:cs="仿宋"/>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仿宋" w:hAnsi="仿宋" w:eastAsia="仿宋" w:cs="仿宋"/>
          <w:sz w:val="28"/>
          <w:szCs w:val="28"/>
          <w:lang w:eastAsia="zh-CN"/>
        </w:rPr>
      </w:pPr>
    </w:p>
    <w:p>
      <w:pPr>
        <w:pStyle w:val="5"/>
        <w:keepNext w:val="0"/>
        <w:keepLines w:val="0"/>
        <w:pageBreakBefore w:val="0"/>
        <w:widowControl w:val="0"/>
        <w:kinsoku/>
        <w:wordWrap/>
        <w:overflowPunct/>
        <w:topLinePunct w:val="0"/>
        <w:autoSpaceDE/>
        <w:autoSpaceDN/>
        <w:bidi w:val="0"/>
        <w:adjustRightInd/>
        <w:snapToGrid/>
        <w:spacing w:line="440" w:lineRule="exact"/>
        <w:ind w:firstLine="3082" w:firstLineChars="11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中国</w:t>
      </w:r>
      <w:r>
        <w:rPr>
          <w:rFonts w:hint="eastAsia" w:ascii="仿宋" w:hAnsi="仿宋" w:eastAsia="仿宋" w:cs="仿宋"/>
          <w:b/>
          <w:bCs/>
          <w:sz w:val="28"/>
          <w:szCs w:val="28"/>
          <w:lang w:val="en-US" w:eastAsia="zh-CN"/>
        </w:rPr>
        <w:t>开发区协会投融资专业委员会</w:t>
      </w:r>
    </w:p>
    <w:p>
      <w:pPr>
        <w:pStyle w:val="5"/>
        <w:keepNext w:val="0"/>
        <w:keepLines w:val="0"/>
        <w:pageBreakBefore w:val="0"/>
        <w:widowControl w:val="0"/>
        <w:kinsoku/>
        <w:wordWrap/>
        <w:overflowPunct/>
        <w:topLinePunct w:val="0"/>
        <w:autoSpaceDE/>
        <w:autoSpaceDN/>
        <w:bidi w:val="0"/>
        <w:adjustRightInd/>
        <w:snapToGrid/>
        <w:spacing w:line="440" w:lineRule="exact"/>
        <w:ind w:left="0" w:firstLine="560"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 xml:space="preserve">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 xml:space="preserve">     </w:t>
      </w:r>
      <w:r>
        <w:rPr>
          <w:rFonts w:hint="eastAsia" w:ascii="仿宋" w:hAnsi="仿宋" w:eastAsia="仿宋" w:cs="仿宋"/>
          <w:b/>
          <w:bCs/>
          <w:sz w:val="28"/>
          <w:szCs w:val="28"/>
          <w:lang w:val="en-US" w:eastAsia="zh-CN"/>
        </w:rPr>
        <w:t xml:space="preserve"> 2022</w:t>
      </w:r>
      <w:r>
        <w:rPr>
          <w:rFonts w:hint="eastAsia" w:ascii="仿宋" w:hAnsi="仿宋" w:eastAsia="仿宋" w:cs="仿宋"/>
          <w:b/>
          <w:bCs/>
          <w:sz w:val="28"/>
          <w:szCs w:val="28"/>
          <w:lang w:eastAsia="zh-CN"/>
        </w:rPr>
        <w:t>年</w:t>
      </w:r>
      <w:r>
        <w:rPr>
          <w:rFonts w:hint="eastAsia" w:ascii="仿宋" w:hAnsi="仿宋" w:eastAsia="仿宋" w:cs="仿宋"/>
          <w:b/>
          <w:bCs/>
          <w:sz w:val="28"/>
          <w:szCs w:val="28"/>
          <w:lang w:val="en-US" w:eastAsia="zh-CN"/>
        </w:rPr>
        <w:t>5月31</w:t>
      </w:r>
      <w:r>
        <w:rPr>
          <w:rFonts w:hint="eastAsia" w:ascii="仿宋" w:hAnsi="仿宋" w:eastAsia="仿宋" w:cs="仿宋"/>
          <w:b/>
          <w:bCs/>
          <w:sz w:val="28"/>
          <w:szCs w:val="28"/>
          <w:lang w:eastAsia="zh-CN"/>
        </w:rPr>
        <w:t>日</w:t>
      </w:r>
    </w:p>
    <w:p>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default" w:ascii="仿宋" w:hAnsi="仿宋" w:eastAsia="仿宋" w:cs="仿宋"/>
          <w:b/>
          <w:sz w:val="28"/>
          <w:szCs w:val="28"/>
          <w:lang w:val="en-US" w:eastAsia="zh-CN"/>
        </w:rPr>
      </w:pPr>
    </w:p>
    <w:p>
      <w:pPr>
        <w:pStyle w:val="9"/>
        <w:keepNext w:val="0"/>
        <w:keepLines w:val="0"/>
        <w:widowControl/>
        <w:suppressLineNumbers w:val="0"/>
        <w:shd w:val="clear" w:fill="FFFFFF"/>
        <w:spacing w:before="0" w:beforeAutospacing="0" w:after="192" w:afterAutospacing="0"/>
        <w:ind w:right="0" w:firstLine="4672" w:firstLineChars="1600"/>
        <w:jc w:val="left"/>
        <w:rPr>
          <w:rFonts w:hint="eastAsia" w:ascii="仿宋" w:hAnsi="仿宋" w:eastAsia="仿宋" w:cs="仿宋"/>
          <w:b w:val="0"/>
          <w:bCs w:val="0"/>
          <w:i w:val="0"/>
          <w:caps w:val="0"/>
          <w:color w:val="000000" w:themeColor="text1"/>
          <w:spacing w:val="6"/>
          <w:sz w:val="28"/>
          <w:szCs w:val="28"/>
          <w:shd w:val="clear" w:fill="FFFFFF"/>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0" w:lineRule="exact"/>
        <w:ind w:right="-147" w:rightChars="-70"/>
        <w:jc w:val="center"/>
        <w:textAlignment w:val="auto"/>
        <w:rPr>
          <w:rFonts w:hint="eastAsia" w:ascii="仿宋" w:hAnsi="仿宋" w:eastAsia="仿宋" w:cs="仿宋"/>
          <w:b/>
          <w:sz w:val="36"/>
          <w:szCs w:val="36"/>
        </w:rPr>
      </w:pPr>
      <w:r>
        <w:rPr>
          <w:rFonts w:hint="eastAsia" w:ascii="仿宋" w:hAnsi="仿宋" w:eastAsia="仿宋" w:cs="仿宋"/>
          <w:b/>
          <w:sz w:val="36"/>
          <w:szCs w:val="36"/>
          <w:lang w:val="en-US" w:eastAsia="zh-CN"/>
        </w:rPr>
        <w:t>“</w:t>
      </w:r>
      <w:r>
        <w:rPr>
          <w:rFonts w:hint="eastAsia" w:ascii="仿宋" w:hAnsi="仿宋" w:eastAsia="仿宋" w:cs="仿宋"/>
          <w:b/>
          <w:sz w:val="36"/>
          <w:szCs w:val="36"/>
        </w:rPr>
        <w:t>EOD引领多模式运作城镇环境基础设施建设</w:t>
      </w:r>
    </w:p>
    <w:p>
      <w:pPr>
        <w:keepNext w:val="0"/>
        <w:keepLines w:val="0"/>
        <w:pageBreakBefore w:val="0"/>
        <w:widowControl w:val="0"/>
        <w:kinsoku/>
        <w:wordWrap/>
        <w:overflowPunct/>
        <w:topLinePunct w:val="0"/>
        <w:autoSpaceDE/>
        <w:autoSpaceDN/>
        <w:bidi w:val="0"/>
        <w:adjustRightInd/>
        <w:snapToGrid/>
        <w:spacing w:line="480" w:lineRule="exact"/>
        <w:ind w:right="-147" w:rightChars="-70"/>
        <w:jc w:val="center"/>
        <w:textAlignment w:val="auto"/>
        <w:rPr>
          <w:rFonts w:hint="eastAsia" w:ascii="宋体" w:hAnsi="宋体" w:eastAsia="宋体" w:cs="宋体"/>
          <w:b/>
          <w:sz w:val="36"/>
          <w:szCs w:val="36"/>
        </w:rPr>
      </w:pPr>
      <w:r>
        <w:rPr>
          <w:rFonts w:hint="eastAsia" w:ascii="仿宋" w:hAnsi="仿宋" w:eastAsia="仿宋" w:cs="仿宋"/>
          <w:b/>
          <w:sz w:val="36"/>
          <w:szCs w:val="36"/>
        </w:rPr>
        <w:t>与片区综合开发实务操作高级研修班</w:t>
      </w:r>
      <w:r>
        <w:rPr>
          <w:rFonts w:hint="eastAsia" w:ascii="仿宋" w:hAnsi="仿宋" w:eastAsia="仿宋" w:cs="仿宋"/>
          <w:b/>
          <w:sz w:val="36"/>
          <w:szCs w:val="36"/>
          <w:lang w:val="en-US" w:eastAsia="zh-CN"/>
        </w:rPr>
        <w:t>”</w:t>
      </w:r>
      <w:r>
        <w:rPr>
          <w:rFonts w:hint="eastAsia" w:ascii="仿宋" w:hAnsi="仿宋" w:eastAsia="仿宋" w:cs="仿宋"/>
          <w:b/>
          <w:sz w:val="36"/>
          <w:szCs w:val="36"/>
        </w:rPr>
        <w:t>报名回执表</w:t>
      </w:r>
    </w:p>
    <w:tbl>
      <w:tblPr>
        <w:tblStyle w:val="11"/>
        <w:tblpPr w:leftFromText="180" w:rightFromText="180" w:vertAnchor="text" w:horzAnchor="page" w:tblpX="1225" w:tblpY="287"/>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8"/>
        <w:gridCol w:w="854"/>
        <w:gridCol w:w="1293"/>
        <w:gridCol w:w="1952"/>
        <w:gridCol w:w="1896"/>
        <w:gridCol w:w="21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单位名称</w:t>
            </w:r>
          </w:p>
        </w:tc>
        <w:tc>
          <w:tcPr>
            <w:tcW w:w="4099" w:type="dxa"/>
            <w:gridSpan w:val="3"/>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编</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单位地址</w:t>
            </w:r>
          </w:p>
        </w:tc>
        <w:tc>
          <w:tcPr>
            <w:tcW w:w="8159" w:type="dxa"/>
            <w:gridSpan w:val="5"/>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联 系 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w:t>
            </w:r>
            <w:r>
              <w:rPr>
                <w:rFonts w:hint="eastAsia" w:ascii="仿宋" w:hAnsi="仿宋" w:eastAsia="仿宋" w:cs="仿宋"/>
                <w:bCs/>
                <w:color w:val="000000" w:themeColor="text1"/>
                <w:sz w:val="28"/>
                <w:szCs w:val="28"/>
                <w:lang w:val="en-US" w:eastAsia="zh-CN"/>
                <w14:textFill>
                  <w14:solidFill>
                    <w14:schemeClr w14:val="tx1"/>
                  </w14:solidFill>
                </w14:textFill>
              </w:rPr>
              <w:t xml:space="preserve">    务</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手</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机</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办公电话</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传    真</w:t>
            </w:r>
          </w:p>
        </w:tc>
        <w:tc>
          <w:tcPr>
            <w:tcW w:w="2147"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电子信箱</w:t>
            </w:r>
          </w:p>
        </w:tc>
        <w:tc>
          <w:tcPr>
            <w:tcW w:w="4060" w:type="dxa"/>
            <w:gridSpan w:val="2"/>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w:t>
            </w:r>
            <w:r>
              <w:rPr>
                <w:rFonts w:hint="eastAsia" w:ascii="仿宋" w:hAnsi="仿宋" w:eastAsia="仿宋" w:cs="仿宋"/>
                <w:bCs/>
                <w:color w:val="000000" w:themeColor="text1"/>
                <w:sz w:val="28"/>
                <w:szCs w:val="28"/>
                <w14:textFill>
                  <w14:solidFill>
                    <w14:schemeClr w14:val="tx1"/>
                  </w14:solidFill>
                </w14:textFill>
              </w:rPr>
              <w:t>训人员</w:t>
            </w:r>
          </w:p>
        </w:tc>
        <w:tc>
          <w:tcPr>
            <w:tcW w:w="85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性别</w:t>
            </w:r>
          </w:p>
        </w:tc>
        <w:tc>
          <w:tcPr>
            <w:tcW w:w="1293"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职  务</w:t>
            </w:r>
          </w:p>
        </w:tc>
        <w:tc>
          <w:tcPr>
            <w:tcW w:w="1952"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电    话</w:t>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手  机</w:t>
            </w:r>
          </w:p>
        </w:tc>
        <w:tc>
          <w:tcPr>
            <w:tcW w:w="2164"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邮  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85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293"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896"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2164" w:type="dxa"/>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参训时间</w:t>
            </w:r>
          </w:p>
        </w:tc>
        <w:tc>
          <w:tcPr>
            <w:tcW w:w="2147"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c>
          <w:tcPr>
            <w:tcW w:w="1952"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参训地点</w:t>
            </w:r>
          </w:p>
        </w:tc>
        <w:tc>
          <w:tcPr>
            <w:tcW w:w="4060" w:type="dxa"/>
            <w:gridSpan w:val="2"/>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住宿标准</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 xml:space="preserve">单住□ </w:t>
            </w:r>
            <w:r>
              <w:rPr>
                <w:rFonts w:hint="eastAsia" w:ascii="仿宋" w:hAnsi="仿宋" w:eastAsia="仿宋" w:cs="仿宋"/>
                <w:bCs/>
                <w:color w:val="000000" w:themeColor="text1"/>
                <w:sz w:val="28"/>
                <w:szCs w:val="28"/>
                <w:lang w:val="en-US" w:eastAsia="zh-CN"/>
                <w14:textFill>
                  <w14:solidFill>
                    <w14:schemeClr w14:val="tx1"/>
                  </w14:solidFill>
                </w14:textFill>
              </w:rPr>
              <w:t xml:space="preserve">     </w:t>
            </w:r>
            <w:r>
              <w:rPr>
                <w:rFonts w:hint="eastAsia" w:ascii="仿宋" w:hAnsi="仿宋" w:eastAsia="仿宋" w:cs="仿宋"/>
                <w:bCs/>
                <w:color w:val="000000" w:themeColor="text1"/>
                <w:sz w:val="28"/>
                <w:szCs w:val="28"/>
                <w14:textFill>
                  <w14:solidFill>
                    <w14:schemeClr w14:val="tx1"/>
                  </w14:solidFill>
                </w14:textFill>
              </w:rPr>
              <w:t>合住□</w:t>
            </w:r>
            <w:r>
              <w:rPr>
                <w:rFonts w:hint="eastAsia" w:ascii="仿宋" w:hAnsi="仿宋" w:eastAsia="仿宋" w:cs="仿宋"/>
                <w:bCs/>
                <w:color w:val="000000" w:themeColor="text1"/>
                <w:sz w:val="28"/>
                <w:szCs w:val="28"/>
                <w:lang w:val="en-US" w:eastAsia="zh-CN"/>
                <w14:textFill>
                  <w14:solidFill>
                    <w14:schemeClr w14:val="tx1"/>
                  </w14:solidFill>
                </w14:textFill>
              </w:rPr>
              <w:t xml:space="preserve">     自理</w:t>
            </w:r>
            <w:r>
              <w:rPr>
                <w:rFonts w:hint="eastAsia" w:ascii="仿宋" w:hAnsi="仿宋" w:eastAsia="仿宋" w:cs="仿宋"/>
                <w:bCs/>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证书申报</w:t>
            </w:r>
          </w:p>
        </w:tc>
        <w:tc>
          <w:tcPr>
            <w:tcW w:w="8159" w:type="dxa"/>
            <w:gridSpan w:val="5"/>
            <w:vAlign w:val="center"/>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w:t>
            </w:r>
            <w:r>
              <w:rPr>
                <w:rFonts w:hint="eastAsia" w:ascii="仿宋" w:hAnsi="仿宋" w:eastAsia="仿宋" w:cs="仿宋"/>
                <w:bCs/>
                <w:color w:val="000000" w:themeColor="text1"/>
                <w:sz w:val="28"/>
                <w:szCs w:val="28"/>
                <w:lang w:eastAsia="zh-CN"/>
                <w14:textFill>
                  <w14:solidFill>
                    <w14:schemeClr w14:val="tx1"/>
                  </w14:solidFill>
                </w14:textFill>
              </w:rPr>
              <w:t>投融资管理</w:t>
            </w:r>
            <w:r>
              <w:rPr>
                <w:rFonts w:hint="eastAsia" w:ascii="仿宋" w:hAnsi="仿宋" w:eastAsia="仿宋" w:cs="仿宋"/>
                <w:bCs/>
                <w:color w:val="000000" w:themeColor="text1"/>
                <w:sz w:val="28"/>
                <w:szCs w:val="28"/>
                <w14:textFill>
                  <w14:solidFill>
                    <w14:schemeClr w14:val="tx1"/>
                  </w14:solidFill>
                </w14:textFill>
              </w:rPr>
              <w:t>师》</w:t>
            </w:r>
            <w:r>
              <w:rPr>
                <w:rFonts w:hint="eastAsia" w:ascii="仿宋" w:hAnsi="仿宋" w:eastAsia="仿宋" w:cs="仿宋"/>
                <w:bCs/>
                <w:color w:val="000000" w:themeColor="text1"/>
                <w:sz w:val="28"/>
                <w:szCs w:val="28"/>
                <w14:textFill>
                  <w14:solidFill>
                    <w14:schemeClr w14:val="tx1"/>
                  </w14:solidFill>
                </w14:textFill>
              </w:rPr>
              <w:sym w:font="Wingdings 2" w:char="00A3"/>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付款方式</w:t>
            </w:r>
          </w:p>
        </w:tc>
        <w:tc>
          <w:tcPr>
            <w:tcW w:w="4099" w:type="dxa"/>
            <w:gridSpan w:val="3"/>
            <w:vAlign w:val="center"/>
          </w:tcPr>
          <w:p>
            <w:pPr>
              <w:tabs>
                <w:tab w:val="left" w:pos="567"/>
                <w:tab w:val="left" w:pos="709"/>
              </w:tabs>
              <w:spacing w:line="300" w:lineRule="exact"/>
              <w:jc w:val="both"/>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转账</w:t>
            </w:r>
            <w:r>
              <w:rPr>
                <w:rFonts w:hint="eastAsia" w:ascii="仿宋" w:hAnsi="仿宋" w:eastAsia="仿宋" w:cs="仿宋"/>
                <w:bCs/>
                <w:color w:val="000000" w:themeColor="text1"/>
                <w:sz w:val="28"/>
                <w:szCs w:val="28"/>
                <w14:textFill>
                  <w14:solidFill>
                    <w14:schemeClr w14:val="tx1"/>
                  </w14:solidFill>
                </w14:textFill>
              </w:rPr>
              <w:sym w:font="Wingdings 2" w:char="00A3"/>
            </w:r>
            <w:r>
              <w:rPr>
                <w:rFonts w:hint="eastAsia" w:ascii="仿宋" w:hAnsi="仿宋" w:eastAsia="仿宋" w:cs="仿宋"/>
                <w:bCs/>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lang w:eastAsia="zh-CN"/>
                <w14:textFill>
                  <w14:solidFill>
                    <w14:schemeClr w14:val="tx1"/>
                  </w14:solidFill>
                </w14:textFill>
              </w:rPr>
              <w:t>现场</w:t>
            </w:r>
            <w:r>
              <w:rPr>
                <w:rFonts w:hint="eastAsia" w:ascii="仿宋" w:hAnsi="仿宋" w:eastAsia="仿宋" w:cs="仿宋"/>
                <w:bCs/>
                <w:color w:val="000000" w:themeColor="text1"/>
                <w:sz w:val="28"/>
                <w:szCs w:val="28"/>
                <w14:textFill>
                  <w14:solidFill>
                    <w14:schemeClr w14:val="tx1"/>
                  </w14:solidFill>
                </w14:textFill>
              </w:rPr>
              <w:sym w:font="Wingdings 2" w:char="00A3"/>
            </w:r>
          </w:p>
        </w:tc>
        <w:tc>
          <w:tcPr>
            <w:tcW w:w="1896"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金 额</w:t>
            </w:r>
          </w:p>
        </w:tc>
        <w:tc>
          <w:tcPr>
            <w:tcW w:w="2164" w:type="dxa"/>
          </w:tcPr>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p>
          <w:p>
            <w:pPr>
              <w:tabs>
                <w:tab w:val="left" w:pos="567"/>
                <w:tab w:val="left" w:pos="709"/>
              </w:tabs>
              <w:spacing w:line="300" w:lineRule="exact"/>
              <w:jc w:val="center"/>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收款信息</w:t>
            </w:r>
          </w:p>
        </w:tc>
        <w:tc>
          <w:tcPr>
            <w:tcW w:w="8159" w:type="dxa"/>
            <w:gridSpan w:val="5"/>
          </w:tcPr>
          <w:p>
            <w:pPr>
              <w:spacing w:line="360" w:lineRule="exact"/>
              <w:ind w:right="-147" w:rightChars="-70"/>
              <w:rPr>
                <w:rFonts w:hint="eastAsia" w:ascii="仿宋" w:hAnsi="仿宋" w:eastAsia="仿宋" w:cs="仿宋"/>
                <w:b/>
                <w:bCs/>
                <w:sz w:val="28"/>
                <w:szCs w:val="28"/>
              </w:rPr>
            </w:pPr>
            <w:r>
              <w:rPr>
                <w:rFonts w:hint="eastAsia" w:ascii="仿宋" w:hAnsi="仿宋" w:eastAsia="仿宋" w:cs="仿宋"/>
                <w:b/>
                <w:bCs/>
                <w:sz w:val="28"/>
                <w:szCs w:val="28"/>
                <w:lang w:eastAsia="zh-CN"/>
              </w:rPr>
              <w:t>开户名称</w:t>
            </w:r>
            <w:r>
              <w:rPr>
                <w:rFonts w:hint="eastAsia" w:ascii="仿宋" w:hAnsi="仿宋" w:eastAsia="仿宋" w:cs="仿宋"/>
                <w:b/>
                <w:bCs/>
                <w:sz w:val="28"/>
                <w:szCs w:val="28"/>
              </w:rPr>
              <w:t>: 北京众合启迪教育咨询有限公司</w:t>
            </w:r>
          </w:p>
          <w:p>
            <w:pPr>
              <w:spacing w:line="360" w:lineRule="exact"/>
              <w:ind w:right="-147" w:rightChars="-70"/>
              <w:rPr>
                <w:rFonts w:hint="eastAsia" w:ascii="仿宋" w:hAnsi="仿宋" w:eastAsia="仿宋" w:cs="仿宋"/>
                <w:b/>
                <w:bCs/>
                <w:sz w:val="28"/>
                <w:szCs w:val="28"/>
              </w:rPr>
            </w:pPr>
            <w:r>
              <w:rPr>
                <w:rFonts w:hint="eastAsia" w:ascii="仿宋" w:hAnsi="仿宋" w:eastAsia="仿宋" w:cs="仿宋"/>
                <w:b/>
                <w:bCs/>
                <w:sz w:val="28"/>
                <w:szCs w:val="28"/>
              </w:rPr>
              <w:t>开</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户</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行</w:t>
            </w:r>
            <w:r>
              <w:rPr>
                <w:rFonts w:hint="eastAsia" w:ascii="仿宋" w:hAnsi="仿宋" w:eastAsia="仿宋" w:cs="仿宋"/>
                <w:b/>
                <w:bCs/>
                <w:sz w:val="28"/>
                <w:szCs w:val="28"/>
                <w:lang w:eastAsia="zh-CN"/>
              </w:rPr>
              <w:t>：</w:t>
            </w:r>
            <w:r>
              <w:rPr>
                <w:rFonts w:hint="eastAsia" w:ascii="仿宋" w:hAnsi="仿宋" w:eastAsia="仿宋" w:cs="仿宋"/>
                <w:b/>
                <w:bCs/>
                <w:sz w:val="28"/>
                <w:szCs w:val="28"/>
              </w:rPr>
              <w:t>中国工商银行股份有限公司北京公主坟支行</w:t>
            </w:r>
          </w:p>
          <w:p>
            <w:pPr>
              <w:spacing w:line="360" w:lineRule="exact"/>
              <w:ind w:right="-147" w:rightChars="-70"/>
              <w:rPr>
                <w:rFonts w:hint="eastAsia" w:ascii="仿宋" w:hAnsi="仿宋" w:eastAsia="仿宋" w:cs="仿宋"/>
                <w:b/>
                <w:bCs/>
                <w:sz w:val="28"/>
                <w:szCs w:val="28"/>
              </w:rPr>
            </w:pPr>
            <w:r>
              <w:rPr>
                <w:rFonts w:hint="eastAsia" w:ascii="仿宋" w:hAnsi="仿宋" w:eastAsia="仿宋" w:cs="仿宋"/>
                <w:b/>
                <w:bCs/>
                <w:sz w:val="28"/>
                <w:szCs w:val="28"/>
              </w:rPr>
              <w:t>帐</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号： 0200004609200623881</w:t>
            </w:r>
          </w:p>
          <w:p>
            <w:pPr>
              <w:tabs>
                <w:tab w:val="left" w:pos="567"/>
                <w:tab w:val="left" w:pos="709"/>
              </w:tabs>
              <w:spacing w:line="300" w:lineRule="exact"/>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
                <w:bCs/>
                <w:sz w:val="28"/>
                <w:szCs w:val="28"/>
              </w:rPr>
              <w:t>联</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行</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 xml:space="preserve">号: </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102100000466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1678" w:type="dxa"/>
            <w:vAlign w:val="center"/>
          </w:tcPr>
          <w:p>
            <w:pPr>
              <w:tabs>
                <w:tab w:val="left" w:pos="567"/>
                <w:tab w:val="left" w:pos="709"/>
              </w:tabs>
              <w:spacing w:line="300" w:lineRule="exact"/>
              <w:jc w:val="center"/>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备    注</w:t>
            </w:r>
          </w:p>
        </w:tc>
        <w:tc>
          <w:tcPr>
            <w:tcW w:w="4099" w:type="dxa"/>
            <w:gridSpan w:val="3"/>
            <w:vAlign w:val="center"/>
          </w:tcPr>
          <w:p>
            <w:pPr>
              <w:tabs>
                <w:tab w:val="left" w:pos="567"/>
                <w:tab w:val="left" w:pos="709"/>
              </w:tabs>
              <w:spacing w:line="300" w:lineRule="exact"/>
              <w:ind w:firstLine="560" w:firstLineChars="200"/>
              <w:textAlignment w:val="baseline"/>
              <w:outlineLvl w:val="0"/>
              <w:rPr>
                <w:rFonts w:hint="eastAsia" w:ascii="仿宋" w:hAnsi="仿宋" w:eastAsia="仿宋" w:cs="仿宋"/>
                <w:bCs/>
                <w:color w:val="000000" w:themeColor="text1"/>
                <w:sz w:val="28"/>
                <w:szCs w:val="28"/>
                <w:lang w:eastAsia="zh-CN"/>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以上课程内容均可赴企业内部培训，依据企业需求，量身定制课程。</w:t>
            </w:r>
          </w:p>
        </w:tc>
        <w:tc>
          <w:tcPr>
            <w:tcW w:w="4060" w:type="dxa"/>
            <w:gridSpan w:val="2"/>
            <w:vAlign w:val="center"/>
          </w:tcPr>
          <w:p>
            <w:pPr>
              <w:tabs>
                <w:tab w:val="left" w:pos="567"/>
                <w:tab w:val="left" w:pos="709"/>
              </w:tabs>
              <w:spacing w:line="300" w:lineRule="exact"/>
              <w:ind w:firstLine="560" w:firstLineChars="2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单位印章</w:t>
            </w:r>
          </w:p>
          <w:p>
            <w:pPr>
              <w:tabs>
                <w:tab w:val="left" w:pos="567"/>
                <w:tab w:val="left" w:pos="709"/>
              </w:tabs>
              <w:spacing w:line="300" w:lineRule="exact"/>
              <w:ind w:firstLine="280" w:firstLineChars="100"/>
              <w:textAlignment w:val="baseline"/>
              <w:outlineLvl w:val="0"/>
              <w:rPr>
                <w:rFonts w:ascii="仿宋" w:hAnsi="仿宋" w:eastAsia="仿宋" w:cs="仿宋"/>
                <w:bCs/>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14:textFill>
                  <w14:solidFill>
                    <w14:schemeClr w14:val="tx1"/>
                  </w14:solidFill>
                </w14:textFill>
              </w:rPr>
              <w:t>2022年  月  日</w:t>
            </w:r>
          </w:p>
        </w:tc>
      </w:tr>
    </w:tbl>
    <w:p>
      <w:pPr>
        <w:spacing w:line="440" w:lineRule="exact"/>
        <w:ind w:right="-147" w:rightChars="-70"/>
        <w:rPr>
          <w:rStyle w:val="13"/>
          <w:rFonts w:hint="eastAsia" w:ascii="仿宋" w:hAnsi="仿宋" w:eastAsia="仿宋" w:cs="仿宋"/>
          <w:b w:val="0"/>
          <w:bCs w:val="0"/>
          <w:color w:val="000000"/>
          <w:sz w:val="28"/>
          <w:szCs w:val="28"/>
          <w:lang w:val="zh-CN"/>
        </w:rPr>
      </w:pPr>
    </w:p>
    <w:p>
      <w:pPr>
        <w:keepNext w:val="0"/>
        <w:keepLines w:val="0"/>
        <w:pageBreakBefore w:val="0"/>
        <w:widowControl w:val="0"/>
        <w:kinsoku/>
        <w:wordWrap/>
        <w:overflowPunct/>
        <w:topLinePunct w:val="0"/>
        <w:bidi w:val="0"/>
        <w:snapToGrid/>
        <w:spacing w:line="440" w:lineRule="exact"/>
        <w:textAlignment w:val="auto"/>
        <w:rPr>
          <w:rStyle w:val="13"/>
          <w:rFonts w:hint="eastAsia" w:ascii="仿宋" w:hAnsi="仿宋" w:eastAsia="仿宋" w:cs="仿宋"/>
          <w:b w:val="0"/>
          <w:bCs w:val="0"/>
          <w:color w:val="000000"/>
          <w:sz w:val="28"/>
          <w:szCs w:val="28"/>
          <w:lang w:val="zh-CN"/>
        </w:rPr>
      </w:pPr>
      <w:r>
        <w:rPr>
          <w:rStyle w:val="13"/>
          <w:rFonts w:hint="eastAsia" w:ascii="仿宋" w:hAnsi="仿宋" w:eastAsia="仿宋" w:cs="仿宋"/>
          <w:b w:val="0"/>
          <w:bCs w:val="0"/>
          <w:color w:val="000000"/>
          <w:sz w:val="28"/>
          <w:szCs w:val="28"/>
          <w:lang w:val="zh-CN"/>
        </w:rPr>
        <w:t xml:space="preserve">报名负责人：聂红军 主任18211071700（微信）   </w:t>
      </w:r>
    </w:p>
    <w:p>
      <w:pPr>
        <w:keepNext w:val="0"/>
        <w:keepLines w:val="0"/>
        <w:pageBreakBefore w:val="0"/>
        <w:widowControl w:val="0"/>
        <w:kinsoku/>
        <w:wordWrap/>
        <w:overflowPunct/>
        <w:topLinePunct w:val="0"/>
        <w:bidi w:val="0"/>
        <w:snapToGrid/>
        <w:spacing w:line="440" w:lineRule="exact"/>
        <w:textAlignment w:val="auto"/>
        <w:rPr>
          <w:rStyle w:val="13"/>
          <w:rFonts w:hint="eastAsia" w:ascii="仿宋" w:hAnsi="仿宋" w:eastAsia="仿宋" w:cs="仿宋"/>
          <w:b w:val="0"/>
          <w:bCs w:val="0"/>
          <w:color w:val="000000"/>
          <w:sz w:val="28"/>
          <w:szCs w:val="28"/>
          <w:lang w:val="zh-CN"/>
        </w:rPr>
      </w:pPr>
      <w:r>
        <w:rPr>
          <w:rStyle w:val="13"/>
          <w:rFonts w:hint="eastAsia" w:ascii="仿宋" w:hAnsi="仿宋" w:eastAsia="仿宋" w:cs="仿宋"/>
          <w:b w:val="0"/>
          <w:bCs w:val="0"/>
          <w:color w:val="000000"/>
          <w:sz w:val="28"/>
          <w:szCs w:val="28"/>
          <w:lang w:val="zh-CN"/>
        </w:rPr>
        <w:t xml:space="preserve">电  话：010-87697580      邮    箱：zqgphwz@126.com  </w:t>
      </w:r>
    </w:p>
    <w:p>
      <w:pPr>
        <w:keepNext w:val="0"/>
        <w:keepLines w:val="0"/>
        <w:pageBreakBefore w:val="0"/>
        <w:widowControl w:val="0"/>
        <w:kinsoku/>
        <w:wordWrap/>
        <w:overflowPunct/>
        <w:topLinePunct w:val="0"/>
        <w:bidi w:val="0"/>
        <w:snapToGrid/>
        <w:spacing w:line="440" w:lineRule="exact"/>
        <w:textAlignment w:val="auto"/>
        <w:rPr>
          <w:rFonts w:hint="eastAsia" w:ascii="仿宋" w:hAnsi="仿宋" w:eastAsia="仿宋" w:cs="仿宋"/>
          <w:b w:val="0"/>
          <w:bCs w:val="0"/>
          <w:i w:val="0"/>
          <w:caps w:val="0"/>
          <w:color w:val="000000" w:themeColor="text1"/>
          <w:spacing w:val="6"/>
          <w:sz w:val="28"/>
          <w:szCs w:val="28"/>
          <w:shd w:val="clear" w:fill="FFFFFF"/>
          <w:lang w:val="en-US" w:eastAsia="zh-CN"/>
          <w14:textFill>
            <w14:solidFill>
              <w14:schemeClr w14:val="tx1"/>
            </w14:solidFill>
          </w14:textFill>
        </w:rPr>
      </w:pPr>
      <w:r>
        <w:rPr>
          <w:rStyle w:val="13"/>
          <w:rFonts w:hint="eastAsia" w:ascii="仿宋" w:hAnsi="仿宋" w:eastAsia="仿宋" w:cs="仿宋"/>
          <w:b w:val="0"/>
          <w:bCs w:val="0"/>
          <w:color w:val="000000"/>
          <w:sz w:val="28"/>
          <w:szCs w:val="28"/>
          <w:lang w:val="zh-CN"/>
        </w:rPr>
        <w:t xml:space="preserve">qq咨询：3177524020        网址查询：http://www.zqgpchina.cn/ </w:t>
      </w:r>
    </w:p>
    <w:sectPr>
      <w:headerReference r:id="rId3" w:type="default"/>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auto"/>
    <w:pitch w:val="default"/>
    <w:sig w:usb0="00000000" w:usb1="00000000" w:usb2="00000016" w:usb3="00000000" w:csb0="00040001" w:csb1="00000000"/>
  </w:font>
  <w:font w:name="Cambria">
    <w:altName w:val="Palatino Linotype"/>
    <w:panose1 w:val="02040503050406030204"/>
    <w:charset w:val="00"/>
    <w:family w:val="roman"/>
    <w:pitch w:val="default"/>
    <w:sig w:usb0="00000000" w:usb1="00000000"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154CB5"/>
    <w:multiLevelType w:val="singleLevel"/>
    <w:tmpl w:val="C6154CB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kYTFkODdkZTRjNTI5MmQ5ZTc4N2MxOTFlY2Y5NTEifQ=="/>
  </w:docVars>
  <w:rsids>
    <w:rsidRoot w:val="00A25635"/>
    <w:rsid w:val="000A7D38"/>
    <w:rsid w:val="000D57E6"/>
    <w:rsid w:val="001B15FC"/>
    <w:rsid w:val="001E3A77"/>
    <w:rsid w:val="002276E2"/>
    <w:rsid w:val="00255A18"/>
    <w:rsid w:val="002966FD"/>
    <w:rsid w:val="002B680B"/>
    <w:rsid w:val="002F6C07"/>
    <w:rsid w:val="00332CFE"/>
    <w:rsid w:val="003D0167"/>
    <w:rsid w:val="004A7DA4"/>
    <w:rsid w:val="004C251D"/>
    <w:rsid w:val="004E73F7"/>
    <w:rsid w:val="00530EDC"/>
    <w:rsid w:val="005B340B"/>
    <w:rsid w:val="005C6B69"/>
    <w:rsid w:val="00613255"/>
    <w:rsid w:val="00616063"/>
    <w:rsid w:val="00886B47"/>
    <w:rsid w:val="008A4005"/>
    <w:rsid w:val="008E7BFF"/>
    <w:rsid w:val="00947B56"/>
    <w:rsid w:val="009A2626"/>
    <w:rsid w:val="009C19A5"/>
    <w:rsid w:val="009C42E1"/>
    <w:rsid w:val="009D5A17"/>
    <w:rsid w:val="00A25635"/>
    <w:rsid w:val="00A337C0"/>
    <w:rsid w:val="00A52172"/>
    <w:rsid w:val="00A75C48"/>
    <w:rsid w:val="00B242D4"/>
    <w:rsid w:val="00B8228E"/>
    <w:rsid w:val="00C96EFB"/>
    <w:rsid w:val="00CB1102"/>
    <w:rsid w:val="00E14DBD"/>
    <w:rsid w:val="00E46B61"/>
    <w:rsid w:val="00E92371"/>
    <w:rsid w:val="00EC2D01"/>
    <w:rsid w:val="00F45E68"/>
    <w:rsid w:val="00F81827"/>
    <w:rsid w:val="00FA6966"/>
    <w:rsid w:val="00FB5DD5"/>
    <w:rsid w:val="01207B0A"/>
    <w:rsid w:val="01DB09BD"/>
    <w:rsid w:val="02242CC1"/>
    <w:rsid w:val="024F35A7"/>
    <w:rsid w:val="02935B9B"/>
    <w:rsid w:val="03E5328D"/>
    <w:rsid w:val="07837BA3"/>
    <w:rsid w:val="082C401E"/>
    <w:rsid w:val="0A472228"/>
    <w:rsid w:val="0A747118"/>
    <w:rsid w:val="0B640F3B"/>
    <w:rsid w:val="0BC66B31"/>
    <w:rsid w:val="0CDF4D1D"/>
    <w:rsid w:val="0DA22DEF"/>
    <w:rsid w:val="0DAC211E"/>
    <w:rsid w:val="0F051A87"/>
    <w:rsid w:val="0F0767AD"/>
    <w:rsid w:val="0FDF5034"/>
    <w:rsid w:val="101D5AC9"/>
    <w:rsid w:val="10953405"/>
    <w:rsid w:val="10DD5A17"/>
    <w:rsid w:val="14D7277E"/>
    <w:rsid w:val="1566184E"/>
    <w:rsid w:val="16377978"/>
    <w:rsid w:val="176C3651"/>
    <w:rsid w:val="178126E0"/>
    <w:rsid w:val="1AFC4CEC"/>
    <w:rsid w:val="1C94621A"/>
    <w:rsid w:val="1CB326B0"/>
    <w:rsid w:val="1EA125EF"/>
    <w:rsid w:val="1FCF6E73"/>
    <w:rsid w:val="21E464DA"/>
    <w:rsid w:val="230479E7"/>
    <w:rsid w:val="247152B7"/>
    <w:rsid w:val="24946384"/>
    <w:rsid w:val="261E6602"/>
    <w:rsid w:val="268564DD"/>
    <w:rsid w:val="27B23302"/>
    <w:rsid w:val="292058C7"/>
    <w:rsid w:val="2A3F3F16"/>
    <w:rsid w:val="2E182EB0"/>
    <w:rsid w:val="2E422F06"/>
    <w:rsid w:val="2F050407"/>
    <w:rsid w:val="304F6244"/>
    <w:rsid w:val="307C4E19"/>
    <w:rsid w:val="314D7EA5"/>
    <w:rsid w:val="31D61468"/>
    <w:rsid w:val="32C06333"/>
    <w:rsid w:val="38E43555"/>
    <w:rsid w:val="38E946AA"/>
    <w:rsid w:val="391D18FB"/>
    <w:rsid w:val="398F05C3"/>
    <w:rsid w:val="3A476BE6"/>
    <w:rsid w:val="3A63223A"/>
    <w:rsid w:val="3B9420E7"/>
    <w:rsid w:val="3BC66F24"/>
    <w:rsid w:val="3D08605E"/>
    <w:rsid w:val="3DA42CBB"/>
    <w:rsid w:val="3F5B5A10"/>
    <w:rsid w:val="407D3798"/>
    <w:rsid w:val="41FD4D22"/>
    <w:rsid w:val="422F08F9"/>
    <w:rsid w:val="43C60023"/>
    <w:rsid w:val="445C6D08"/>
    <w:rsid w:val="44864EAC"/>
    <w:rsid w:val="46087271"/>
    <w:rsid w:val="4A766D65"/>
    <w:rsid w:val="4B801E85"/>
    <w:rsid w:val="4BF05034"/>
    <w:rsid w:val="4BF2454C"/>
    <w:rsid w:val="4CA677B2"/>
    <w:rsid w:val="4EAA07D5"/>
    <w:rsid w:val="536746F1"/>
    <w:rsid w:val="546221D3"/>
    <w:rsid w:val="55460C73"/>
    <w:rsid w:val="55AE2AAB"/>
    <w:rsid w:val="56160D60"/>
    <w:rsid w:val="562E2CD9"/>
    <w:rsid w:val="598E5189"/>
    <w:rsid w:val="59AF294E"/>
    <w:rsid w:val="59FD1B50"/>
    <w:rsid w:val="5AA47FBF"/>
    <w:rsid w:val="5AB83DED"/>
    <w:rsid w:val="5B634017"/>
    <w:rsid w:val="5BB46942"/>
    <w:rsid w:val="5D557E43"/>
    <w:rsid w:val="5DC90129"/>
    <w:rsid w:val="5EB04112"/>
    <w:rsid w:val="5EB153BA"/>
    <w:rsid w:val="5F202FD0"/>
    <w:rsid w:val="5FDC387C"/>
    <w:rsid w:val="600528D3"/>
    <w:rsid w:val="609157DC"/>
    <w:rsid w:val="60A1067D"/>
    <w:rsid w:val="60A54F8F"/>
    <w:rsid w:val="6159161F"/>
    <w:rsid w:val="6261699D"/>
    <w:rsid w:val="636F64C1"/>
    <w:rsid w:val="64A70E8F"/>
    <w:rsid w:val="677129F8"/>
    <w:rsid w:val="6946137B"/>
    <w:rsid w:val="69EA2F3F"/>
    <w:rsid w:val="6A1B5AF3"/>
    <w:rsid w:val="6A4F34D5"/>
    <w:rsid w:val="6AE852EF"/>
    <w:rsid w:val="6C4020AB"/>
    <w:rsid w:val="6C9765CA"/>
    <w:rsid w:val="6D390E89"/>
    <w:rsid w:val="6D4B2CD5"/>
    <w:rsid w:val="6E4C34DE"/>
    <w:rsid w:val="6F796E5D"/>
    <w:rsid w:val="70F54D8C"/>
    <w:rsid w:val="71220432"/>
    <w:rsid w:val="71601701"/>
    <w:rsid w:val="71BA57DB"/>
    <w:rsid w:val="729850DF"/>
    <w:rsid w:val="72F62719"/>
    <w:rsid w:val="73534FE7"/>
    <w:rsid w:val="74C5659E"/>
    <w:rsid w:val="753A2BCA"/>
    <w:rsid w:val="7BA67BFD"/>
    <w:rsid w:val="7C0D5378"/>
    <w:rsid w:val="7DA41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widowControl w:val="0"/>
      <w:tabs>
        <w:tab w:val="left" w:pos="-1440"/>
      </w:tabs>
      <w:spacing w:after="0" w:line="360" w:lineRule="auto"/>
      <w:ind w:left="176" w:leftChars="0" w:firstLine="420" w:firstLineChars="200"/>
    </w:pPr>
    <w:rPr>
      <w:rFonts w:ascii="仿宋" w:hAnsi="Times New Roman" w:eastAsia="仿宋" w:cs="Times New Roman"/>
      <w:kern w:val="2"/>
      <w:sz w:val="24"/>
      <w:szCs w:val="24"/>
      <w:shd w:val="clear" w:color="auto" w:fill="auto"/>
    </w:rPr>
  </w:style>
  <w:style w:type="paragraph" w:styleId="3">
    <w:name w:val="Body Text Indent"/>
    <w:basedOn w:val="1"/>
    <w:unhideWhenUsed/>
    <w:qFormat/>
    <w:uiPriority w:val="99"/>
    <w:pPr>
      <w:spacing w:after="120"/>
      <w:ind w:left="420" w:leftChars="200"/>
    </w:pPr>
  </w:style>
  <w:style w:type="paragraph" w:styleId="5">
    <w:name w:val="Body Text"/>
    <w:basedOn w:val="1"/>
    <w:qFormat/>
    <w:uiPriority w:val="1"/>
    <w:pPr>
      <w:ind w:left="1068"/>
    </w:pPr>
    <w:rPr>
      <w:sz w:val="32"/>
      <w:szCs w:val="32"/>
    </w:rPr>
  </w:style>
  <w:style w:type="paragraph" w:styleId="6">
    <w:name w:val="Balloon Text"/>
    <w:basedOn w:val="1"/>
    <w:link w:val="20"/>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0">
    <w:name w:val="Title"/>
    <w:basedOn w:val="1"/>
    <w:next w:val="1"/>
    <w:link w:val="18"/>
    <w:qFormat/>
    <w:uiPriority w:val="0"/>
    <w:pPr>
      <w:spacing w:before="240" w:after="60"/>
      <w:jc w:val="center"/>
      <w:outlineLvl w:val="0"/>
    </w:pPr>
    <w:rPr>
      <w:rFonts w:ascii="Cambria" w:hAnsi="Cambria" w:eastAsiaTheme="minorEastAsia"/>
      <w:b/>
      <w:bCs/>
      <w:sz w:val="32"/>
      <w:szCs w:val="32"/>
    </w:rPr>
  </w:style>
  <w:style w:type="character" w:styleId="13">
    <w:name w:val="Strong"/>
    <w:basedOn w:val="12"/>
    <w:qFormat/>
    <w:uiPriority w:val="22"/>
    <w:rPr>
      <w:b/>
    </w:rPr>
  </w:style>
  <w:style w:type="character" w:styleId="14">
    <w:name w:val="Emphasis"/>
    <w:basedOn w:val="12"/>
    <w:qFormat/>
    <w:uiPriority w:val="20"/>
    <w:rPr>
      <w:i/>
    </w:rPr>
  </w:style>
  <w:style w:type="character" w:styleId="15">
    <w:name w:val="Hyperlink"/>
    <w:basedOn w:val="12"/>
    <w:unhideWhenUsed/>
    <w:qFormat/>
    <w:uiPriority w:val="99"/>
    <w:rPr>
      <w:color w:val="0000FF" w:themeColor="hyperlink"/>
      <w:u w:val="single"/>
      <w14:textFill>
        <w14:solidFill>
          <w14:schemeClr w14:val="hlink"/>
        </w14:solidFill>
      </w14:textFill>
    </w:rPr>
  </w:style>
  <w:style w:type="character" w:customStyle="1" w:styleId="16">
    <w:name w:val="页眉 Char"/>
    <w:basedOn w:val="12"/>
    <w:link w:val="8"/>
    <w:qFormat/>
    <w:uiPriority w:val="99"/>
    <w:rPr>
      <w:sz w:val="18"/>
      <w:szCs w:val="18"/>
    </w:rPr>
  </w:style>
  <w:style w:type="character" w:customStyle="1" w:styleId="17">
    <w:name w:val="页脚 Char"/>
    <w:basedOn w:val="12"/>
    <w:link w:val="7"/>
    <w:qFormat/>
    <w:uiPriority w:val="99"/>
    <w:rPr>
      <w:sz w:val="18"/>
      <w:szCs w:val="18"/>
    </w:rPr>
  </w:style>
  <w:style w:type="character" w:customStyle="1" w:styleId="18">
    <w:name w:val="标题 Char"/>
    <w:link w:val="10"/>
    <w:qFormat/>
    <w:uiPriority w:val="0"/>
    <w:rPr>
      <w:rFonts w:ascii="Cambria" w:hAnsi="Cambria" w:cs="Times New Roman"/>
      <w:b/>
      <w:bCs/>
      <w:sz w:val="32"/>
      <w:szCs w:val="32"/>
    </w:rPr>
  </w:style>
  <w:style w:type="character" w:customStyle="1" w:styleId="19">
    <w:name w:val="标题 Char1"/>
    <w:basedOn w:val="12"/>
    <w:qFormat/>
    <w:uiPriority w:val="10"/>
    <w:rPr>
      <w:rFonts w:eastAsia="宋体" w:asciiTheme="majorHAnsi" w:hAnsiTheme="majorHAnsi" w:cstheme="majorBidi"/>
      <w:b/>
      <w:bCs/>
      <w:sz w:val="32"/>
      <w:szCs w:val="32"/>
    </w:rPr>
  </w:style>
  <w:style w:type="character" w:customStyle="1" w:styleId="20">
    <w:name w:val="批注框文本 Char"/>
    <w:basedOn w:val="12"/>
    <w:link w:val="6"/>
    <w:semiHidden/>
    <w:qFormat/>
    <w:uiPriority w:val="99"/>
    <w:rPr>
      <w:rFonts w:ascii="Times New Roman" w:hAnsi="Times New Roman" w:eastAsia="宋体" w:cs="Times New Roman"/>
      <w:sz w:val="18"/>
      <w:szCs w:val="18"/>
    </w:rPr>
  </w:style>
  <w:style w:type="paragraph" w:customStyle="1" w:styleId="21">
    <w:name w:val="Table Paragraph"/>
    <w:basedOn w:val="1"/>
    <w:qFormat/>
    <w:uiPriority w:val="1"/>
    <w:pPr>
      <w:autoSpaceDE w:val="0"/>
      <w:autoSpaceDN w:val="0"/>
      <w:jc w:val="left"/>
    </w:pPr>
    <w:rPr>
      <w:rFonts w:ascii="宋体" w:hAnsi="宋体" w:cs="宋体"/>
      <w:kern w:val="0"/>
      <w:sz w:val="22"/>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AC6B4-885D-40E8-9087-87A33BEF336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2929</Words>
  <Characters>3287</Characters>
  <Lines>31</Lines>
  <Paragraphs>8</Paragraphs>
  <TotalTime>2</TotalTime>
  <ScaleCrop>false</ScaleCrop>
  <LinksUpToDate>false</LinksUpToDate>
  <CharactersWithSpaces>3477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2020-05-07T03:00:00Z</dcterms:created>
  <dc:creator>微软用户</dc:creator>
  <cp:lastModifiedBy>聂红军</cp:lastModifiedBy>
  <dcterms:modified xsi:type="dcterms:W3CDTF">2022-06-05T10:44:58Z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A441D41BC6034880BFCF025C039558CB</vt:lpwstr>
  </property>
</Properties>
</file>