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-1043940</wp:posOffset>
            </wp:positionH>
            <wp:positionV relativeFrom="paragraph">
              <wp:posOffset>-914400</wp:posOffset>
            </wp:positionV>
            <wp:extent cx="7595870" cy="10753090"/>
            <wp:effectExtent l="0" t="0" r="24130" b="0"/>
            <wp:wrapThrough wrapText="bothSides">
              <wp:wrapPolygon>
                <wp:start x="0" y="0"/>
                <wp:lineTo x="0" y="21531"/>
                <wp:lineTo x="21524" y="21531"/>
                <wp:lineTo x="21524" y="0"/>
                <wp:lineTo x="0" y="0"/>
              </wp:wrapPolygon>
            </wp:wrapThrough>
            <wp:docPr id="1" name="图片 1" descr="附件4.国企改革三年行动 攻坚国企改革重点难点热点专题班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4.国企改革三年行动 攻坚国企改革重点难点热点专题班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5870" cy="1075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b/>
          <w:bCs/>
          <w:color w:val="FF0000"/>
          <w:sz w:val="28"/>
          <w:szCs w:val="28"/>
        </w:rPr>
      </w:pPr>
      <w:r>
        <w:rPr>
          <w:rFonts w:hint="default"/>
          <w:b/>
          <w:bCs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-955675</wp:posOffset>
            </wp:positionV>
            <wp:extent cx="7646035" cy="10777855"/>
            <wp:effectExtent l="0" t="0" r="24765" b="17145"/>
            <wp:wrapNone/>
            <wp:docPr id="2" name="图片 2" descr="附件4.国企改革三年行动 攻坚国企改革重点难点热点专题班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4.国企改革三年行动 攻坚国企改革重点难点热点专题班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6035" cy="1077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firstLine="562"/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ind w:firstLine="562"/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ind w:firstLine="562"/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ind w:firstLine="562"/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ind w:firstLine="562"/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ind w:firstLine="562"/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ind w:firstLine="562"/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ind w:firstLine="562"/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ind w:firstLine="562"/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ind w:firstLine="562"/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ind w:firstLine="562"/>
        <w:rPr>
          <w:rFonts w:hint="default"/>
          <w:b/>
          <w:bCs/>
          <w:color w:val="FF0000"/>
          <w:sz w:val="28"/>
          <w:szCs w:val="28"/>
        </w:rPr>
      </w:pPr>
    </w:p>
    <w:p>
      <w:pPr>
        <w:autoSpaceDE/>
        <w:autoSpaceDN/>
        <w:snapToGrid w:val="0"/>
        <w:spacing w:line="600" w:lineRule="exact"/>
        <w:rPr>
          <w:rFonts w:hint="default" w:ascii="黑体" w:hAnsi="黑体" w:eastAsia="黑体" w:cs="黑体"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hint="default" w:ascii="黑体" w:hAnsi="黑体" w:eastAsia="黑体" w:cs="黑体"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hint="default" w:ascii="黑体" w:hAnsi="黑体" w:eastAsia="黑体" w:cs="黑体"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hint="default" w:cs="宋体"/>
          <w:b/>
          <w:bCs/>
        </w:rPr>
      </w:pPr>
      <w:r>
        <w:rPr>
          <w:rFonts w:cs="宋体"/>
          <w:b/>
          <w:bCs/>
          <w:kern w:val="2"/>
          <w:sz w:val="30"/>
          <w:szCs w:val="30"/>
        </w:rPr>
        <w:t>附件1</w:t>
      </w:r>
    </w:p>
    <w:p>
      <w:pPr>
        <w:autoSpaceDE/>
        <w:autoSpaceDN/>
        <w:snapToGrid w:val="0"/>
        <w:spacing w:line="600" w:lineRule="exact"/>
        <w:jc w:val="center"/>
        <w:rPr>
          <w:rFonts w:hint="default" w:cs="宋体"/>
          <w:b/>
          <w:kern w:val="2"/>
          <w:sz w:val="40"/>
          <w:szCs w:val="40"/>
        </w:rPr>
      </w:pPr>
      <w:r>
        <w:rPr>
          <w:rFonts w:cs="宋体"/>
          <w:b/>
          <w:kern w:val="2"/>
          <w:sz w:val="44"/>
          <w:szCs w:val="44"/>
        </w:rPr>
        <w:t>招生简章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default" w:cs="宋体"/>
          <w:sz w:val="30"/>
          <w:szCs w:val="30"/>
        </w:rPr>
      </w:pPr>
      <w:bookmarkStart w:id="0" w:name="_GoBack"/>
      <w:bookmarkEnd w:id="0"/>
      <w:r>
        <w:rPr>
          <w:rFonts w:cs="宋体"/>
          <w:sz w:val="30"/>
          <w:szCs w:val="30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主办单位：职业经理研究中心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承办单位：北京中建科信管理咨询集团有限公司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default" w:cs="宋体"/>
          <w:sz w:val="30"/>
          <w:szCs w:val="30"/>
        </w:rPr>
      </w:pPr>
      <w:r>
        <w:rPr>
          <w:rFonts w:cs="宋体"/>
          <w:sz w:val="30"/>
          <w:szCs w:val="30"/>
        </w:rPr>
        <w:t>二、培训提纲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1.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混合所有制改革政策解读与操作实务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2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国有企业人力资源管理的转型升级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3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国有企业薪酬与绩效管理实务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4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国有企业经理层成员任期制与契约化管理、职业经理人制度制定与实务操作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5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加强党的领导与国有企业法人治理体系的完善与升级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6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国有企业合规经营、内部控制与风险管理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default" w:cs="宋体"/>
          <w:sz w:val="30"/>
          <w:szCs w:val="30"/>
        </w:rPr>
      </w:pPr>
      <w:r>
        <w:rPr>
          <w:rFonts w:cs="宋体"/>
          <w:sz w:val="30"/>
          <w:szCs w:val="30"/>
        </w:rPr>
        <w:t>三、培训对象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各级政府国有资产监督管理部门相关负责人，央企、各级国企的高层管理人员及人力资源、战略、规划、财务及市场等部门负责人和骨干人员。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default" w:cs="宋体"/>
          <w:sz w:val="30"/>
          <w:szCs w:val="30"/>
        </w:rPr>
      </w:pPr>
      <w:r>
        <w:rPr>
          <w:rFonts w:cs="宋体"/>
          <w:sz w:val="30"/>
          <w:szCs w:val="30"/>
        </w:rPr>
        <w:t>四、授课专家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拟邀请国务院国资委所属有关单位、中国人事科学研究院、中国财政科学研究院等单位专家，以及现代企业管理领域实战专家授课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 xml:space="preserve">, </w:t>
      </w:r>
      <w:r>
        <w:rPr>
          <w:rFonts w:ascii="Times New Roman" w:hAnsi="Times New Roman" w:eastAsia="仿宋_GB2312"/>
          <w:spacing w:val="8"/>
          <w:sz w:val="30"/>
          <w:szCs w:val="30"/>
        </w:rPr>
        <w:t>并组织交流与研讨。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default" w:cs="宋体"/>
          <w:sz w:val="30"/>
          <w:szCs w:val="30"/>
        </w:rPr>
      </w:pPr>
      <w:r>
        <w:rPr>
          <w:rFonts w:cs="宋体"/>
          <w:sz w:val="30"/>
          <w:szCs w:val="30"/>
        </w:rPr>
        <w:t>五、时间地点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2022年07月08日—07月11日  成都市（08日全天报到）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2022年07月22日—07月25日  青岛市（22日全天报到）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2022年08月12日—08月15日  贵阳市（12日全天报到）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2022年08月26日—08月29日  郑州市（26日全天报到）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default" w:cs="宋体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2022年09月16日—09月19日  西安市（16日全天报到）</w:t>
      </w:r>
      <w:r>
        <w:rPr>
          <w:rFonts w:cs="宋体"/>
          <w:sz w:val="30"/>
          <w:szCs w:val="30"/>
        </w:rPr>
        <w:t>六、证书申报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500" w:lineRule="exact"/>
        <w:ind w:firstLine="632" w:firstLineChars="200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学员参加全部课程，经学习考试合格，由职业经理研究中心颁发《企业改革与管理创新培训班（专题班）——2022决战决胜国企改革三年行动 攻坚国企改革重点难点热点高级研修班结业证书》。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default" w:cs="宋体"/>
          <w:sz w:val="30"/>
          <w:szCs w:val="30"/>
        </w:rPr>
      </w:pPr>
      <w:r>
        <w:rPr>
          <w:rFonts w:cs="宋体"/>
          <w:sz w:val="30"/>
          <w:szCs w:val="30"/>
        </w:rPr>
        <w:t>七、培训费用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A.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3600</w:t>
      </w:r>
      <w:r>
        <w:rPr>
          <w:rFonts w:ascii="Times New Roman" w:hAnsi="Times New Roman" w:eastAsia="仿宋_GB2312"/>
          <w:spacing w:val="8"/>
          <w:sz w:val="30"/>
          <w:szCs w:val="30"/>
        </w:rPr>
        <w:t>元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/</w:t>
      </w:r>
      <w:r>
        <w:rPr>
          <w:rFonts w:ascii="Times New Roman" w:hAnsi="Times New Roman" w:eastAsia="仿宋_GB2312"/>
          <w:spacing w:val="8"/>
          <w:sz w:val="30"/>
          <w:szCs w:val="30"/>
        </w:rPr>
        <w:t>人（含培训、资料、电子课件、场地及培训期间午餐），住宿统一安排，费用自理。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B.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5600</w:t>
      </w:r>
      <w:r>
        <w:rPr>
          <w:rFonts w:ascii="Times New Roman" w:hAnsi="Times New Roman" w:eastAsia="仿宋_GB2312"/>
          <w:spacing w:val="8"/>
          <w:sz w:val="30"/>
          <w:szCs w:val="30"/>
        </w:rPr>
        <w:t>元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/</w:t>
      </w:r>
      <w:r>
        <w:rPr>
          <w:rFonts w:ascii="Times New Roman" w:hAnsi="Times New Roman" w:eastAsia="仿宋_GB2312"/>
          <w:spacing w:val="8"/>
          <w:sz w:val="30"/>
          <w:szCs w:val="30"/>
        </w:rPr>
        <w:t>人（含培训、资料、电子课件、场地、证书申报及培训期间午餐），住宿统一安排，费用自理。申报证书需提供二寸白底免冠彩色照片（电子版）、身份证（复印件）、学历证书（复印件）各一份。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4" w:firstLineChars="200"/>
        <w:jc w:val="both"/>
        <w:textAlignment w:val="auto"/>
        <w:rPr>
          <w:rFonts w:hint="default" w:ascii="Times New Roman" w:hAnsi="Times New Roman" w:eastAsia="仿宋_GB2312"/>
          <w:b/>
          <w:spacing w:val="8"/>
          <w:sz w:val="30"/>
          <w:szCs w:val="30"/>
        </w:rPr>
      </w:pPr>
      <w:r>
        <w:rPr>
          <w:rFonts w:ascii="Times New Roman" w:hAnsi="Times New Roman" w:eastAsia="仿宋_GB2312"/>
          <w:b/>
          <w:spacing w:val="8"/>
          <w:sz w:val="30"/>
          <w:szCs w:val="30"/>
        </w:rPr>
        <w:t>课程权益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1.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本培训班常年举办，参加一次全年免费复训，复训只交资料费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300</w:t>
      </w:r>
      <w:r>
        <w:rPr>
          <w:rFonts w:ascii="Times New Roman" w:hAnsi="Times New Roman" w:eastAsia="仿宋_GB2312"/>
          <w:spacing w:val="8"/>
          <w:sz w:val="30"/>
          <w:szCs w:val="30"/>
        </w:rPr>
        <w:t>元即可，并赠送同主题网络课程一期；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2.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推送政策新闻及专家解读相关资讯信息；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3.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享有最新优质项目推送权益；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4.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在中建科信集团公众号免费发布企业信息；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5.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参加中建科信集团举办的大型论坛，会务费九折优惠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6.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企业内部培训、咨询服务九折优惠。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黑体" w:hAnsi="黑体" w:eastAsia="黑体" w:cs="仿宋_GB2312"/>
          <w:sz w:val="30"/>
          <w:szCs w:val="30"/>
        </w:rPr>
      </w:pPr>
      <w:r>
        <w:rPr>
          <w:rFonts w:ascii="黑体" w:hAnsi="黑体" w:eastAsia="黑体" w:cs="仿宋_GB2312"/>
          <w:sz w:val="30"/>
          <w:szCs w:val="30"/>
        </w:rPr>
        <w:t>八、联系方式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 xml:space="preserve">报名负责人：聂红军 主任18211071700（微信）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 xml:space="preserve">电  话：010-87697580      邮    箱：zqgphwz@126.com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>qq咨询：3177524020   网址查询：http://www.zqgpchina.cn/</w:t>
      </w:r>
    </w:p>
    <w:p>
      <w:pPr>
        <w:pStyle w:val="2"/>
        <w:snapToGrid w:val="0"/>
        <w:spacing w:line="600" w:lineRule="exact"/>
        <w:ind w:left="0" w:firstLine="0" w:firstLineChars="0"/>
        <w:rPr>
          <w:rFonts w:hint="default" w:hAnsi="仿宋" w:cs="仿宋"/>
          <w:bCs/>
          <w:sz w:val="28"/>
          <w:szCs w:val="28"/>
        </w:rPr>
      </w:pPr>
    </w:p>
    <w:p>
      <w:pPr>
        <w:autoSpaceDE/>
        <w:autoSpaceDN/>
        <w:snapToGrid w:val="0"/>
        <w:spacing w:line="600" w:lineRule="exact"/>
        <w:ind w:firstLine="600"/>
        <w:rPr>
          <w:rFonts w:hint="default" w:ascii="黑体" w:hAnsi="黑体" w:eastAsia="黑体" w:cs="黑体"/>
          <w:kern w:val="2"/>
          <w:sz w:val="30"/>
          <w:szCs w:val="30"/>
        </w:rPr>
        <w:sectPr>
          <w:pgSz w:w="11906" w:h="16838"/>
          <w:pgMar w:top="1440" w:right="1588" w:bottom="1440" w:left="1588" w:header="851" w:footer="992" w:gutter="0"/>
          <w:cols w:space="720" w:num="1"/>
          <w:docGrid w:type="lines" w:linePitch="326" w:charSpace="0"/>
        </w:sectPr>
      </w:pPr>
    </w:p>
    <w:p>
      <w:pPr>
        <w:autoSpaceDE/>
        <w:autoSpaceDN/>
        <w:snapToGrid w:val="0"/>
        <w:spacing w:line="600" w:lineRule="exact"/>
        <w:rPr>
          <w:rFonts w:hint="default" w:cs="宋体"/>
          <w:b/>
          <w:bCs/>
          <w:kern w:val="2"/>
          <w:sz w:val="30"/>
          <w:szCs w:val="30"/>
        </w:rPr>
      </w:pPr>
      <w:r>
        <w:rPr>
          <w:rFonts w:cs="宋体"/>
          <w:b/>
          <w:bCs/>
          <w:kern w:val="2"/>
          <w:sz w:val="30"/>
          <w:szCs w:val="30"/>
        </w:rPr>
        <w:t>附件2</w:t>
      </w:r>
    </w:p>
    <w:p>
      <w:pPr>
        <w:autoSpaceDE/>
        <w:autoSpaceDN/>
        <w:snapToGrid w:val="0"/>
        <w:spacing w:line="600" w:lineRule="exact"/>
        <w:jc w:val="center"/>
        <w:rPr>
          <w:rFonts w:hint="default" w:cs="宋体"/>
          <w:b/>
          <w:kern w:val="2"/>
          <w:sz w:val="44"/>
          <w:szCs w:val="44"/>
        </w:rPr>
      </w:pPr>
      <w:r>
        <w:rPr>
          <w:rFonts w:cs="宋体"/>
          <w:b/>
          <w:kern w:val="2"/>
          <w:sz w:val="44"/>
          <w:szCs w:val="44"/>
        </w:rPr>
        <w:t>培训内容</w:t>
      </w:r>
    </w:p>
    <w:p>
      <w:pPr>
        <w:pStyle w:val="2"/>
        <w:ind w:firstLine="480"/>
        <w:rPr>
          <w:rFonts w:hint="default" w:ascii="Times New Roman"/>
        </w:rPr>
      </w:pPr>
    </w:p>
    <w:p>
      <w:pPr>
        <w:autoSpaceDE/>
        <w:autoSpaceDN/>
        <w:snapToGrid w:val="0"/>
        <w:spacing w:line="600" w:lineRule="exact"/>
        <w:ind w:firstLine="645"/>
        <w:rPr>
          <w:rFonts w:hint="default"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一、混合所有制改革政策解读与操作实务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1.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混合所有制改革的主要模式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2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混合所有制改革的的原则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3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混合所有制改革的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一般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步骤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4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推行混合所有制改革的重点及难点问题解析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5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混合所有制改革成功案例解析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6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混合所有制改革实施过程中的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国资监管与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风险防范</w:t>
      </w:r>
    </w:p>
    <w:p>
      <w:pPr>
        <w:autoSpaceDE/>
        <w:autoSpaceDN/>
        <w:snapToGrid w:val="0"/>
        <w:spacing w:line="600" w:lineRule="exact"/>
        <w:ind w:firstLine="645"/>
        <w:rPr>
          <w:rFonts w:hint="default"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二、国有企业人力资源管理的转型升级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1.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现代人力资源管理的发展趋势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2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传统的人力资源管理模式特点及问题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3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人力资源管理的四大机制解析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4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组织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结构与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岗位体系设计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5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岗位价值评估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办法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6. 人才盘点、培养、储备及内部流动管理</w:t>
      </w:r>
    </w:p>
    <w:p>
      <w:pPr>
        <w:autoSpaceDE/>
        <w:autoSpaceDN/>
        <w:snapToGrid w:val="0"/>
        <w:spacing w:line="600" w:lineRule="exact"/>
        <w:ind w:firstLine="645"/>
        <w:rPr>
          <w:rFonts w:hint="default"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三、国有企业薪酬与绩效管理实务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1.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国有企业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三项制度改革与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建立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市场化经营机制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2.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工资总额管理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办法解读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3.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国有企业薪酬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管理体系设计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4.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国有企业绩效管理体系设计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5.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考核指标的科学选择与权重设计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6.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绩效考核流程管理</w:t>
      </w:r>
    </w:p>
    <w:p>
      <w:pPr>
        <w:widowControl/>
        <w:autoSpaceDE/>
        <w:autoSpaceDN/>
        <w:snapToGrid w:val="0"/>
        <w:spacing w:line="600" w:lineRule="exact"/>
        <w:ind w:firstLine="602" w:firstLineChars="200"/>
        <w:rPr>
          <w:rFonts w:hint="default"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四、国有企业经理层成员任期制与契约化管理、职业经理人制度制定与实务操作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1.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国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有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企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业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市场化经营机制改革与人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力资源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管理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2.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经理层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成员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任期制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与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契约化管理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解析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3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经理层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成员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任期制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与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契约化管理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操作实务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4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职业经理人制度的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设计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要点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5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职业经理人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聘任、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管理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与退出操作实务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6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中长期激励的主要模式介绍</w:t>
      </w:r>
    </w:p>
    <w:p>
      <w:pPr>
        <w:autoSpaceDE/>
        <w:autoSpaceDN/>
        <w:snapToGrid w:val="0"/>
        <w:spacing w:line="600" w:lineRule="exact"/>
        <w:ind w:firstLine="645"/>
        <w:rPr>
          <w:rFonts w:hint="default" w:ascii="Times New Roman" w:hAnsi="Times New Roman" w:eastAsia="黑体"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五、</w:t>
      </w:r>
      <w:r>
        <w:rPr>
          <w:rFonts w:cs="宋体"/>
          <w:b/>
          <w:bCs/>
          <w:spacing w:val="8"/>
          <w:sz w:val="30"/>
          <w:szCs w:val="30"/>
        </w:rPr>
        <w:t>加强党的领导与国有企业法人治理体系的完善与升级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1.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中国特色的国有企业法人治理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体系设计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2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党组织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在国有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企业治理中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“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把方向、管大局、保落实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”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作用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3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董事会的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建立与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有效运行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4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外部董事的选聘及管理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5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国资监管与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分级授权</w:t>
      </w:r>
    </w:p>
    <w:p>
      <w:pPr>
        <w:autoSpaceDE/>
        <w:autoSpaceDN/>
        <w:snapToGrid w:val="0"/>
        <w:spacing w:line="600" w:lineRule="exact"/>
        <w:ind w:firstLine="645"/>
        <w:rPr>
          <w:rFonts w:hint="default"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六、国有企业合规经营、内部控制与风险管理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1.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国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有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企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业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合规经营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相关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政策法规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解析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2.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国有企业投资、经营风险识别与评估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3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重要流程、环节与领域的风险管理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4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企业内控体系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 xml:space="preserve">建设 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5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法律视角下国有企业风险管理与风控体系建设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</w:p>
    <w:p>
      <w:pPr>
        <w:autoSpaceDE/>
        <w:autoSpaceDN/>
        <w:adjustRightInd/>
        <w:spacing w:line="280" w:lineRule="exact"/>
        <w:jc w:val="both"/>
        <w:rPr>
          <w:rFonts w:hint="default" w:ascii="Times New Roman" w:hAnsi="黑体" w:eastAsia="黑体"/>
          <w:kern w:val="2"/>
          <w:sz w:val="30"/>
          <w:szCs w:val="30"/>
        </w:rPr>
        <w:sectPr>
          <w:pgSz w:w="11906" w:h="16838"/>
          <w:pgMar w:top="1440" w:right="1588" w:bottom="1440" w:left="1588" w:header="851" w:footer="992" w:gutter="0"/>
          <w:cols w:space="720" w:num="1"/>
          <w:docGrid w:type="lines" w:linePitch="326" w:charSpace="0"/>
        </w:sectPr>
      </w:pPr>
    </w:p>
    <w:p>
      <w:pPr>
        <w:autoSpaceDE/>
        <w:autoSpaceDN/>
        <w:snapToGrid w:val="0"/>
        <w:spacing w:line="600" w:lineRule="exact"/>
        <w:jc w:val="both"/>
        <w:rPr>
          <w:rFonts w:hint="default" w:cs="宋体"/>
          <w:b/>
          <w:bCs/>
          <w:kern w:val="2"/>
          <w:sz w:val="30"/>
          <w:szCs w:val="30"/>
        </w:rPr>
      </w:pPr>
      <w:r>
        <w:rPr>
          <w:rFonts w:cs="宋体"/>
          <w:b/>
          <w:bCs/>
          <w:kern w:val="2"/>
          <w:sz w:val="30"/>
          <w:szCs w:val="30"/>
        </w:rPr>
        <w:t>附件3</w:t>
      </w:r>
    </w:p>
    <w:p>
      <w:pPr>
        <w:autoSpaceDE/>
        <w:autoSpaceDN/>
        <w:snapToGrid w:val="0"/>
        <w:spacing w:line="560" w:lineRule="exact"/>
        <w:ind w:firstLine="601"/>
        <w:jc w:val="center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企业改革与管理创新培训班（专题班）——2022决战决胜国企改革三年行动 攻坚国企改革重点难点热点高级研修班报名回执表</w:t>
      </w:r>
    </w:p>
    <w:tbl>
      <w:tblPr>
        <w:tblStyle w:val="7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960" w:firstLineChars="400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单住□               合住□             自理□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企业改革与管理创新培训班（专题班）——2022决战决胜国企改革三年行动 攻坚国企改革重点难点热点高级研修班结业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证书</w:t>
            </w: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960" w:firstLineChars="400"/>
              <w:jc w:val="both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转 账</w:t>
            </w: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现场</w:t>
            </w: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</w:tcPr>
          <w:p>
            <w:pPr>
              <w:widowControl/>
              <w:autoSpaceDE/>
              <w:autoSpaceDN/>
              <w:jc w:val="both"/>
              <w:rPr>
                <w:rStyle w:val="9"/>
                <w:rFonts w:hint="default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</w:pPr>
            <w:r>
              <w:rPr>
                <w:rStyle w:val="9"/>
                <w:rFonts w:ascii="仿宋" w:hAnsi="仿宋" w:eastAsia="仿宋" w:cs="仿宋"/>
                <w:b w:val="0"/>
                <w:bCs w:val="0"/>
                <w:color w:val="000000"/>
                <w:szCs w:val="24"/>
              </w:rPr>
              <w:t>开户</w:t>
            </w:r>
            <w:r>
              <w:rPr>
                <w:rStyle w:val="9"/>
                <w:rFonts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 xml:space="preserve">名称： 北京中建科信管理咨询集团有限公司 </w:t>
            </w:r>
          </w:p>
          <w:p>
            <w:pPr>
              <w:widowControl/>
              <w:autoSpaceDE/>
              <w:autoSpaceDN/>
              <w:jc w:val="both"/>
              <w:rPr>
                <w:rStyle w:val="9"/>
                <w:rFonts w:hint="default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</w:pPr>
            <w:r>
              <w:rPr>
                <w:rStyle w:val="9"/>
                <w:rFonts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 xml:space="preserve">开 户 行： 中国工商银行股份有限公司北京半壁店支行 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>账    号： 0200247009200068235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480" w:firstLineChars="200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以上课程内容均可赴企业内部培训，依据企业需求，量身定制课程。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480" w:firstLineChars="200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单位印章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240" w:firstLineChars="100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2022年  月  日</w:t>
            </w:r>
          </w:p>
        </w:tc>
      </w:tr>
    </w:tbl>
    <w:p>
      <w:pPr>
        <w:autoSpaceDE/>
        <w:autoSpaceDN/>
        <w:snapToGrid w:val="0"/>
        <w:spacing w:line="300" w:lineRule="exact"/>
        <w:ind w:firstLine="560" w:firstLineChars="200"/>
        <w:jc w:val="both"/>
        <w:rPr>
          <w:rFonts w:hint="default" w:ascii="Times New Roman" w:hAnsi="Times New Roman" w:eastAsia="仿宋_GB2312"/>
          <w:bCs/>
          <w:kern w:val="2"/>
          <w:sz w:val="28"/>
          <w:szCs w:val="28"/>
        </w:rPr>
      </w:pPr>
      <w:r>
        <w:rPr>
          <w:rFonts w:hint="default" w:ascii="Times New Roman" w:hAnsi="Times New Roman" w:eastAsia="仿宋_GB2312"/>
          <w:bCs/>
          <w:kern w:val="2"/>
          <w:sz w:val="28"/>
          <w:szCs w:val="28"/>
        </w:rPr>
        <w:t xml:space="preserve">报名负责人：聂红军 主任18211071700（微信）   </w:t>
      </w:r>
    </w:p>
    <w:p>
      <w:pPr>
        <w:autoSpaceDE/>
        <w:autoSpaceDN/>
        <w:snapToGrid w:val="0"/>
        <w:spacing w:line="300" w:lineRule="exact"/>
        <w:ind w:firstLine="560" w:firstLineChars="200"/>
        <w:jc w:val="both"/>
        <w:rPr>
          <w:rFonts w:hint="default" w:ascii="Times New Roman" w:hAnsi="Times New Roman" w:eastAsia="仿宋_GB2312"/>
          <w:bCs/>
          <w:kern w:val="2"/>
          <w:sz w:val="28"/>
          <w:szCs w:val="28"/>
        </w:rPr>
      </w:pPr>
      <w:r>
        <w:rPr>
          <w:rFonts w:hint="default" w:ascii="Times New Roman" w:hAnsi="Times New Roman" w:eastAsia="仿宋_GB2312"/>
          <w:bCs/>
          <w:kern w:val="2"/>
          <w:sz w:val="28"/>
          <w:szCs w:val="28"/>
        </w:rPr>
        <w:t xml:space="preserve">电  话：010-87697580      邮    箱：zqgphwz@126.com  </w:t>
      </w:r>
    </w:p>
    <w:p>
      <w:pPr>
        <w:autoSpaceDE/>
        <w:autoSpaceDN/>
        <w:snapToGrid w:val="0"/>
        <w:spacing w:line="300" w:lineRule="exact"/>
        <w:ind w:firstLine="560" w:firstLineChars="200"/>
        <w:jc w:val="both"/>
        <w:rPr>
          <w:rFonts w:hint="default" w:ascii="Times New Roman" w:hAnsi="Times New Roman" w:eastAsia="仿宋_GB2312"/>
          <w:b/>
          <w:bCs/>
          <w:color w:val="FF0000"/>
          <w:kern w:val="2"/>
          <w:sz w:val="28"/>
          <w:szCs w:val="28"/>
        </w:rPr>
      </w:pPr>
      <w:r>
        <w:rPr>
          <w:rFonts w:hint="default" w:ascii="Times New Roman" w:hAnsi="Times New Roman" w:eastAsia="仿宋_GB2312"/>
          <w:bCs/>
          <w:kern w:val="2"/>
          <w:sz w:val="28"/>
          <w:szCs w:val="28"/>
        </w:rPr>
        <w:t>qq咨询：3177524020        网址查询：http://www.zqgpchina.cn/</w:t>
      </w:r>
    </w:p>
    <w:sectPr>
      <w:pgSz w:w="11906" w:h="16838"/>
      <w:pgMar w:top="1440" w:right="1440" w:bottom="144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MTE5NmE4NDhiY2IzM2YxMGYwMzAyMjFlMDg3OGYifQ=="/>
  </w:docVars>
  <w:rsids>
    <w:rsidRoot w:val="00D12F3B"/>
    <w:rsid w:val="00405B66"/>
    <w:rsid w:val="006C748F"/>
    <w:rsid w:val="0078143C"/>
    <w:rsid w:val="008A7BE1"/>
    <w:rsid w:val="00AB3574"/>
    <w:rsid w:val="00BD01A0"/>
    <w:rsid w:val="00C823C4"/>
    <w:rsid w:val="00CF5500"/>
    <w:rsid w:val="00D12F3B"/>
    <w:rsid w:val="00E0770D"/>
    <w:rsid w:val="01981D96"/>
    <w:rsid w:val="020411DA"/>
    <w:rsid w:val="027D71DE"/>
    <w:rsid w:val="028D7421"/>
    <w:rsid w:val="02F254D6"/>
    <w:rsid w:val="039B791C"/>
    <w:rsid w:val="044328A5"/>
    <w:rsid w:val="04BC43B7"/>
    <w:rsid w:val="04F35535"/>
    <w:rsid w:val="05137986"/>
    <w:rsid w:val="05ED6429"/>
    <w:rsid w:val="061340E1"/>
    <w:rsid w:val="06905732"/>
    <w:rsid w:val="07140111"/>
    <w:rsid w:val="072A2F74"/>
    <w:rsid w:val="075C5614"/>
    <w:rsid w:val="07966D78"/>
    <w:rsid w:val="0797664C"/>
    <w:rsid w:val="07CB4548"/>
    <w:rsid w:val="08235321"/>
    <w:rsid w:val="09B96D4E"/>
    <w:rsid w:val="0A116B8A"/>
    <w:rsid w:val="0A1246B0"/>
    <w:rsid w:val="0AC57974"/>
    <w:rsid w:val="0ACF3CFA"/>
    <w:rsid w:val="0AD03DF3"/>
    <w:rsid w:val="0B1A381C"/>
    <w:rsid w:val="0BF3522A"/>
    <w:rsid w:val="0CB47CA0"/>
    <w:rsid w:val="0DA47D15"/>
    <w:rsid w:val="0DB066B9"/>
    <w:rsid w:val="0E96164A"/>
    <w:rsid w:val="0EC30E30"/>
    <w:rsid w:val="0F3A448D"/>
    <w:rsid w:val="100D394F"/>
    <w:rsid w:val="10525806"/>
    <w:rsid w:val="10C81135"/>
    <w:rsid w:val="110E5BD1"/>
    <w:rsid w:val="113B44EC"/>
    <w:rsid w:val="11F34DC7"/>
    <w:rsid w:val="1279351E"/>
    <w:rsid w:val="127A7296"/>
    <w:rsid w:val="1292638E"/>
    <w:rsid w:val="13174AE5"/>
    <w:rsid w:val="13427DB4"/>
    <w:rsid w:val="13845F7C"/>
    <w:rsid w:val="14216A16"/>
    <w:rsid w:val="142474B9"/>
    <w:rsid w:val="145F4995"/>
    <w:rsid w:val="149C7998"/>
    <w:rsid w:val="14D42C8D"/>
    <w:rsid w:val="155B515D"/>
    <w:rsid w:val="15632263"/>
    <w:rsid w:val="15A85EC8"/>
    <w:rsid w:val="1638549E"/>
    <w:rsid w:val="16EF3DAF"/>
    <w:rsid w:val="186500A0"/>
    <w:rsid w:val="19B337B9"/>
    <w:rsid w:val="19BC1F42"/>
    <w:rsid w:val="1A766595"/>
    <w:rsid w:val="1A9A671B"/>
    <w:rsid w:val="1B486183"/>
    <w:rsid w:val="1BA333BA"/>
    <w:rsid w:val="1C6B715A"/>
    <w:rsid w:val="1CE04199"/>
    <w:rsid w:val="1D097B94"/>
    <w:rsid w:val="1D392227"/>
    <w:rsid w:val="1DC1221D"/>
    <w:rsid w:val="1E036392"/>
    <w:rsid w:val="1E28404A"/>
    <w:rsid w:val="1E2A6014"/>
    <w:rsid w:val="1E9F255E"/>
    <w:rsid w:val="1EB57B66"/>
    <w:rsid w:val="1EBA7398"/>
    <w:rsid w:val="1F0B3750"/>
    <w:rsid w:val="1F1A7E37"/>
    <w:rsid w:val="1F1B770B"/>
    <w:rsid w:val="1F1D3483"/>
    <w:rsid w:val="1F680BA2"/>
    <w:rsid w:val="1FF16DE9"/>
    <w:rsid w:val="205E14CF"/>
    <w:rsid w:val="21C937E8"/>
    <w:rsid w:val="21D267A7"/>
    <w:rsid w:val="222039B6"/>
    <w:rsid w:val="22DE117B"/>
    <w:rsid w:val="23A979DB"/>
    <w:rsid w:val="23AD74CB"/>
    <w:rsid w:val="241A2687"/>
    <w:rsid w:val="2449338A"/>
    <w:rsid w:val="247935BB"/>
    <w:rsid w:val="24DD793C"/>
    <w:rsid w:val="24DF13E2"/>
    <w:rsid w:val="24F20F0E"/>
    <w:rsid w:val="252E1F46"/>
    <w:rsid w:val="25506360"/>
    <w:rsid w:val="25A77F4A"/>
    <w:rsid w:val="25DF5936"/>
    <w:rsid w:val="26B17FE3"/>
    <w:rsid w:val="2749750B"/>
    <w:rsid w:val="27544383"/>
    <w:rsid w:val="279751F2"/>
    <w:rsid w:val="28101DD7"/>
    <w:rsid w:val="28123DA1"/>
    <w:rsid w:val="288527C5"/>
    <w:rsid w:val="288E0F4E"/>
    <w:rsid w:val="2B1E480B"/>
    <w:rsid w:val="2B39457E"/>
    <w:rsid w:val="2C723060"/>
    <w:rsid w:val="2CCB09C2"/>
    <w:rsid w:val="2D0846B7"/>
    <w:rsid w:val="2D297497"/>
    <w:rsid w:val="2D314CC9"/>
    <w:rsid w:val="2D47282D"/>
    <w:rsid w:val="2DB63420"/>
    <w:rsid w:val="2DE70A2D"/>
    <w:rsid w:val="2E113CF1"/>
    <w:rsid w:val="2E4E3659"/>
    <w:rsid w:val="2E7B1F74"/>
    <w:rsid w:val="2F4B5DEA"/>
    <w:rsid w:val="2F590507"/>
    <w:rsid w:val="2FBD0A96"/>
    <w:rsid w:val="2FCC0CD9"/>
    <w:rsid w:val="30313232"/>
    <w:rsid w:val="30901D07"/>
    <w:rsid w:val="310E5B55"/>
    <w:rsid w:val="313E1763"/>
    <w:rsid w:val="329110F7"/>
    <w:rsid w:val="32944679"/>
    <w:rsid w:val="331A61FF"/>
    <w:rsid w:val="336631F3"/>
    <w:rsid w:val="33C57F19"/>
    <w:rsid w:val="34EF0FC6"/>
    <w:rsid w:val="352B46F4"/>
    <w:rsid w:val="365B6913"/>
    <w:rsid w:val="36946164"/>
    <w:rsid w:val="369938DF"/>
    <w:rsid w:val="36A24542"/>
    <w:rsid w:val="36CE3589"/>
    <w:rsid w:val="37313B18"/>
    <w:rsid w:val="37D526F5"/>
    <w:rsid w:val="37DC4E98"/>
    <w:rsid w:val="381D735D"/>
    <w:rsid w:val="382D42DF"/>
    <w:rsid w:val="386817BB"/>
    <w:rsid w:val="38C42BE3"/>
    <w:rsid w:val="39477622"/>
    <w:rsid w:val="399C796E"/>
    <w:rsid w:val="39C26CA9"/>
    <w:rsid w:val="39EB6200"/>
    <w:rsid w:val="3AB24F6F"/>
    <w:rsid w:val="3B111C96"/>
    <w:rsid w:val="3BDA652C"/>
    <w:rsid w:val="3BEB24E7"/>
    <w:rsid w:val="3BEE1FD7"/>
    <w:rsid w:val="3C6D114E"/>
    <w:rsid w:val="3D3A5E9E"/>
    <w:rsid w:val="3D54230E"/>
    <w:rsid w:val="3F116ADA"/>
    <w:rsid w:val="3F177A97"/>
    <w:rsid w:val="3FD140EA"/>
    <w:rsid w:val="405D597D"/>
    <w:rsid w:val="40C73A02"/>
    <w:rsid w:val="40EF2A79"/>
    <w:rsid w:val="413E130B"/>
    <w:rsid w:val="41AA5C3C"/>
    <w:rsid w:val="42815953"/>
    <w:rsid w:val="432B58BF"/>
    <w:rsid w:val="434626F9"/>
    <w:rsid w:val="434846C3"/>
    <w:rsid w:val="43AF4742"/>
    <w:rsid w:val="43E048FB"/>
    <w:rsid w:val="43E443EC"/>
    <w:rsid w:val="448C6831"/>
    <w:rsid w:val="45462E84"/>
    <w:rsid w:val="466B481F"/>
    <w:rsid w:val="46821C9A"/>
    <w:rsid w:val="46944542"/>
    <w:rsid w:val="46A00372"/>
    <w:rsid w:val="470D5A07"/>
    <w:rsid w:val="47DB5B06"/>
    <w:rsid w:val="481903DC"/>
    <w:rsid w:val="490270C2"/>
    <w:rsid w:val="4A4D25BF"/>
    <w:rsid w:val="4AD52CE0"/>
    <w:rsid w:val="4B007631"/>
    <w:rsid w:val="4B2477C4"/>
    <w:rsid w:val="4B5856BF"/>
    <w:rsid w:val="4BA40904"/>
    <w:rsid w:val="4BB24237"/>
    <w:rsid w:val="4BD25472"/>
    <w:rsid w:val="4BD56D10"/>
    <w:rsid w:val="4BE34F89"/>
    <w:rsid w:val="4C196BFC"/>
    <w:rsid w:val="4CAC7A71"/>
    <w:rsid w:val="4CFF2296"/>
    <w:rsid w:val="4D4E6D7A"/>
    <w:rsid w:val="4DDF3E76"/>
    <w:rsid w:val="4E067654"/>
    <w:rsid w:val="4E5C7274"/>
    <w:rsid w:val="4F1A33B7"/>
    <w:rsid w:val="4F334479"/>
    <w:rsid w:val="4F764366"/>
    <w:rsid w:val="4FC450D1"/>
    <w:rsid w:val="5023004A"/>
    <w:rsid w:val="508D1967"/>
    <w:rsid w:val="50A62A29"/>
    <w:rsid w:val="519641D8"/>
    <w:rsid w:val="51E90E1F"/>
    <w:rsid w:val="523E73BD"/>
    <w:rsid w:val="525A3ACB"/>
    <w:rsid w:val="526764A1"/>
    <w:rsid w:val="526D7CA2"/>
    <w:rsid w:val="528079D5"/>
    <w:rsid w:val="52DB4C0C"/>
    <w:rsid w:val="53065A01"/>
    <w:rsid w:val="53A05E55"/>
    <w:rsid w:val="53D63625"/>
    <w:rsid w:val="547F3CBD"/>
    <w:rsid w:val="552C5BF2"/>
    <w:rsid w:val="556D1D67"/>
    <w:rsid w:val="55AF05D2"/>
    <w:rsid w:val="57B819BF"/>
    <w:rsid w:val="58767185"/>
    <w:rsid w:val="587F428B"/>
    <w:rsid w:val="58A75590"/>
    <w:rsid w:val="58BA52C3"/>
    <w:rsid w:val="592D3CE7"/>
    <w:rsid w:val="59D77365"/>
    <w:rsid w:val="5A054C64"/>
    <w:rsid w:val="5A0802B0"/>
    <w:rsid w:val="5A663955"/>
    <w:rsid w:val="5A867B53"/>
    <w:rsid w:val="5B4B2B4A"/>
    <w:rsid w:val="5BC8419B"/>
    <w:rsid w:val="5BE2525D"/>
    <w:rsid w:val="5BE865EB"/>
    <w:rsid w:val="5C403D31"/>
    <w:rsid w:val="5DE60909"/>
    <w:rsid w:val="5E1831B8"/>
    <w:rsid w:val="5E2A6A47"/>
    <w:rsid w:val="5EB43901"/>
    <w:rsid w:val="5EF86B45"/>
    <w:rsid w:val="5F245B8C"/>
    <w:rsid w:val="5F716F1F"/>
    <w:rsid w:val="5FF967F2"/>
    <w:rsid w:val="5FFE372B"/>
    <w:rsid w:val="60082DB8"/>
    <w:rsid w:val="603E2C7E"/>
    <w:rsid w:val="605B738C"/>
    <w:rsid w:val="6110461A"/>
    <w:rsid w:val="615D7134"/>
    <w:rsid w:val="61B50D1E"/>
    <w:rsid w:val="61F96E5C"/>
    <w:rsid w:val="62377985"/>
    <w:rsid w:val="632E6FDA"/>
    <w:rsid w:val="63D618FE"/>
    <w:rsid w:val="63F83144"/>
    <w:rsid w:val="644F5459"/>
    <w:rsid w:val="64CF0348"/>
    <w:rsid w:val="65554CF2"/>
    <w:rsid w:val="65B80DDC"/>
    <w:rsid w:val="65BC08CD"/>
    <w:rsid w:val="66742F55"/>
    <w:rsid w:val="669B6734"/>
    <w:rsid w:val="66E83943"/>
    <w:rsid w:val="67452B44"/>
    <w:rsid w:val="67F51E74"/>
    <w:rsid w:val="68721717"/>
    <w:rsid w:val="68A8338A"/>
    <w:rsid w:val="68E65C61"/>
    <w:rsid w:val="6A845B96"/>
    <w:rsid w:val="6B596BBE"/>
    <w:rsid w:val="6BA53BB1"/>
    <w:rsid w:val="6BC54253"/>
    <w:rsid w:val="6C2E3BA6"/>
    <w:rsid w:val="6CD20DEF"/>
    <w:rsid w:val="6D1C4347"/>
    <w:rsid w:val="6D4A4A10"/>
    <w:rsid w:val="6D8223FC"/>
    <w:rsid w:val="6D8617C0"/>
    <w:rsid w:val="6EBE40C1"/>
    <w:rsid w:val="6FAF3250"/>
    <w:rsid w:val="6FD26F3F"/>
    <w:rsid w:val="702459EC"/>
    <w:rsid w:val="70514307"/>
    <w:rsid w:val="70F03B20"/>
    <w:rsid w:val="71BE59CD"/>
    <w:rsid w:val="72C01F0A"/>
    <w:rsid w:val="72C45265"/>
    <w:rsid w:val="73AB1F81"/>
    <w:rsid w:val="740D392B"/>
    <w:rsid w:val="741B7106"/>
    <w:rsid w:val="74542618"/>
    <w:rsid w:val="74844CAB"/>
    <w:rsid w:val="755D54FC"/>
    <w:rsid w:val="75866801"/>
    <w:rsid w:val="76393874"/>
    <w:rsid w:val="768F28BE"/>
    <w:rsid w:val="76F53C3E"/>
    <w:rsid w:val="78AC657F"/>
    <w:rsid w:val="78E411B3"/>
    <w:rsid w:val="78E75809"/>
    <w:rsid w:val="79030169"/>
    <w:rsid w:val="7A903C7E"/>
    <w:rsid w:val="7B237B5B"/>
    <w:rsid w:val="7B252618"/>
    <w:rsid w:val="7B5F57BB"/>
    <w:rsid w:val="7DB3215D"/>
    <w:rsid w:val="7EB73ECF"/>
    <w:rsid w:val="7EC62364"/>
    <w:rsid w:val="7EE30455"/>
    <w:rsid w:val="7F7122D0"/>
    <w:rsid w:val="7FA34CF3"/>
    <w:rsid w:val="7FA7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-1440"/>
      </w:tabs>
      <w:spacing w:after="0" w:line="360" w:lineRule="auto"/>
      <w:ind w:left="176" w:leftChars="0" w:firstLine="420" w:firstLineChars="200"/>
    </w:pPr>
    <w:rPr>
      <w:rFonts w:ascii="仿宋" w:hAnsi="Times New Roman" w:eastAsia="仿宋"/>
      <w:kern w:val="2"/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1"/>
    <w:pPr>
      <w:ind w:left="1068"/>
    </w:pPr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chinaunicom</Company>
  <Pages>9</Pages>
  <Words>477</Words>
  <Characters>2725</Characters>
  <Lines>22</Lines>
  <Paragraphs>6</Paragraphs>
  <TotalTime>15</TotalTime>
  <ScaleCrop>false</ScaleCrop>
  <LinksUpToDate>false</LinksUpToDate>
  <CharactersWithSpaces>3196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2022-04-15T09:21:00Z</dcterms:created>
  <dc:creator>Administrator</dc:creator>
  <cp:lastModifiedBy>聂红军</cp:lastModifiedBy>
  <dcterms:modified xsi:type="dcterms:W3CDTF">2022-06-09T02:11:14Z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4ADAE322E64D43D6A577AEDB15333C94</vt:lpwstr>
  </property>
</Properties>
</file>