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632"/>
        <w:rPr>
          <w:rFonts w:hint="eastAsia" w:ascii="黑体" w:hAnsi="黑体" w:eastAsia="黑体" w:cs="宋体"/>
          <w:bCs/>
          <w:sz w:val="30"/>
          <w:szCs w:val="30"/>
          <w:lang w:eastAsia="zh-CN"/>
        </w:rPr>
      </w:pPr>
      <w:r>
        <w:rPr>
          <w:rFonts w:hint="eastAsia" w:ascii="黑体" w:hAnsi="黑体" w:eastAsia="黑体" w:cs="宋体"/>
          <w:bCs/>
          <w:sz w:val="30"/>
          <w:szCs w:val="30"/>
          <w:lang w:eastAsia="zh-CN"/>
        </w:rPr>
        <w:drawing>
          <wp:anchor distT="0" distB="0" distL="114300" distR="114300" simplePos="0" relativeHeight="251659264" behindDoc="0" locked="0" layoutInCell="1" allowOverlap="1">
            <wp:simplePos x="0" y="0"/>
            <wp:positionH relativeFrom="column">
              <wp:posOffset>-1065530</wp:posOffset>
            </wp:positionH>
            <wp:positionV relativeFrom="paragraph">
              <wp:posOffset>-990600</wp:posOffset>
            </wp:positionV>
            <wp:extent cx="7695565" cy="10857230"/>
            <wp:effectExtent l="0" t="0" r="635" b="1270"/>
            <wp:wrapNone/>
            <wp:docPr id="1" name="图片 1" descr="1.企业改革与管理创新培训班--高级职业经理人高端研修班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企业改革与管理创新培训班--高级职业经理人高端研修班_00"/>
                    <pic:cNvPicPr>
                      <a:picLocks noChangeAspect="1"/>
                    </pic:cNvPicPr>
                  </pic:nvPicPr>
                  <pic:blipFill>
                    <a:blip r:embed="rId5"/>
                    <a:stretch>
                      <a:fillRect/>
                    </a:stretch>
                  </pic:blipFill>
                  <pic:spPr>
                    <a:xfrm>
                      <a:off x="0" y="0"/>
                      <a:ext cx="7695565" cy="10857230"/>
                    </a:xfrm>
                    <a:prstGeom prst="rect">
                      <a:avLst/>
                    </a:prstGeom>
                  </pic:spPr>
                </pic:pic>
              </a:graphicData>
            </a:graphic>
          </wp:anchor>
        </w:drawing>
      </w:r>
    </w:p>
    <w:p>
      <w:pPr>
        <w:adjustRightInd w:val="0"/>
        <w:snapToGrid w:val="0"/>
        <w:spacing w:line="600" w:lineRule="exact"/>
        <w:ind w:firstLine="632"/>
        <w:rPr>
          <w:rFonts w:ascii="黑体" w:hAnsi="黑体" w:eastAsia="黑体" w:cs="宋体"/>
          <w:bCs/>
          <w:sz w:val="30"/>
          <w:szCs w:val="30"/>
        </w:rPr>
      </w:pPr>
    </w:p>
    <w:p>
      <w:pPr>
        <w:adjustRightInd w:val="0"/>
        <w:snapToGrid w:val="0"/>
        <w:spacing w:line="600" w:lineRule="exact"/>
        <w:ind w:firstLine="632"/>
        <w:rPr>
          <w:rFonts w:ascii="黑体" w:hAnsi="黑体" w:eastAsia="黑体" w:cs="宋体"/>
          <w:bCs/>
          <w:sz w:val="30"/>
          <w:szCs w:val="30"/>
        </w:rPr>
      </w:pPr>
    </w:p>
    <w:p>
      <w:pPr>
        <w:adjustRightInd w:val="0"/>
        <w:snapToGrid w:val="0"/>
        <w:spacing w:line="600" w:lineRule="exact"/>
        <w:ind w:firstLine="632"/>
        <w:rPr>
          <w:rFonts w:ascii="黑体" w:hAnsi="黑体" w:eastAsia="黑体" w:cs="宋体"/>
          <w:bCs/>
          <w:sz w:val="30"/>
          <w:szCs w:val="30"/>
        </w:rPr>
      </w:pPr>
    </w:p>
    <w:p>
      <w:pPr>
        <w:adjustRightInd w:val="0"/>
        <w:snapToGrid w:val="0"/>
        <w:spacing w:line="600" w:lineRule="exact"/>
        <w:ind w:firstLine="632"/>
        <w:rPr>
          <w:rFonts w:ascii="黑体" w:hAnsi="黑体" w:eastAsia="黑体" w:cs="宋体"/>
          <w:bCs/>
          <w:sz w:val="30"/>
          <w:szCs w:val="30"/>
        </w:rPr>
      </w:pPr>
    </w:p>
    <w:p>
      <w:pPr>
        <w:adjustRightInd w:val="0"/>
        <w:snapToGrid w:val="0"/>
        <w:spacing w:line="600" w:lineRule="exact"/>
        <w:ind w:firstLine="632"/>
        <w:rPr>
          <w:rFonts w:ascii="黑体" w:hAnsi="黑体" w:eastAsia="黑体" w:cs="宋体"/>
          <w:bCs/>
          <w:sz w:val="30"/>
          <w:szCs w:val="30"/>
        </w:rPr>
      </w:pPr>
    </w:p>
    <w:p>
      <w:pPr>
        <w:adjustRightInd w:val="0"/>
        <w:snapToGrid w:val="0"/>
        <w:spacing w:line="600" w:lineRule="exact"/>
        <w:ind w:firstLine="632"/>
        <w:rPr>
          <w:rFonts w:ascii="黑体" w:hAnsi="黑体" w:eastAsia="黑体" w:cs="宋体"/>
          <w:bCs/>
          <w:sz w:val="30"/>
          <w:szCs w:val="30"/>
        </w:rPr>
      </w:pPr>
    </w:p>
    <w:p>
      <w:pPr>
        <w:adjustRightInd w:val="0"/>
        <w:snapToGrid w:val="0"/>
        <w:spacing w:line="600" w:lineRule="exact"/>
        <w:ind w:firstLine="632"/>
        <w:rPr>
          <w:rFonts w:ascii="黑体" w:hAnsi="黑体" w:eastAsia="黑体" w:cs="宋体"/>
          <w:bCs/>
          <w:sz w:val="30"/>
          <w:szCs w:val="30"/>
        </w:rPr>
      </w:pPr>
    </w:p>
    <w:p>
      <w:pPr>
        <w:adjustRightInd w:val="0"/>
        <w:snapToGrid w:val="0"/>
        <w:spacing w:line="600" w:lineRule="exact"/>
        <w:ind w:firstLine="632"/>
        <w:rPr>
          <w:rFonts w:ascii="黑体" w:hAnsi="黑体" w:eastAsia="黑体" w:cs="宋体"/>
          <w:bCs/>
          <w:sz w:val="30"/>
          <w:szCs w:val="30"/>
        </w:rPr>
      </w:pPr>
    </w:p>
    <w:p>
      <w:pPr>
        <w:adjustRightInd w:val="0"/>
        <w:snapToGrid w:val="0"/>
        <w:spacing w:line="600" w:lineRule="exact"/>
        <w:ind w:firstLine="632"/>
        <w:rPr>
          <w:rFonts w:ascii="黑体" w:hAnsi="黑体" w:eastAsia="黑体" w:cs="宋体"/>
          <w:bCs/>
          <w:sz w:val="30"/>
          <w:szCs w:val="30"/>
        </w:rPr>
      </w:pPr>
    </w:p>
    <w:p>
      <w:pPr>
        <w:adjustRightInd w:val="0"/>
        <w:snapToGrid w:val="0"/>
        <w:spacing w:line="600" w:lineRule="exact"/>
        <w:ind w:firstLine="632"/>
        <w:rPr>
          <w:rFonts w:ascii="黑体" w:hAnsi="黑体" w:eastAsia="黑体" w:cs="宋体"/>
          <w:bCs/>
          <w:sz w:val="30"/>
          <w:szCs w:val="30"/>
        </w:rPr>
      </w:pPr>
    </w:p>
    <w:p>
      <w:pPr>
        <w:adjustRightInd w:val="0"/>
        <w:snapToGrid w:val="0"/>
        <w:spacing w:line="600" w:lineRule="exact"/>
        <w:ind w:firstLine="632"/>
        <w:rPr>
          <w:rFonts w:ascii="黑体" w:hAnsi="黑体" w:eastAsia="黑体" w:cs="宋体"/>
          <w:bCs/>
          <w:sz w:val="30"/>
          <w:szCs w:val="30"/>
        </w:rPr>
      </w:pPr>
    </w:p>
    <w:p>
      <w:pPr>
        <w:adjustRightInd w:val="0"/>
        <w:snapToGrid w:val="0"/>
        <w:spacing w:line="600" w:lineRule="exact"/>
        <w:ind w:firstLine="632"/>
        <w:rPr>
          <w:rFonts w:ascii="黑体" w:hAnsi="黑体" w:eastAsia="黑体" w:cs="宋体"/>
          <w:bCs/>
          <w:sz w:val="30"/>
          <w:szCs w:val="30"/>
        </w:rPr>
      </w:pPr>
    </w:p>
    <w:p>
      <w:pPr>
        <w:adjustRightInd w:val="0"/>
        <w:snapToGrid w:val="0"/>
        <w:spacing w:line="600" w:lineRule="exact"/>
        <w:ind w:firstLine="632"/>
        <w:rPr>
          <w:rFonts w:ascii="黑体" w:hAnsi="黑体" w:eastAsia="黑体" w:cs="宋体"/>
          <w:bCs/>
          <w:sz w:val="30"/>
          <w:szCs w:val="30"/>
        </w:rPr>
      </w:pPr>
    </w:p>
    <w:p>
      <w:pPr>
        <w:adjustRightInd w:val="0"/>
        <w:snapToGrid w:val="0"/>
        <w:spacing w:line="600" w:lineRule="exact"/>
        <w:ind w:firstLine="632"/>
        <w:rPr>
          <w:rFonts w:ascii="黑体" w:hAnsi="黑体" w:eastAsia="黑体" w:cs="宋体"/>
          <w:bCs/>
          <w:sz w:val="30"/>
          <w:szCs w:val="30"/>
        </w:rPr>
      </w:pPr>
    </w:p>
    <w:p>
      <w:pPr>
        <w:adjustRightInd w:val="0"/>
        <w:snapToGrid w:val="0"/>
        <w:spacing w:line="600" w:lineRule="exact"/>
        <w:ind w:firstLine="632"/>
        <w:rPr>
          <w:rFonts w:ascii="黑体" w:hAnsi="黑体" w:eastAsia="黑体" w:cs="宋体"/>
          <w:bCs/>
          <w:sz w:val="30"/>
          <w:szCs w:val="30"/>
        </w:rPr>
      </w:pPr>
    </w:p>
    <w:p>
      <w:pPr>
        <w:adjustRightInd w:val="0"/>
        <w:snapToGrid w:val="0"/>
        <w:spacing w:line="600" w:lineRule="exact"/>
        <w:ind w:firstLine="632"/>
        <w:rPr>
          <w:rFonts w:ascii="黑体" w:hAnsi="黑体" w:eastAsia="黑体" w:cs="宋体"/>
          <w:bCs/>
          <w:sz w:val="30"/>
          <w:szCs w:val="30"/>
        </w:rPr>
      </w:pPr>
    </w:p>
    <w:p>
      <w:pPr>
        <w:adjustRightInd w:val="0"/>
        <w:snapToGrid w:val="0"/>
        <w:spacing w:line="600" w:lineRule="exact"/>
        <w:ind w:firstLine="632"/>
        <w:rPr>
          <w:rFonts w:ascii="黑体" w:hAnsi="黑体" w:eastAsia="黑体" w:cs="宋体"/>
          <w:bCs/>
          <w:sz w:val="30"/>
          <w:szCs w:val="30"/>
        </w:rPr>
      </w:pPr>
    </w:p>
    <w:p>
      <w:pPr>
        <w:adjustRightInd w:val="0"/>
        <w:snapToGrid w:val="0"/>
        <w:spacing w:line="600" w:lineRule="exact"/>
        <w:ind w:firstLine="632"/>
        <w:rPr>
          <w:rFonts w:ascii="黑体" w:hAnsi="黑体" w:eastAsia="黑体" w:cs="宋体"/>
          <w:bCs/>
          <w:sz w:val="30"/>
          <w:szCs w:val="30"/>
        </w:rPr>
      </w:pPr>
    </w:p>
    <w:p>
      <w:pPr>
        <w:adjustRightInd w:val="0"/>
        <w:snapToGrid w:val="0"/>
        <w:spacing w:line="600" w:lineRule="exact"/>
        <w:ind w:firstLine="632"/>
        <w:rPr>
          <w:rFonts w:ascii="黑体" w:hAnsi="黑体" w:eastAsia="黑体" w:cs="宋体"/>
          <w:bCs/>
          <w:sz w:val="30"/>
          <w:szCs w:val="30"/>
        </w:rPr>
      </w:pPr>
    </w:p>
    <w:p>
      <w:pPr>
        <w:adjustRightInd w:val="0"/>
        <w:snapToGrid w:val="0"/>
        <w:spacing w:line="600" w:lineRule="exact"/>
        <w:ind w:firstLine="632"/>
        <w:rPr>
          <w:rFonts w:ascii="黑体" w:hAnsi="黑体" w:eastAsia="黑体" w:cs="宋体"/>
          <w:bCs/>
          <w:sz w:val="30"/>
          <w:szCs w:val="30"/>
        </w:rPr>
      </w:pPr>
    </w:p>
    <w:p>
      <w:pPr>
        <w:adjustRightInd w:val="0"/>
        <w:snapToGrid w:val="0"/>
        <w:spacing w:line="600" w:lineRule="exact"/>
        <w:ind w:firstLine="632"/>
        <w:rPr>
          <w:rFonts w:ascii="黑体" w:hAnsi="黑体" w:eastAsia="黑体" w:cs="宋体"/>
          <w:bCs/>
          <w:sz w:val="30"/>
          <w:szCs w:val="30"/>
        </w:rPr>
      </w:pPr>
    </w:p>
    <w:p>
      <w:pPr>
        <w:adjustRightInd w:val="0"/>
        <w:snapToGrid w:val="0"/>
        <w:spacing w:line="600" w:lineRule="exact"/>
        <w:ind w:firstLine="632"/>
        <w:rPr>
          <w:rFonts w:ascii="黑体" w:hAnsi="黑体" w:eastAsia="黑体" w:cs="宋体"/>
          <w:bCs/>
          <w:sz w:val="30"/>
          <w:szCs w:val="30"/>
        </w:rPr>
      </w:pPr>
    </w:p>
    <w:p>
      <w:pPr>
        <w:adjustRightInd w:val="0"/>
        <w:snapToGrid w:val="0"/>
        <w:spacing w:line="600" w:lineRule="exact"/>
        <w:ind w:firstLine="632"/>
        <w:rPr>
          <w:rFonts w:hint="eastAsia" w:ascii="黑体" w:hAnsi="黑体" w:eastAsia="黑体" w:cs="宋体"/>
          <w:bCs/>
          <w:sz w:val="30"/>
          <w:szCs w:val="30"/>
          <w:lang w:eastAsia="zh-CN"/>
        </w:rPr>
      </w:pPr>
      <w:r>
        <w:rPr>
          <w:rFonts w:hint="eastAsia" w:ascii="黑体" w:hAnsi="黑体" w:eastAsia="黑体" w:cs="宋体"/>
          <w:bCs/>
          <w:sz w:val="30"/>
          <w:szCs w:val="30"/>
          <w:lang w:eastAsia="zh-CN"/>
        </w:rPr>
        <w:drawing>
          <wp:anchor distT="0" distB="0" distL="114300" distR="114300" simplePos="0" relativeHeight="251660288" behindDoc="0" locked="0" layoutInCell="1" allowOverlap="1">
            <wp:simplePos x="0" y="0"/>
            <wp:positionH relativeFrom="column">
              <wp:posOffset>-1065530</wp:posOffset>
            </wp:positionH>
            <wp:positionV relativeFrom="paragraph">
              <wp:posOffset>-981075</wp:posOffset>
            </wp:positionV>
            <wp:extent cx="7695565" cy="10829290"/>
            <wp:effectExtent l="0" t="0" r="635" b="10160"/>
            <wp:wrapNone/>
            <wp:docPr id="2" name="图片 2" descr="1.企业改革与管理创新培训班--高级职业经理人高端研修班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企业改革与管理创新培训班--高级职业经理人高端研修班_01"/>
                    <pic:cNvPicPr>
                      <a:picLocks noChangeAspect="1"/>
                    </pic:cNvPicPr>
                  </pic:nvPicPr>
                  <pic:blipFill>
                    <a:blip r:embed="rId6"/>
                    <a:stretch>
                      <a:fillRect/>
                    </a:stretch>
                  </pic:blipFill>
                  <pic:spPr>
                    <a:xfrm>
                      <a:off x="0" y="0"/>
                      <a:ext cx="7695565" cy="10829290"/>
                    </a:xfrm>
                    <a:prstGeom prst="rect">
                      <a:avLst/>
                    </a:prstGeom>
                  </pic:spPr>
                </pic:pic>
              </a:graphicData>
            </a:graphic>
          </wp:anchor>
        </w:drawing>
      </w:r>
    </w:p>
    <w:p>
      <w:pPr>
        <w:adjustRightInd w:val="0"/>
        <w:snapToGrid w:val="0"/>
        <w:spacing w:line="600" w:lineRule="exact"/>
        <w:ind w:firstLine="632"/>
        <w:rPr>
          <w:rFonts w:ascii="黑体" w:hAnsi="黑体" w:eastAsia="黑体" w:cs="宋体"/>
          <w:bCs/>
          <w:sz w:val="30"/>
          <w:szCs w:val="30"/>
        </w:rPr>
      </w:pPr>
    </w:p>
    <w:p>
      <w:pPr>
        <w:adjustRightInd w:val="0"/>
        <w:snapToGrid w:val="0"/>
        <w:spacing w:line="600" w:lineRule="exact"/>
        <w:ind w:firstLine="632"/>
        <w:rPr>
          <w:rFonts w:ascii="黑体" w:hAnsi="黑体" w:eastAsia="黑体" w:cs="宋体"/>
          <w:bCs/>
          <w:sz w:val="30"/>
          <w:szCs w:val="30"/>
        </w:rPr>
      </w:pPr>
    </w:p>
    <w:p>
      <w:pPr>
        <w:adjustRightInd w:val="0"/>
        <w:snapToGrid w:val="0"/>
        <w:spacing w:line="600" w:lineRule="exact"/>
        <w:ind w:firstLine="632"/>
        <w:rPr>
          <w:rFonts w:ascii="黑体" w:hAnsi="黑体" w:eastAsia="黑体" w:cs="宋体"/>
          <w:bCs/>
          <w:sz w:val="30"/>
          <w:szCs w:val="30"/>
        </w:rPr>
      </w:pPr>
    </w:p>
    <w:p>
      <w:pPr>
        <w:adjustRightInd w:val="0"/>
        <w:snapToGrid w:val="0"/>
        <w:spacing w:line="600" w:lineRule="exact"/>
        <w:ind w:firstLine="632"/>
        <w:rPr>
          <w:rFonts w:ascii="黑体" w:hAnsi="黑体" w:eastAsia="黑体" w:cs="宋体"/>
          <w:bCs/>
          <w:sz w:val="30"/>
          <w:szCs w:val="30"/>
        </w:rPr>
      </w:pPr>
    </w:p>
    <w:p>
      <w:pPr>
        <w:adjustRightInd w:val="0"/>
        <w:snapToGrid w:val="0"/>
        <w:spacing w:line="600" w:lineRule="exact"/>
        <w:ind w:firstLine="632"/>
        <w:rPr>
          <w:rFonts w:ascii="黑体" w:hAnsi="黑体" w:eastAsia="黑体" w:cs="宋体"/>
          <w:bCs/>
          <w:sz w:val="30"/>
          <w:szCs w:val="30"/>
        </w:rPr>
      </w:pPr>
    </w:p>
    <w:p>
      <w:pPr>
        <w:adjustRightInd w:val="0"/>
        <w:snapToGrid w:val="0"/>
        <w:spacing w:line="600" w:lineRule="exact"/>
        <w:ind w:firstLine="632"/>
        <w:rPr>
          <w:rFonts w:ascii="黑体" w:hAnsi="黑体" w:eastAsia="黑体" w:cs="宋体"/>
          <w:bCs/>
          <w:sz w:val="30"/>
          <w:szCs w:val="30"/>
        </w:rPr>
      </w:pPr>
    </w:p>
    <w:p>
      <w:pPr>
        <w:adjustRightInd w:val="0"/>
        <w:snapToGrid w:val="0"/>
        <w:spacing w:line="600" w:lineRule="exact"/>
        <w:ind w:firstLine="632"/>
        <w:rPr>
          <w:rFonts w:ascii="黑体" w:hAnsi="黑体" w:eastAsia="黑体" w:cs="宋体"/>
          <w:bCs/>
          <w:sz w:val="30"/>
          <w:szCs w:val="30"/>
        </w:rPr>
      </w:pPr>
    </w:p>
    <w:p>
      <w:pPr>
        <w:adjustRightInd w:val="0"/>
        <w:snapToGrid w:val="0"/>
        <w:spacing w:line="600" w:lineRule="exact"/>
        <w:ind w:firstLine="632"/>
        <w:rPr>
          <w:rFonts w:ascii="黑体" w:hAnsi="黑体" w:eastAsia="黑体" w:cs="宋体"/>
          <w:bCs/>
          <w:sz w:val="30"/>
          <w:szCs w:val="30"/>
        </w:rPr>
      </w:pPr>
    </w:p>
    <w:p>
      <w:pPr>
        <w:adjustRightInd w:val="0"/>
        <w:snapToGrid w:val="0"/>
        <w:spacing w:line="600" w:lineRule="exact"/>
        <w:ind w:firstLine="632"/>
        <w:rPr>
          <w:rFonts w:ascii="黑体" w:hAnsi="黑体" w:eastAsia="黑体" w:cs="宋体"/>
          <w:bCs/>
          <w:sz w:val="30"/>
          <w:szCs w:val="30"/>
        </w:rPr>
      </w:pPr>
    </w:p>
    <w:p>
      <w:pPr>
        <w:adjustRightInd w:val="0"/>
        <w:snapToGrid w:val="0"/>
        <w:spacing w:line="600" w:lineRule="exact"/>
        <w:ind w:firstLine="632"/>
        <w:rPr>
          <w:rFonts w:ascii="黑体" w:hAnsi="黑体" w:eastAsia="黑体" w:cs="宋体"/>
          <w:bCs/>
          <w:sz w:val="30"/>
          <w:szCs w:val="30"/>
        </w:rPr>
      </w:pPr>
    </w:p>
    <w:p>
      <w:pPr>
        <w:adjustRightInd w:val="0"/>
        <w:snapToGrid w:val="0"/>
        <w:spacing w:line="600" w:lineRule="exact"/>
        <w:ind w:firstLine="632"/>
        <w:rPr>
          <w:rFonts w:ascii="黑体" w:hAnsi="黑体" w:eastAsia="黑体" w:cs="宋体"/>
          <w:bCs/>
          <w:sz w:val="30"/>
          <w:szCs w:val="30"/>
        </w:rPr>
      </w:pPr>
    </w:p>
    <w:p>
      <w:pPr>
        <w:adjustRightInd w:val="0"/>
        <w:snapToGrid w:val="0"/>
        <w:spacing w:line="600" w:lineRule="exact"/>
        <w:ind w:firstLine="632"/>
        <w:rPr>
          <w:rFonts w:ascii="黑体" w:hAnsi="黑体" w:eastAsia="黑体" w:cs="宋体"/>
          <w:bCs/>
          <w:sz w:val="30"/>
          <w:szCs w:val="30"/>
        </w:rPr>
      </w:pPr>
    </w:p>
    <w:p>
      <w:pPr>
        <w:adjustRightInd w:val="0"/>
        <w:snapToGrid w:val="0"/>
        <w:spacing w:line="600" w:lineRule="exact"/>
        <w:ind w:firstLine="632"/>
        <w:rPr>
          <w:rFonts w:ascii="黑体" w:hAnsi="黑体" w:eastAsia="黑体" w:cs="宋体"/>
          <w:bCs/>
          <w:sz w:val="30"/>
          <w:szCs w:val="30"/>
        </w:rPr>
      </w:pPr>
    </w:p>
    <w:p>
      <w:pPr>
        <w:adjustRightInd w:val="0"/>
        <w:snapToGrid w:val="0"/>
        <w:spacing w:line="600" w:lineRule="exact"/>
        <w:ind w:firstLine="632"/>
        <w:rPr>
          <w:rFonts w:ascii="黑体" w:hAnsi="黑体" w:eastAsia="黑体" w:cs="宋体"/>
          <w:bCs/>
          <w:sz w:val="30"/>
          <w:szCs w:val="30"/>
        </w:rPr>
      </w:pPr>
    </w:p>
    <w:p>
      <w:pPr>
        <w:adjustRightInd w:val="0"/>
        <w:snapToGrid w:val="0"/>
        <w:spacing w:line="600" w:lineRule="exact"/>
        <w:ind w:firstLine="632"/>
        <w:rPr>
          <w:rFonts w:ascii="黑体" w:hAnsi="黑体" w:eastAsia="黑体" w:cs="宋体"/>
          <w:bCs/>
          <w:sz w:val="30"/>
          <w:szCs w:val="30"/>
        </w:rPr>
      </w:pPr>
    </w:p>
    <w:p>
      <w:pPr>
        <w:adjustRightInd w:val="0"/>
        <w:snapToGrid w:val="0"/>
        <w:spacing w:line="600" w:lineRule="exact"/>
        <w:ind w:firstLine="632"/>
        <w:rPr>
          <w:rFonts w:ascii="黑体" w:hAnsi="黑体" w:eastAsia="黑体" w:cs="宋体"/>
          <w:bCs/>
          <w:sz w:val="30"/>
          <w:szCs w:val="30"/>
        </w:rPr>
      </w:pPr>
    </w:p>
    <w:p>
      <w:pPr>
        <w:adjustRightInd w:val="0"/>
        <w:snapToGrid w:val="0"/>
        <w:spacing w:line="600" w:lineRule="exact"/>
        <w:ind w:firstLine="632"/>
        <w:rPr>
          <w:rFonts w:ascii="黑体" w:hAnsi="黑体" w:eastAsia="黑体" w:cs="宋体"/>
          <w:bCs/>
          <w:sz w:val="30"/>
          <w:szCs w:val="30"/>
        </w:rPr>
      </w:pPr>
    </w:p>
    <w:p>
      <w:pPr>
        <w:adjustRightInd w:val="0"/>
        <w:snapToGrid w:val="0"/>
        <w:spacing w:line="600" w:lineRule="exact"/>
        <w:ind w:firstLine="632"/>
        <w:rPr>
          <w:rFonts w:ascii="黑体" w:hAnsi="黑体" w:eastAsia="黑体" w:cs="宋体"/>
          <w:bCs/>
          <w:sz w:val="30"/>
          <w:szCs w:val="30"/>
        </w:rPr>
      </w:pPr>
    </w:p>
    <w:p>
      <w:pPr>
        <w:adjustRightInd w:val="0"/>
        <w:snapToGrid w:val="0"/>
        <w:spacing w:line="600" w:lineRule="exact"/>
        <w:ind w:firstLine="632"/>
        <w:rPr>
          <w:rFonts w:ascii="黑体" w:hAnsi="黑体" w:eastAsia="黑体" w:cs="宋体"/>
          <w:bCs/>
          <w:sz w:val="30"/>
          <w:szCs w:val="30"/>
        </w:rPr>
      </w:pPr>
    </w:p>
    <w:p>
      <w:pPr>
        <w:adjustRightInd w:val="0"/>
        <w:snapToGrid w:val="0"/>
        <w:spacing w:line="600" w:lineRule="exact"/>
        <w:rPr>
          <w:rFonts w:ascii="黑体" w:hAnsi="黑体" w:eastAsia="黑体" w:cs="宋体"/>
          <w:bCs/>
          <w:sz w:val="30"/>
          <w:szCs w:val="30"/>
        </w:rPr>
      </w:pPr>
    </w:p>
    <w:p>
      <w:pPr>
        <w:adjustRightInd w:val="0"/>
        <w:snapToGrid w:val="0"/>
        <w:spacing w:line="600" w:lineRule="exact"/>
        <w:rPr>
          <w:rFonts w:ascii="黑体" w:hAnsi="黑体" w:eastAsia="黑体" w:cs="宋体"/>
          <w:bCs/>
          <w:sz w:val="30"/>
          <w:szCs w:val="30"/>
        </w:rPr>
      </w:pPr>
      <w:r>
        <w:rPr>
          <w:rFonts w:hint="eastAsia" w:ascii="黑体" w:hAnsi="黑体" w:eastAsia="黑体" w:cs="宋体"/>
          <w:bCs/>
          <w:sz w:val="30"/>
          <w:szCs w:val="30"/>
        </w:rPr>
        <w:t>附件1</w:t>
      </w:r>
    </w:p>
    <w:p>
      <w:pPr>
        <w:adjustRightInd w:val="0"/>
        <w:snapToGrid w:val="0"/>
        <w:spacing w:line="600" w:lineRule="exact"/>
        <w:jc w:val="center"/>
        <w:rPr>
          <w:rFonts w:ascii="方正小标宋简体" w:eastAsia="方正小标宋简体" w:cs="宋体"/>
          <w:bCs/>
          <w:sz w:val="40"/>
          <w:szCs w:val="40"/>
        </w:rPr>
      </w:pPr>
      <w:r>
        <w:rPr>
          <w:rFonts w:ascii="方正小标宋简体" w:eastAsia="方正小标宋简体" w:cs="宋体"/>
          <w:bCs/>
          <w:sz w:val="40"/>
          <w:szCs w:val="40"/>
        </w:rPr>
        <w:t>2022年度企业改革与管理创新培训班</w:t>
      </w:r>
    </w:p>
    <w:p>
      <w:pPr>
        <w:adjustRightInd w:val="0"/>
        <w:snapToGrid w:val="0"/>
        <w:spacing w:line="600" w:lineRule="exact"/>
        <w:jc w:val="center"/>
        <w:rPr>
          <w:rFonts w:ascii="方正小标宋简体" w:eastAsia="方正小标宋简体" w:cs="宋体"/>
          <w:bCs/>
          <w:sz w:val="40"/>
          <w:szCs w:val="40"/>
        </w:rPr>
      </w:pPr>
      <w:r>
        <w:rPr>
          <w:rFonts w:ascii="方正小标宋简体" w:eastAsia="方正小标宋简体" w:cs="宋体"/>
          <w:bCs/>
          <w:sz w:val="40"/>
          <w:szCs w:val="40"/>
        </w:rPr>
        <w:t>——高级职业经理人高端研修班招生简章</w:t>
      </w:r>
    </w:p>
    <w:p>
      <w:pPr>
        <w:adjustRightInd w:val="0"/>
        <w:snapToGrid w:val="0"/>
        <w:spacing w:line="600" w:lineRule="exact"/>
      </w:pPr>
    </w:p>
    <w:p>
      <w:pPr>
        <w:adjustRightInd w:val="0"/>
        <w:snapToGrid w:val="0"/>
        <w:spacing w:line="600" w:lineRule="exact"/>
        <w:ind w:firstLine="600" w:firstLineChars="200"/>
        <w:rPr>
          <w:rFonts w:ascii="黑体" w:hAnsi="黑体" w:eastAsia="黑体"/>
          <w:sz w:val="30"/>
          <w:szCs w:val="30"/>
          <w:lang w:val="zh-TW" w:eastAsia="zh-TW"/>
        </w:rPr>
      </w:pPr>
      <w:bookmarkStart w:id="0" w:name="bookmark9"/>
      <w:r>
        <w:rPr>
          <w:rFonts w:hint="eastAsia" w:ascii="黑体" w:hAnsi="黑体" w:eastAsia="黑体"/>
          <w:sz w:val="30"/>
          <w:szCs w:val="30"/>
          <w:lang w:val="zh-TW" w:eastAsia="zh-TW"/>
        </w:rPr>
        <w:t>一</w:t>
      </w:r>
      <w:bookmarkEnd w:id="0"/>
      <w:r>
        <w:rPr>
          <w:rFonts w:hint="eastAsia" w:ascii="黑体" w:hAnsi="黑体" w:eastAsia="黑体"/>
          <w:sz w:val="30"/>
          <w:szCs w:val="30"/>
          <w:lang w:val="zh-TW" w:eastAsia="zh-TW"/>
        </w:rPr>
        <w:t>、课程宗旨</w:t>
      </w:r>
    </w:p>
    <w:p>
      <w:pPr>
        <w:adjustRightInd w:val="0"/>
        <w:snapToGrid w:val="0"/>
        <w:spacing w:line="60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改革与管理如“鸟之两翼、车之两轮”，二者相辅相成、相互促进，共同推动企业发展行稳致远。党中央、国务院从战略和全局高度部署实施国企改革三年行动，对国有企业深化改革提出新的任务要求，为做强做优做大国有资本和国有企业指明了方向。</w:t>
      </w:r>
      <w:r>
        <w:rPr>
          <w:rFonts w:ascii="仿宋_GB2312" w:hAnsi="仿宋" w:eastAsia="仿宋_GB2312" w:cs="Times New Roman"/>
          <w:sz w:val="30"/>
          <w:szCs w:val="30"/>
        </w:rPr>
        <w:t>管理能力的提</w:t>
      </w:r>
      <w:r>
        <w:rPr>
          <w:rFonts w:hint="eastAsia" w:ascii="仿宋_GB2312" w:hAnsi="仿宋" w:eastAsia="仿宋_GB2312" w:cs="Times New Roman"/>
          <w:sz w:val="30"/>
          <w:szCs w:val="30"/>
        </w:rPr>
        <w:t>升</w:t>
      </w:r>
      <w:r>
        <w:rPr>
          <w:rFonts w:ascii="仿宋_GB2312" w:hAnsi="仿宋" w:eastAsia="仿宋_GB2312" w:cs="Times New Roman"/>
          <w:sz w:val="30"/>
          <w:szCs w:val="30"/>
        </w:rPr>
        <w:t>将为国有企业带来更具持久性的竞争优势，并进一步推动国有企业实践创新，助力国有经济高质量发展，切实发挥国有企业在国民经济中的稳定器和压舱石作用。</w:t>
      </w:r>
    </w:p>
    <w:p>
      <w:pPr>
        <w:adjustRightInd w:val="0"/>
        <w:snapToGrid w:val="0"/>
        <w:spacing w:line="600" w:lineRule="exact"/>
        <w:ind w:firstLine="600" w:firstLineChars="200"/>
        <w:rPr>
          <w:rFonts w:ascii="仿宋_GB2312" w:hAnsi="仿宋" w:eastAsia="仿宋_GB2312"/>
          <w:sz w:val="30"/>
          <w:szCs w:val="30"/>
        </w:rPr>
      </w:pPr>
      <w:r>
        <w:rPr>
          <w:rFonts w:hint="eastAsia" w:ascii="仿宋_GB2312" w:hAnsi="仿宋" w:eastAsia="仿宋_GB2312"/>
          <w:color w:val="000000"/>
          <w:sz w:val="30"/>
          <w:szCs w:val="30"/>
        </w:rPr>
        <w:t>研修班</w:t>
      </w:r>
      <w:r>
        <w:rPr>
          <w:rFonts w:ascii="仿宋_GB2312" w:hAnsi="仿宋" w:eastAsia="仿宋_GB2312"/>
          <w:color w:val="000000"/>
          <w:sz w:val="30"/>
          <w:szCs w:val="30"/>
        </w:rPr>
        <w:t>课程聚焦落实国企改革</w:t>
      </w:r>
      <w:r>
        <w:rPr>
          <w:rFonts w:hint="eastAsia" w:ascii="Times New Roman" w:hAnsi="Times New Roman" w:eastAsia="仿宋_GB2312" w:cs="Times New Roman"/>
          <w:color w:val="000000"/>
          <w:sz w:val="30"/>
          <w:szCs w:val="30"/>
          <w:lang w:bidi="en-US"/>
        </w:rPr>
        <w:t>“</w:t>
      </w:r>
      <w:r>
        <w:rPr>
          <w:rFonts w:ascii="Times New Roman" w:hAnsi="Times New Roman" w:eastAsia="仿宋_GB2312" w:cs="Times New Roman"/>
          <w:color w:val="000000"/>
          <w:sz w:val="30"/>
          <w:szCs w:val="30"/>
          <w:lang w:bidi="en-US"/>
        </w:rPr>
        <w:t>1+N</w:t>
      </w:r>
      <w:r>
        <w:rPr>
          <w:rFonts w:hint="eastAsia" w:ascii="Times New Roman" w:hAnsi="Times New Roman" w:eastAsia="仿宋_GB2312" w:cs="Times New Roman"/>
          <w:color w:val="000000"/>
          <w:sz w:val="30"/>
          <w:szCs w:val="30"/>
          <w:lang w:bidi="en-US"/>
        </w:rPr>
        <w:t>”</w:t>
      </w:r>
      <w:r>
        <w:rPr>
          <w:rFonts w:ascii="Times New Roman" w:hAnsi="Times New Roman" w:eastAsia="仿宋_GB2312" w:cs="Times New Roman"/>
          <w:color w:val="000000"/>
          <w:sz w:val="30"/>
          <w:szCs w:val="30"/>
        </w:rPr>
        <w:t>政策体</w:t>
      </w:r>
      <w:r>
        <w:rPr>
          <w:rFonts w:ascii="仿宋_GB2312" w:hAnsi="仿宋" w:eastAsia="仿宋_GB2312"/>
          <w:color w:val="000000"/>
          <w:sz w:val="30"/>
          <w:szCs w:val="30"/>
        </w:rPr>
        <w:t>系和顶层设计的具体施工图，把握好国企改革三年行动的方向、原则、路径，</w:t>
      </w:r>
      <w:r>
        <w:rPr>
          <w:rFonts w:hint="eastAsia" w:ascii="仿宋_GB2312" w:hAnsi="仿宋" w:eastAsia="仿宋_GB2312" w:cs="Times New Roman"/>
          <w:sz w:val="30"/>
          <w:szCs w:val="30"/>
        </w:rPr>
        <w:t>“十四五”规划纲要有关国有企业改革的要求，以及国务院国资委有关部署，把宏观和微观结合起来，把研修学习与明年工作要求和目标任务结合起来，</w:t>
      </w:r>
      <w:r>
        <w:rPr>
          <w:rFonts w:ascii="仿宋_GB2312" w:hAnsi="仿宋" w:eastAsia="仿宋_GB2312"/>
          <w:color w:val="000000"/>
          <w:sz w:val="30"/>
          <w:szCs w:val="30"/>
        </w:rPr>
        <w:t>不断夯实国有企业管理基础，强化管理创新，全面提升企业管理工作。</w:t>
      </w:r>
    </w:p>
    <w:p>
      <w:pPr>
        <w:adjustRightInd w:val="0"/>
        <w:snapToGrid w:val="0"/>
        <w:spacing w:line="600" w:lineRule="exact"/>
        <w:ind w:firstLine="600" w:firstLineChars="200"/>
        <w:rPr>
          <w:rFonts w:ascii="黑体" w:hAnsi="黑体" w:eastAsia="黑体"/>
          <w:sz w:val="30"/>
          <w:szCs w:val="30"/>
        </w:rPr>
      </w:pPr>
      <w:bookmarkStart w:id="1" w:name="bookmark10"/>
      <w:r>
        <w:rPr>
          <w:rFonts w:hint="eastAsia" w:ascii="黑体" w:hAnsi="黑体" w:eastAsia="黑体"/>
          <w:sz w:val="30"/>
          <w:szCs w:val="30"/>
          <w:lang w:val="zh-TW" w:eastAsia="zh-TW"/>
        </w:rPr>
        <w:t>二</w:t>
      </w:r>
      <w:bookmarkEnd w:id="1"/>
      <w:r>
        <w:rPr>
          <w:rFonts w:hint="eastAsia" w:ascii="黑体" w:hAnsi="黑体" w:eastAsia="黑体"/>
          <w:sz w:val="30"/>
          <w:szCs w:val="30"/>
          <w:lang w:val="zh-TW" w:eastAsia="zh-TW"/>
        </w:rPr>
        <w:t>、课程收益</w:t>
      </w:r>
    </w:p>
    <w:p>
      <w:pPr>
        <w:adjustRightInd w:val="0"/>
        <w:snapToGrid w:val="0"/>
        <w:spacing w:line="600" w:lineRule="exact"/>
        <w:ind w:firstLine="600" w:firstLineChars="200"/>
        <w:rPr>
          <w:rFonts w:ascii="仿宋_GB2312" w:hAnsi="仿宋" w:eastAsia="仿宋_GB2312"/>
          <w:sz w:val="30"/>
          <w:szCs w:val="30"/>
        </w:rPr>
      </w:pPr>
      <w:bookmarkStart w:id="2" w:name="bookmark11"/>
      <w:r>
        <w:rPr>
          <w:rFonts w:ascii="仿宋_GB2312" w:hAnsi="仿宋" w:eastAsia="仿宋_GB2312"/>
          <w:color w:val="000000"/>
          <w:sz w:val="30"/>
          <w:szCs w:val="30"/>
        </w:rPr>
        <w:t>（</w:t>
      </w:r>
      <w:bookmarkEnd w:id="2"/>
      <w:r>
        <w:rPr>
          <w:rFonts w:ascii="仿宋_GB2312" w:hAnsi="仿宋" w:eastAsia="仿宋_GB2312"/>
          <w:color w:val="000000"/>
          <w:sz w:val="30"/>
          <w:szCs w:val="30"/>
        </w:rPr>
        <w:t>一）扩大视野，从不同视角把握企业改革发展的时代内涵，解决企业改革发展过程中问题和难点，激发创新活力，增强发展动力。</w:t>
      </w:r>
    </w:p>
    <w:p>
      <w:pPr>
        <w:adjustRightInd w:val="0"/>
        <w:snapToGrid w:val="0"/>
        <w:spacing w:line="600" w:lineRule="exact"/>
        <w:ind w:firstLine="600" w:firstLineChars="200"/>
        <w:rPr>
          <w:rFonts w:ascii="仿宋_GB2312" w:hAnsi="仿宋" w:eastAsia="仿宋_GB2312"/>
          <w:sz w:val="30"/>
          <w:szCs w:val="30"/>
        </w:rPr>
      </w:pPr>
      <w:bookmarkStart w:id="3" w:name="bookmark12"/>
      <w:r>
        <w:rPr>
          <w:rFonts w:ascii="仿宋_GB2312" w:hAnsi="仿宋" w:eastAsia="仿宋_GB2312"/>
          <w:color w:val="000000"/>
          <w:sz w:val="30"/>
          <w:szCs w:val="30"/>
        </w:rPr>
        <w:t>（</w:t>
      </w:r>
      <w:bookmarkEnd w:id="3"/>
      <w:r>
        <w:rPr>
          <w:rFonts w:ascii="仿宋_GB2312" w:hAnsi="仿宋" w:eastAsia="仿宋_GB2312"/>
          <w:color w:val="000000"/>
          <w:sz w:val="30"/>
          <w:szCs w:val="30"/>
        </w:rPr>
        <w:t>二）优化知识结构，培养专业能力、专业精神，综合提升战略管理、组织管理、运营管理、财务管理、科技管理、风险管理、人力资源管理、信息化管理能力。</w:t>
      </w:r>
    </w:p>
    <w:p>
      <w:pPr>
        <w:tabs>
          <w:tab w:val="left" w:pos="1534"/>
        </w:tabs>
        <w:adjustRightInd w:val="0"/>
        <w:snapToGrid w:val="0"/>
        <w:spacing w:line="600" w:lineRule="exact"/>
        <w:ind w:firstLine="600" w:firstLineChars="200"/>
        <w:rPr>
          <w:rFonts w:ascii="仿宋_GB2312" w:hAnsi="仿宋" w:eastAsia="仿宋_GB2312"/>
          <w:sz w:val="30"/>
          <w:szCs w:val="30"/>
        </w:rPr>
      </w:pPr>
      <w:bookmarkStart w:id="4" w:name="bookmark13"/>
      <w:r>
        <w:rPr>
          <w:rFonts w:ascii="仿宋_GB2312" w:hAnsi="仿宋" w:eastAsia="仿宋_GB2312"/>
          <w:color w:val="000000"/>
          <w:sz w:val="30"/>
          <w:szCs w:val="30"/>
        </w:rPr>
        <w:t>（</w:t>
      </w:r>
      <w:bookmarkEnd w:id="4"/>
      <w:r>
        <w:rPr>
          <w:rFonts w:ascii="仿宋_GB2312" w:hAnsi="仿宋" w:eastAsia="仿宋_GB2312"/>
          <w:color w:val="000000"/>
          <w:sz w:val="30"/>
          <w:szCs w:val="30"/>
        </w:rPr>
        <w:t>三）学习先进经验，结合案例，总结国有企业改革发展中出现的新情况、新问题，提出新观点、构建新理论，为企业发展提供可借鉴的操作。</w:t>
      </w:r>
    </w:p>
    <w:p>
      <w:pPr>
        <w:tabs>
          <w:tab w:val="left" w:pos="1520"/>
        </w:tabs>
        <w:adjustRightInd w:val="0"/>
        <w:snapToGrid w:val="0"/>
        <w:spacing w:line="600" w:lineRule="exact"/>
        <w:ind w:firstLine="600" w:firstLineChars="200"/>
        <w:rPr>
          <w:rFonts w:ascii="仿宋_GB2312" w:hAnsi="仿宋" w:eastAsia="仿宋_GB2312"/>
          <w:color w:val="000000"/>
          <w:sz w:val="30"/>
          <w:szCs w:val="30"/>
        </w:rPr>
      </w:pPr>
      <w:bookmarkStart w:id="5" w:name="bookmark14"/>
      <w:r>
        <w:rPr>
          <w:rFonts w:ascii="仿宋_GB2312" w:hAnsi="仿宋" w:eastAsia="仿宋_GB2312"/>
          <w:color w:val="000000"/>
          <w:sz w:val="30"/>
          <w:szCs w:val="30"/>
        </w:rPr>
        <w:t>（</w:t>
      </w:r>
      <w:bookmarkEnd w:id="5"/>
      <w:r>
        <w:rPr>
          <w:rFonts w:ascii="仿宋_GB2312" w:hAnsi="仿宋" w:eastAsia="仿宋_GB2312"/>
          <w:color w:val="000000"/>
          <w:sz w:val="30"/>
          <w:szCs w:val="30"/>
        </w:rPr>
        <w:t>四）深入企业交流学习，强化合作，搭建各企业间交流融合的平台。</w:t>
      </w:r>
    </w:p>
    <w:p>
      <w:pPr>
        <w:adjustRightInd w:val="0"/>
        <w:snapToGrid w:val="0"/>
        <w:spacing w:line="600" w:lineRule="exact"/>
        <w:ind w:firstLine="600" w:firstLineChars="200"/>
        <w:rPr>
          <w:rFonts w:ascii="黑体" w:hAnsi="黑体" w:eastAsia="黑体"/>
          <w:bCs/>
          <w:color w:val="000000"/>
          <w:sz w:val="30"/>
          <w:szCs w:val="30"/>
        </w:rPr>
      </w:pPr>
      <w:bookmarkStart w:id="6" w:name="bookmark15"/>
      <w:r>
        <w:rPr>
          <w:rFonts w:hint="eastAsia" w:ascii="黑体" w:hAnsi="黑体" w:eastAsia="黑体"/>
          <w:bCs/>
          <w:color w:val="000000"/>
          <w:sz w:val="30"/>
          <w:szCs w:val="30"/>
        </w:rPr>
        <w:t>三</w:t>
      </w:r>
      <w:bookmarkEnd w:id="6"/>
      <w:r>
        <w:rPr>
          <w:rFonts w:hint="eastAsia" w:ascii="黑体" w:hAnsi="黑体" w:eastAsia="黑体"/>
          <w:bCs/>
          <w:color w:val="000000"/>
          <w:sz w:val="30"/>
          <w:szCs w:val="30"/>
        </w:rPr>
        <w:t>、学习对象</w:t>
      </w:r>
    </w:p>
    <w:p>
      <w:pPr>
        <w:adjustRightInd w:val="0"/>
        <w:snapToGrid w:val="0"/>
        <w:spacing w:line="600" w:lineRule="exact"/>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国有企业高级经营管理人员（董事长、总经理、副总经理等）及其他高层人员；</w:t>
      </w:r>
    </w:p>
    <w:p>
      <w:pPr>
        <w:adjustRightInd w:val="0"/>
        <w:snapToGrid w:val="0"/>
        <w:spacing w:line="600" w:lineRule="exact"/>
        <w:ind w:firstLine="600" w:firstLineChars="200"/>
        <w:rPr>
          <w:rFonts w:ascii="仿宋_GB2312" w:hAnsi="仿宋" w:eastAsia="仿宋_GB2312" w:cs="宋体"/>
          <w:color w:val="000000"/>
          <w:sz w:val="30"/>
          <w:szCs w:val="30"/>
          <w:lang w:val="zh-TW" w:bidi="zh-TW"/>
        </w:rPr>
      </w:pPr>
      <w:r>
        <w:rPr>
          <w:rFonts w:ascii="仿宋_GB2312" w:hAnsi="仿宋" w:eastAsia="仿宋_GB2312" w:cs="宋体"/>
          <w:color w:val="000000"/>
          <w:sz w:val="30"/>
          <w:szCs w:val="30"/>
          <w:lang w:val="zh-TW" w:bidi="zh-TW"/>
        </w:rPr>
        <w:t>关注国有企业改革的</w:t>
      </w:r>
      <w:r>
        <w:rPr>
          <w:rFonts w:ascii="仿宋_GB2312" w:hAnsi="仿宋" w:eastAsia="仿宋_GB2312" w:cs="宋体"/>
          <w:color w:val="000000"/>
          <w:sz w:val="30"/>
          <w:szCs w:val="30"/>
          <w:lang w:val="zh-TW" w:eastAsia="zh-TW" w:bidi="zh-TW"/>
        </w:rPr>
        <w:t>民营企业董事长</w:t>
      </w:r>
      <w:r>
        <w:rPr>
          <w:rFonts w:ascii="仿宋_GB2312" w:hAnsi="仿宋" w:eastAsia="仿宋_GB2312" w:cs="宋体"/>
          <w:color w:val="000000"/>
          <w:sz w:val="30"/>
          <w:szCs w:val="30"/>
          <w:lang w:val="zh-TW" w:bidi="zh-TW"/>
        </w:rPr>
        <w:t>、</w:t>
      </w:r>
      <w:r>
        <w:rPr>
          <w:rFonts w:ascii="仿宋_GB2312" w:hAnsi="仿宋" w:eastAsia="仿宋_GB2312" w:cs="宋体"/>
          <w:color w:val="000000"/>
          <w:sz w:val="30"/>
          <w:szCs w:val="30"/>
          <w:lang w:val="zh-TW" w:eastAsia="zh-TW" w:bidi="zh-TW"/>
        </w:rPr>
        <w:t>总裁、总经理等高层管理人员</w:t>
      </w:r>
      <w:r>
        <w:rPr>
          <w:rFonts w:ascii="仿宋_GB2312" w:hAnsi="仿宋" w:eastAsia="仿宋_GB2312" w:cs="宋体"/>
          <w:color w:val="000000"/>
          <w:sz w:val="30"/>
          <w:szCs w:val="30"/>
          <w:lang w:val="zh-TW" w:bidi="zh-TW"/>
        </w:rPr>
        <w:t>，以及咨询、研究等机构人员。</w:t>
      </w:r>
    </w:p>
    <w:p>
      <w:pPr>
        <w:adjustRightInd w:val="0"/>
        <w:snapToGrid w:val="0"/>
        <w:spacing w:line="600" w:lineRule="exact"/>
        <w:ind w:firstLine="600" w:firstLineChars="200"/>
        <w:rPr>
          <w:rFonts w:ascii="黑体" w:hAnsi="黑体" w:eastAsia="黑体"/>
          <w:bCs/>
          <w:color w:val="000000"/>
          <w:sz w:val="30"/>
          <w:szCs w:val="30"/>
        </w:rPr>
      </w:pPr>
      <w:r>
        <w:rPr>
          <w:rFonts w:hint="eastAsia" w:ascii="黑体" w:hAnsi="黑体" w:eastAsia="黑体"/>
          <w:bCs/>
          <w:color w:val="000000"/>
          <w:sz w:val="30"/>
          <w:szCs w:val="30"/>
        </w:rPr>
        <w:t>四、时间地点</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rPr>
      </w:pPr>
      <w:r>
        <w:rPr>
          <w:rFonts w:hint="eastAsia" w:ascii="Times New Roman" w:hAnsi="Times New Roman" w:eastAsia="仿宋_GB2312" w:cs="Times New Roman"/>
          <w:color w:val="000000"/>
          <w:sz w:val="30"/>
          <w:szCs w:val="30"/>
          <w:lang w:val="zh-TW" w:eastAsia="zh-TW"/>
        </w:rPr>
        <w:t>2022年1</w:t>
      </w:r>
      <w:r>
        <w:rPr>
          <w:rFonts w:hint="eastAsia" w:ascii="Times New Roman" w:hAnsi="Times New Roman" w:eastAsia="仿宋_GB2312" w:cs="Times New Roman"/>
          <w:color w:val="000000"/>
          <w:sz w:val="30"/>
          <w:szCs w:val="30"/>
          <w:lang w:val="en-US" w:eastAsia="zh-CN"/>
        </w:rPr>
        <w:t>0</w:t>
      </w:r>
      <w:r>
        <w:rPr>
          <w:rFonts w:hint="eastAsia" w:ascii="Times New Roman" w:hAnsi="Times New Roman" w:eastAsia="仿宋_GB2312" w:cs="Times New Roman"/>
          <w:color w:val="000000"/>
          <w:sz w:val="30"/>
          <w:szCs w:val="30"/>
          <w:lang w:val="zh-TW" w:eastAsia="zh-TW"/>
        </w:rPr>
        <w:t>月</w:t>
      </w:r>
      <w:r>
        <w:rPr>
          <w:rFonts w:hint="eastAsia" w:ascii="Times New Roman" w:hAnsi="Times New Roman" w:eastAsia="仿宋_GB2312" w:cs="Times New Roman"/>
          <w:color w:val="000000"/>
          <w:sz w:val="30"/>
          <w:szCs w:val="30"/>
          <w:lang w:val="en-US" w:eastAsia="zh-CN"/>
        </w:rPr>
        <w:t>21</w:t>
      </w:r>
      <w:r>
        <w:rPr>
          <w:rFonts w:hint="eastAsia" w:ascii="Times New Roman" w:hAnsi="Times New Roman" w:eastAsia="仿宋_GB2312" w:cs="Times New Roman"/>
          <w:color w:val="000000"/>
          <w:sz w:val="30"/>
          <w:szCs w:val="30"/>
          <w:lang w:val="zh-TW" w:eastAsia="zh-TW"/>
        </w:rPr>
        <w:t>日—1</w:t>
      </w:r>
      <w:r>
        <w:rPr>
          <w:rFonts w:hint="eastAsia" w:ascii="Times New Roman" w:hAnsi="Times New Roman" w:eastAsia="仿宋_GB2312" w:cs="Times New Roman"/>
          <w:color w:val="000000"/>
          <w:sz w:val="30"/>
          <w:szCs w:val="30"/>
          <w:lang w:val="en-US" w:eastAsia="zh-CN"/>
        </w:rPr>
        <w:t>0</w:t>
      </w:r>
      <w:r>
        <w:rPr>
          <w:rFonts w:hint="eastAsia" w:ascii="Times New Roman" w:hAnsi="Times New Roman" w:eastAsia="仿宋_GB2312" w:cs="Times New Roman"/>
          <w:color w:val="000000"/>
          <w:sz w:val="30"/>
          <w:szCs w:val="30"/>
          <w:lang w:val="zh-TW" w:eastAsia="zh-TW"/>
        </w:rPr>
        <w:t>月</w:t>
      </w:r>
      <w:r>
        <w:rPr>
          <w:rFonts w:hint="eastAsia" w:ascii="Times New Roman" w:hAnsi="Times New Roman" w:eastAsia="仿宋_GB2312" w:cs="Times New Roman"/>
          <w:color w:val="000000"/>
          <w:sz w:val="30"/>
          <w:szCs w:val="30"/>
          <w:lang w:val="en-US" w:eastAsia="zh-CN"/>
        </w:rPr>
        <w:t>24</w:t>
      </w:r>
      <w:r>
        <w:rPr>
          <w:rFonts w:hint="eastAsia" w:ascii="Times New Roman" w:hAnsi="Times New Roman" w:eastAsia="仿宋_GB2312" w:cs="Times New Roman"/>
          <w:color w:val="000000"/>
          <w:sz w:val="30"/>
          <w:szCs w:val="30"/>
          <w:lang w:val="zh-TW" w:eastAsia="zh-TW"/>
        </w:rPr>
        <w:t xml:space="preserve">日 </w:t>
      </w:r>
      <w:r>
        <w:rPr>
          <w:rFonts w:hint="eastAsia" w:ascii="Times New Roman" w:hAnsi="Times New Roman" w:eastAsia="仿宋_GB2312" w:cs="Times New Roman"/>
          <w:color w:val="000000"/>
          <w:sz w:val="30"/>
          <w:szCs w:val="30"/>
          <w:lang w:val="en-US" w:eastAsia="zh-CN"/>
        </w:rPr>
        <w:t>成都</w:t>
      </w:r>
      <w:r>
        <w:rPr>
          <w:rFonts w:hint="eastAsia" w:ascii="Times New Roman" w:hAnsi="Times New Roman" w:eastAsia="仿宋_GB2312" w:cs="Times New Roman"/>
          <w:color w:val="000000"/>
          <w:sz w:val="30"/>
          <w:szCs w:val="30"/>
          <w:lang w:val="zh-TW" w:eastAsia="zh-TW"/>
        </w:rPr>
        <w:t>市（</w:t>
      </w:r>
      <w:r>
        <w:rPr>
          <w:rFonts w:hint="eastAsia" w:ascii="Times New Roman" w:hAnsi="Times New Roman" w:eastAsia="仿宋_GB2312" w:cs="Times New Roman"/>
          <w:color w:val="000000"/>
          <w:sz w:val="30"/>
          <w:szCs w:val="30"/>
          <w:lang w:val="en-US" w:eastAsia="zh-CN"/>
        </w:rPr>
        <w:t>21</w:t>
      </w:r>
      <w:r>
        <w:rPr>
          <w:rFonts w:hint="eastAsia" w:ascii="Times New Roman" w:hAnsi="Times New Roman" w:eastAsia="仿宋_GB2312" w:cs="Times New Roman"/>
          <w:color w:val="000000"/>
          <w:sz w:val="30"/>
          <w:szCs w:val="30"/>
          <w:lang w:val="zh-TW" w:eastAsia="zh-TW"/>
        </w:rPr>
        <w:t>日全天报到）</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rPr>
      </w:pPr>
      <w:r>
        <w:rPr>
          <w:rFonts w:hint="eastAsia" w:ascii="Times New Roman" w:hAnsi="Times New Roman" w:eastAsia="仿宋_GB2312" w:cs="Times New Roman"/>
          <w:color w:val="000000"/>
          <w:sz w:val="30"/>
          <w:szCs w:val="30"/>
          <w:lang w:val="zh-TW" w:eastAsia="zh-TW"/>
        </w:rPr>
        <w:t>2022年12月1</w:t>
      </w:r>
      <w:r>
        <w:rPr>
          <w:rFonts w:hint="eastAsia" w:ascii="Times New Roman" w:hAnsi="Times New Roman" w:eastAsia="仿宋_GB2312" w:cs="Times New Roman"/>
          <w:color w:val="000000"/>
          <w:sz w:val="30"/>
          <w:szCs w:val="30"/>
          <w:lang w:val="en-US" w:eastAsia="zh-CN"/>
        </w:rPr>
        <w:t>5</w:t>
      </w:r>
      <w:r>
        <w:rPr>
          <w:rFonts w:hint="eastAsia" w:ascii="Times New Roman" w:hAnsi="Times New Roman" w:eastAsia="仿宋_GB2312" w:cs="Times New Roman"/>
          <w:color w:val="000000"/>
          <w:sz w:val="30"/>
          <w:szCs w:val="30"/>
          <w:lang w:val="zh-TW" w:eastAsia="zh-TW"/>
        </w:rPr>
        <w:t>日—12月1</w:t>
      </w:r>
      <w:r>
        <w:rPr>
          <w:rFonts w:hint="eastAsia" w:ascii="Times New Roman" w:hAnsi="Times New Roman" w:eastAsia="仿宋_GB2312" w:cs="Times New Roman"/>
          <w:color w:val="000000"/>
          <w:sz w:val="30"/>
          <w:szCs w:val="30"/>
          <w:lang w:val="en-US" w:eastAsia="zh-CN"/>
        </w:rPr>
        <w:t>9</w:t>
      </w:r>
      <w:r>
        <w:rPr>
          <w:rFonts w:hint="eastAsia" w:ascii="Times New Roman" w:hAnsi="Times New Roman" w:eastAsia="仿宋_GB2312" w:cs="Times New Roman"/>
          <w:color w:val="000000"/>
          <w:sz w:val="30"/>
          <w:szCs w:val="30"/>
          <w:lang w:val="zh-TW" w:eastAsia="zh-TW"/>
        </w:rPr>
        <w:t xml:space="preserve">日 </w:t>
      </w:r>
      <w:r>
        <w:rPr>
          <w:rFonts w:hint="eastAsia" w:ascii="Times New Roman" w:hAnsi="Times New Roman" w:eastAsia="仿宋_GB2312" w:cs="Times New Roman"/>
          <w:color w:val="000000"/>
          <w:sz w:val="30"/>
          <w:szCs w:val="30"/>
          <w:lang w:val="en-US" w:eastAsia="zh-CN"/>
        </w:rPr>
        <w:t>厦门</w:t>
      </w:r>
      <w:r>
        <w:rPr>
          <w:rFonts w:hint="eastAsia" w:ascii="Times New Roman" w:hAnsi="Times New Roman" w:eastAsia="仿宋_GB2312" w:cs="Times New Roman"/>
          <w:color w:val="000000"/>
          <w:sz w:val="30"/>
          <w:szCs w:val="30"/>
          <w:lang w:val="zh-TW" w:eastAsia="zh-TW"/>
        </w:rPr>
        <w:t>市（1</w:t>
      </w:r>
      <w:r>
        <w:rPr>
          <w:rFonts w:hint="eastAsia" w:ascii="Times New Roman" w:hAnsi="Times New Roman" w:eastAsia="仿宋_GB2312" w:cs="Times New Roman"/>
          <w:color w:val="000000"/>
          <w:sz w:val="30"/>
          <w:szCs w:val="30"/>
          <w:lang w:val="en-US" w:eastAsia="zh-CN"/>
        </w:rPr>
        <w:t>5</w:t>
      </w:r>
      <w:r>
        <w:rPr>
          <w:rFonts w:hint="eastAsia" w:ascii="Times New Roman" w:hAnsi="Times New Roman" w:eastAsia="仿宋_GB2312" w:cs="Times New Roman"/>
          <w:color w:val="000000"/>
          <w:sz w:val="30"/>
          <w:szCs w:val="30"/>
          <w:lang w:val="zh-TW" w:eastAsia="zh-TW"/>
        </w:rPr>
        <w:t>日全天报到）</w:t>
      </w:r>
    </w:p>
    <w:p>
      <w:pPr>
        <w:adjustRightInd w:val="0"/>
        <w:snapToGrid w:val="0"/>
        <w:spacing w:line="600" w:lineRule="exact"/>
        <w:ind w:firstLine="600" w:firstLineChars="200"/>
        <w:rPr>
          <w:rFonts w:ascii="黑体" w:hAnsi="黑体" w:eastAsia="黑体"/>
          <w:bCs/>
          <w:color w:val="000000"/>
          <w:sz w:val="30"/>
          <w:szCs w:val="30"/>
        </w:rPr>
      </w:pPr>
      <w:r>
        <w:rPr>
          <w:rFonts w:hint="eastAsia" w:ascii="黑体" w:hAnsi="黑体" w:eastAsia="黑体"/>
          <w:bCs/>
          <w:color w:val="000000"/>
          <w:sz w:val="30"/>
          <w:szCs w:val="30"/>
        </w:rPr>
        <w:t>五、课程特点</w:t>
      </w:r>
    </w:p>
    <w:p>
      <w:pPr>
        <w:adjustRightInd w:val="0"/>
        <w:snapToGrid w:val="0"/>
        <w:spacing w:line="600" w:lineRule="exact"/>
        <w:ind w:firstLine="600" w:firstLineChars="200"/>
        <w:rPr>
          <w:rFonts w:ascii="仿宋_GB2312" w:hAnsi="仿宋" w:eastAsia="仿宋_GB2312"/>
          <w:color w:val="000000"/>
          <w:sz w:val="30"/>
          <w:szCs w:val="30"/>
        </w:rPr>
      </w:pPr>
      <w:r>
        <w:rPr>
          <w:rFonts w:ascii="仿宋_GB2312" w:hAnsi="仿宋" w:eastAsia="仿宋_GB2312"/>
          <w:color w:val="000000"/>
          <w:sz w:val="30"/>
          <w:szCs w:val="30"/>
          <w:lang w:val="zh-TW" w:eastAsia="zh-TW" w:bidi="zh-TW"/>
        </w:rPr>
        <w:t>（</w:t>
      </w:r>
      <w:r>
        <w:rPr>
          <w:rFonts w:hint="eastAsia" w:ascii="仿宋_GB2312" w:hAnsi="仿宋" w:eastAsia="仿宋_GB2312"/>
          <w:color w:val="000000"/>
          <w:sz w:val="30"/>
          <w:szCs w:val="30"/>
          <w:lang w:val="zh-TW" w:eastAsia="zh-TW"/>
        </w:rPr>
        <w:t>一）课程设置</w:t>
      </w:r>
    </w:p>
    <w:p>
      <w:pPr>
        <w:adjustRightInd w:val="0"/>
        <w:snapToGrid w:val="0"/>
        <w:spacing w:line="600" w:lineRule="exact"/>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在涵盖与企业经营管理密切相关学科的最新理论和理念的同时</w:t>
      </w:r>
      <w:r>
        <w:rPr>
          <w:rFonts w:ascii="仿宋_GB2312" w:hAnsi="仿宋" w:eastAsia="仿宋_GB2312"/>
          <w:color w:val="000000"/>
          <w:sz w:val="30"/>
          <w:szCs w:val="30"/>
        </w:rPr>
        <w:t>,</w:t>
      </w:r>
      <w:r>
        <w:rPr>
          <w:rFonts w:hint="eastAsia" w:ascii="仿宋_GB2312" w:hAnsi="仿宋" w:eastAsia="仿宋_GB2312"/>
          <w:color w:val="000000"/>
          <w:sz w:val="30"/>
          <w:szCs w:val="30"/>
        </w:rPr>
        <w:t>尤其突出了企业经营管理实战所需素质与技能的培训和训练。以加强管理体系和管理能力建设为主线，有针对性地采取务实管用的课程设置有效促进企业经营管理人员管理水平提升。</w:t>
      </w:r>
    </w:p>
    <w:p>
      <w:pPr>
        <w:adjustRightInd w:val="0"/>
        <w:snapToGrid w:val="0"/>
        <w:spacing w:line="600" w:lineRule="exact"/>
        <w:ind w:firstLine="600" w:firstLineChars="200"/>
        <w:rPr>
          <w:rFonts w:ascii="仿宋_GB2312" w:hAnsi="仿宋" w:eastAsia="仿宋_GB2312"/>
          <w:color w:val="000000"/>
          <w:sz w:val="30"/>
          <w:szCs w:val="30"/>
        </w:rPr>
      </w:pPr>
      <w:bookmarkStart w:id="7" w:name="bookmark16"/>
      <w:r>
        <w:rPr>
          <w:rFonts w:hint="eastAsia" w:ascii="仿宋_GB2312" w:hAnsi="仿宋" w:eastAsia="仿宋_GB2312"/>
          <w:color w:val="000000"/>
          <w:sz w:val="30"/>
          <w:szCs w:val="30"/>
        </w:rPr>
        <w:t>（</w:t>
      </w:r>
      <w:bookmarkEnd w:id="7"/>
      <w:r>
        <w:rPr>
          <w:rFonts w:hint="eastAsia" w:ascii="仿宋_GB2312" w:hAnsi="仿宋" w:eastAsia="仿宋_GB2312"/>
          <w:color w:val="000000"/>
          <w:sz w:val="30"/>
          <w:szCs w:val="30"/>
        </w:rPr>
        <w:t>二）师资配备</w:t>
      </w:r>
    </w:p>
    <w:p>
      <w:pPr>
        <w:adjustRightInd w:val="0"/>
        <w:snapToGrid w:val="0"/>
        <w:spacing w:line="600" w:lineRule="exact"/>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课程将整合众多专家教授以及相关领域顶尖学者、政界智囊和商界领袖等一流师资授课。</w:t>
      </w:r>
    </w:p>
    <w:p>
      <w:pPr>
        <w:adjustRightInd w:val="0"/>
        <w:snapToGrid w:val="0"/>
        <w:spacing w:line="600" w:lineRule="exact"/>
        <w:ind w:firstLine="600" w:firstLineChars="200"/>
        <w:rPr>
          <w:rFonts w:ascii="仿宋_GB2312" w:hAnsi="仿宋" w:eastAsia="仿宋_GB2312"/>
          <w:color w:val="000000"/>
          <w:sz w:val="30"/>
          <w:szCs w:val="30"/>
        </w:rPr>
      </w:pPr>
      <w:bookmarkStart w:id="8" w:name="bookmark17"/>
      <w:r>
        <w:rPr>
          <w:rFonts w:hint="eastAsia" w:ascii="仿宋_GB2312" w:hAnsi="仿宋" w:eastAsia="仿宋_GB2312"/>
          <w:color w:val="000000"/>
          <w:sz w:val="30"/>
          <w:szCs w:val="30"/>
        </w:rPr>
        <w:t>（</w:t>
      </w:r>
      <w:bookmarkEnd w:id="8"/>
      <w:r>
        <w:rPr>
          <w:rFonts w:hint="eastAsia" w:ascii="仿宋_GB2312" w:hAnsi="仿宋" w:eastAsia="仿宋_GB2312"/>
          <w:color w:val="000000"/>
          <w:sz w:val="30"/>
          <w:szCs w:val="30"/>
        </w:rPr>
        <w:t>三）研修形式</w:t>
      </w:r>
    </w:p>
    <w:p>
      <w:pPr>
        <w:adjustRightInd w:val="0"/>
        <w:snapToGrid w:val="0"/>
        <w:spacing w:line="600" w:lineRule="exact"/>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综合运用理论授课、现场教学、结构化研讨、企业互访等多种教学方式。每期研修班将在当地选择业态创新，管理独特的企业，带领学员深入企业进行交流，搭建促进相互发展的交流与合作平台。</w:t>
      </w:r>
    </w:p>
    <w:p>
      <w:pPr>
        <w:adjustRightInd w:val="0"/>
        <w:snapToGrid w:val="0"/>
        <w:spacing w:line="600" w:lineRule="exact"/>
        <w:ind w:firstLine="600" w:firstLineChars="200"/>
        <w:rPr>
          <w:rFonts w:ascii="仿宋_GB2312" w:hAnsi="仿宋" w:eastAsia="仿宋_GB2312"/>
          <w:color w:val="000000"/>
          <w:sz w:val="30"/>
          <w:szCs w:val="30"/>
        </w:rPr>
      </w:pPr>
      <w:bookmarkStart w:id="9" w:name="bookmark18"/>
      <w:r>
        <w:rPr>
          <w:rFonts w:hint="eastAsia" w:ascii="仿宋_GB2312" w:hAnsi="仿宋" w:eastAsia="仿宋_GB2312"/>
          <w:color w:val="000000"/>
          <w:sz w:val="30"/>
          <w:szCs w:val="30"/>
        </w:rPr>
        <w:t>（</w:t>
      </w:r>
      <w:bookmarkEnd w:id="9"/>
      <w:r>
        <w:rPr>
          <w:rFonts w:hint="eastAsia" w:ascii="仿宋_GB2312" w:hAnsi="仿宋" w:eastAsia="仿宋_GB2312"/>
          <w:color w:val="000000"/>
          <w:sz w:val="30"/>
          <w:szCs w:val="30"/>
        </w:rPr>
        <w:t>四）研修组织</w:t>
      </w:r>
    </w:p>
    <w:p>
      <w:pPr>
        <w:adjustRightInd w:val="0"/>
        <w:snapToGrid w:val="0"/>
        <w:spacing w:line="600" w:lineRule="exact"/>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一次性支付研修费用后，即可参加全年的培训课程，节省了参训学员的时间和精力。企业也可根据每期课程内容的安排，选择相应岗位的人员参加培训，提高培训的针对性，降低企业开展培训的采购成本。</w:t>
      </w:r>
    </w:p>
    <w:p>
      <w:pPr>
        <w:adjustRightInd w:val="0"/>
        <w:snapToGrid w:val="0"/>
        <w:spacing w:line="600" w:lineRule="exact"/>
        <w:rPr>
          <w:rFonts w:hint="eastAsia" w:ascii="仿宋_GB2312" w:hAnsi="仿宋" w:eastAsia="仿宋_GB2312"/>
          <w:color w:val="000000"/>
          <w:sz w:val="30"/>
          <w:szCs w:val="30"/>
        </w:rPr>
      </w:pPr>
    </w:p>
    <w:p>
      <w:pPr>
        <w:adjustRightInd w:val="0"/>
        <w:snapToGrid w:val="0"/>
        <w:spacing w:line="600" w:lineRule="exact"/>
        <w:ind w:firstLine="600" w:firstLineChars="200"/>
        <w:rPr>
          <w:rFonts w:ascii="黑体" w:hAnsi="黑体" w:eastAsia="黑体"/>
          <w:bCs/>
          <w:color w:val="000000"/>
          <w:sz w:val="30"/>
          <w:szCs w:val="30"/>
        </w:rPr>
      </w:pPr>
      <w:r>
        <w:rPr>
          <w:rFonts w:hint="eastAsia" w:ascii="黑体" w:hAnsi="黑体" w:eastAsia="黑体"/>
          <w:bCs/>
          <w:color w:val="000000"/>
          <w:sz w:val="30"/>
          <w:szCs w:val="30"/>
        </w:rPr>
        <w:t>六、课程计划</w:t>
      </w:r>
    </w:p>
    <w:p>
      <w:pPr>
        <w:adjustRightInd w:val="0"/>
        <w:snapToGrid w:val="0"/>
        <w:ind w:firstLine="600" w:firstLineChars="200"/>
        <w:rPr>
          <w:rFonts w:ascii="黑体" w:hAnsi="黑体" w:eastAsia="黑体"/>
          <w:bCs/>
          <w:color w:val="000000"/>
          <w:sz w:val="30"/>
          <w:szCs w:val="30"/>
        </w:rPr>
      </w:pPr>
    </w:p>
    <w:tbl>
      <w:tblPr>
        <w:tblStyle w:val="7"/>
        <w:tblW w:w="9816"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2"/>
        <w:gridCol w:w="6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2892" w:type="dxa"/>
            <w:tcBorders>
              <w:top w:val="single" w:color="auto" w:sz="4" w:space="0"/>
              <w:left w:val="single" w:color="auto" w:sz="4" w:space="0"/>
              <w:right w:val="single" w:color="auto" w:sz="4" w:space="0"/>
            </w:tcBorders>
            <w:vAlign w:val="center"/>
          </w:tcPr>
          <w:p>
            <w:pPr>
              <w:pStyle w:val="3"/>
              <w:spacing w:before="100" w:beforeAutospacing="1" w:line="30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课程模块</w:t>
            </w:r>
          </w:p>
        </w:tc>
        <w:tc>
          <w:tcPr>
            <w:tcW w:w="6924" w:type="dxa"/>
            <w:tcBorders>
              <w:top w:val="single" w:color="auto" w:sz="4" w:space="0"/>
              <w:left w:val="single" w:color="auto" w:sz="4" w:space="0"/>
              <w:right w:val="single" w:color="auto" w:sz="4" w:space="0"/>
            </w:tcBorders>
            <w:vAlign w:val="center"/>
          </w:tcPr>
          <w:p>
            <w:pPr>
              <w:pStyle w:val="3"/>
              <w:spacing w:before="100" w:beforeAutospacing="1" w:line="30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2" w:hRule="atLeast"/>
        </w:trPr>
        <w:tc>
          <w:tcPr>
            <w:tcW w:w="2892" w:type="dxa"/>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6665"/>
                <w:tab w:val="left" w:pos="7328"/>
                <w:tab w:val="left" w:pos="8244"/>
                <w:tab w:val="left" w:pos="9160"/>
                <w:tab w:val="left" w:pos="10076"/>
                <w:tab w:val="left" w:pos="10992"/>
                <w:tab w:val="left" w:pos="11908"/>
                <w:tab w:val="left" w:pos="12824"/>
                <w:tab w:val="left" w:pos="13740"/>
                <w:tab w:val="left" w:pos="14656"/>
              </w:tabs>
              <w:spacing w:before="100" w:beforeAutospacing="1" w:line="300" w:lineRule="exact"/>
              <w:ind w:left="8960" w:hanging="8960" w:hangingChars="3200"/>
              <w:jc w:val="center"/>
              <w:rPr>
                <w:rFonts w:ascii="Times New Roman" w:hAnsi="Times New Roman" w:eastAsia="仿宋_GB2312" w:cs="Times New Roman"/>
                <w:b/>
                <w:sz w:val="28"/>
                <w:szCs w:val="28"/>
              </w:rPr>
            </w:pPr>
            <w:r>
              <w:rPr>
                <w:rFonts w:ascii="Times New Roman" w:hAnsi="Times New Roman" w:eastAsia="仿宋_GB2312" w:cs="Times New Roman"/>
                <w:color w:val="000000"/>
                <w:sz w:val="28"/>
                <w:szCs w:val="28"/>
              </w:rPr>
              <w:t>国企改革政策解读</w:t>
            </w:r>
          </w:p>
        </w:tc>
        <w:tc>
          <w:tcPr>
            <w:tcW w:w="6924" w:type="dxa"/>
            <w:tcBorders>
              <w:top w:val="single" w:color="auto" w:sz="4" w:space="0"/>
              <w:left w:val="single" w:color="auto" w:sz="4" w:space="0"/>
              <w:right w:val="single" w:color="auto" w:sz="4" w:space="0"/>
            </w:tcBorders>
            <w:vAlign w:val="center"/>
          </w:tcPr>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习近平总书记关于国企改革的重要论述；</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十四五</w:t>
            </w:r>
            <w:r>
              <w:rPr>
                <w:rFonts w:hint="eastAsia" w:ascii="Times New Roman" w:hAnsi="Times New Roman" w:eastAsia="仿宋_GB2312" w:cs="Times New Roman"/>
                <w:bCs/>
                <w:sz w:val="28"/>
                <w:szCs w:val="28"/>
              </w:rPr>
              <w:t>”</w:t>
            </w:r>
            <w:r>
              <w:rPr>
                <w:rFonts w:ascii="Times New Roman" w:hAnsi="Times New Roman" w:eastAsia="仿宋_GB2312" w:cs="Times New Roman"/>
                <w:bCs/>
                <w:sz w:val="28"/>
                <w:szCs w:val="28"/>
              </w:rPr>
              <w:t>时期我国宏观经济形势分析；</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中央经济工作会议解读；</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4.</w:t>
            </w:r>
            <w:r>
              <w:rPr>
                <w:rFonts w:hint="eastAsia" w:ascii="Times New Roman" w:hAnsi="Times New Roman" w:eastAsia="仿宋_GB2312" w:cs="Times New Roman"/>
                <w:bCs/>
                <w:sz w:val="28"/>
                <w:szCs w:val="28"/>
              </w:rPr>
              <w:t xml:space="preserve"> </w:t>
            </w:r>
            <w:r>
              <w:rPr>
                <w:rFonts w:hint="eastAsia" w:ascii="Times New Roman" w:hAnsi="Times New Roman" w:eastAsia="仿宋_GB2312" w:cs="Times New Roman"/>
                <w:bCs/>
                <w:sz w:val="28"/>
                <w:szCs w:val="28"/>
                <w:lang w:val="zh-CN"/>
              </w:rPr>
              <w:t>“</w:t>
            </w:r>
            <w:r>
              <w:rPr>
                <w:rFonts w:ascii="Times New Roman" w:hAnsi="Times New Roman" w:eastAsia="仿宋_GB2312" w:cs="Times New Roman"/>
                <w:bCs/>
                <w:sz w:val="28"/>
                <w:szCs w:val="28"/>
                <w:lang w:val="zh-CN"/>
              </w:rPr>
              <w:t>十</w:t>
            </w:r>
            <w:r>
              <w:rPr>
                <w:rFonts w:ascii="Times New Roman" w:hAnsi="Times New Roman" w:eastAsia="仿宋_GB2312" w:cs="Times New Roman"/>
                <w:bCs/>
                <w:sz w:val="28"/>
                <w:szCs w:val="28"/>
              </w:rPr>
              <w:t>四五</w:t>
            </w:r>
            <w:r>
              <w:rPr>
                <w:rFonts w:hint="eastAsia" w:ascii="Times New Roman" w:hAnsi="Times New Roman" w:eastAsia="仿宋_GB2312" w:cs="Times New Roman"/>
                <w:bCs/>
                <w:sz w:val="28"/>
                <w:szCs w:val="28"/>
                <w:lang w:val="zh-CN"/>
              </w:rPr>
              <w:t>”</w:t>
            </w:r>
            <w:r>
              <w:rPr>
                <w:rFonts w:ascii="Times New Roman" w:hAnsi="Times New Roman" w:eastAsia="仿宋_GB2312" w:cs="Times New Roman"/>
                <w:bCs/>
                <w:sz w:val="28"/>
                <w:szCs w:val="28"/>
              </w:rPr>
              <w:t>时期国资布局态势研判与地方国企改革重难点分析；</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5.</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双循环下的新业态新经济发展趋势。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2892" w:type="dxa"/>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6665"/>
                <w:tab w:val="left" w:pos="7328"/>
                <w:tab w:val="left" w:pos="8244"/>
                <w:tab w:val="left" w:pos="9160"/>
                <w:tab w:val="left" w:pos="10076"/>
                <w:tab w:val="left" w:pos="10992"/>
                <w:tab w:val="left" w:pos="11908"/>
                <w:tab w:val="left" w:pos="12824"/>
                <w:tab w:val="left" w:pos="13740"/>
                <w:tab w:val="left" w:pos="14656"/>
              </w:tabs>
              <w:spacing w:before="100" w:beforeAutospacing="1" w:line="300" w:lineRule="exact"/>
              <w:ind w:left="8960" w:hanging="8960" w:hangingChars="320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环境与战略创新</w:t>
            </w:r>
          </w:p>
        </w:tc>
        <w:tc>
          <w:tcPr>
            <w:tcW w:w="6924" w:type="dxa"/>
            <w:tcBorders>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经济政策分析；</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国企改革与混合所有制；</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企业战略与核心竞争力；</w:t>
            </w:r>
          </w:p>
          <w:p>
            <w:pPr>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bCs/>
                <w:sz w:val="28"/>
                <w:szCs w:val="28"/>
              </w:rPr>
              <w:t>4.</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战略新思维。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trPr>
        <w:tc>
          <w:tcPr>
            <w:tcW w:w="2892" w:type="dxa"/>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6665"/>
                <w:tab w:val="left" w:pos="7328"/>
                <w:tab w:val="left" w:pos="8244"/>
                <w:tab w:val="left" w:pos="9160"/>
                <w:tab w:val="left" w:pos="10076"/>
                <w:tab w:val="left" w:pos="10992"/>
                <w:tab w:val="left" w:pos="11908"/>
                <w:tab w:val="left" w:pos="12824"/>
                <w:tab w:val="left" w:pos="13740"/>
                <w:tab w:val="left" w:pos="14656"/>
              </w:tabs>
              <w:spacing w:before="100" w:beforeAutospacing="1" w:line="300" w:lineRule="exact"/>
              <w:ind w:left="8960" w:hanging="8960" w:hangingChars="3200"/>
              <w:jc w:val="center"/>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营销与品牌策略</w:t>
            </w:r>
          </w:p>
        </w:tc>
        <w:tc>
          <w:tcPr>
            <w:tcW w:w="692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 xml:space="preserve">1. </w:t>
            </w:r>
            <w:r>
              <w:rPr>
                <w:rFonts w:ascii="Times New Roman" w:hAnsi="Times New Roman" w:eastAsia="仿宋_GB2312" w:cs="Times New Roman"/>
                <w:bCs/>
                <w:sz w:val="28"/>
                <w:szCs w:val="28"/>
              </w:rPr>
              <w:t>营销环境分析；</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消费行为与产品策略；</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品牌的塑造与传播；</w:t>
            </w:r>
          </w:p>
          <w:p>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4.</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品牌战略与企业竞争</w:t>
            </w:r>
            <w:r>
              <w:rPr>
                <w:rFonts w:ascii="Times New Roman" w:hAnsi="Times New Roman" w:eastAsia="仿宋_GB2312" w:cs="Times New Roman"/>
                <w:sz w:val="28"/>
                <w:szCs w:val="28"/>
              </w:rPr>
              <w:t>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2892" w:type="dxa"/>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6665"/>
                <w:tab w:val="left" w:pos="7328"/>
                <w:tab w:val="left" w:pos="8244"/>
                <w:tab w:val="left" w:pos="9160"/>
                <w:tab w:val="left" w:pos="10076"/>
                <w:tab w:val="left" w:pos="10992"/>
                <w:tab w:val="left" w:pos="11908"/>
                <w:tab w:val="left" w:pos="12824"/>
                <w:tab w:val="left" w:pos="13740"/>
                <w:tab w:val="left" w:pos="14656"/>
              </w:tabs>
              <w:spacing w:before="100" w:beforeAutospacing="1" w:line="300" w:lineRule="exact"/>
              <w:ind w:left="8960" w:hanging="8960" w:hangingChars="3200"/>
              <w:jc w:val="center"/>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非财务人员财务管理</w:t>
            </w:r>
          </w:p>
        </w:tc>
        <w:tc>
          <w:tcPr>
            <w:tcW w:w="692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财务报表阅读与分析；</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财务报表与企业管理问题；</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预算与成本控制；</w:t>
            </w:r>
          </w:p>
          <w:p>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4.</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企业发展过程中的资金配置。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0" w:hRule="atLeast"/>
        </w:trPr>
        <w:tc>
          <w:tcPr>
            <w:tcW w:w="2892" w:type="dxa"/>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6665"/>
                <w:tab w:val="left" w:pos="7328"/>
                <w:tab w:val="left" w:pos="8244"/>
                <w:tab w:val="left" w:pos="9160"/>
                <w:tab w:val="left" w:pos="10076"/>
                <w:tab w:val="left" w:pos="10992"/>
                <w:tab w:val="left" w:pos="11908"/>
                <w:tab w:val="left" w:pos="12824"/>
                <w:tab w:val="left" w:pos="13740"/>
                <w:tab w:val="left" w:pos="14656"/>
              </w:tabs>
              <w:spacing w:before="100" w:beforeAutospacing="1" w:line="300" w:lineRule="exact"/>
              <w:ind w:left="8960" w:hanging="8960" w:hangingChars="3200"/>
              <w:jc w:val="center"/>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人力资源战略管理</w:t>
            </w:r>
          </w:p>
        </w:tc>
        <w:tc>
          <w:tcPr>
            <w:tcW w:w="692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企业战略与人力资源规划设计；</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绩效管理与激励；</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岗位设计与工作分析；</w:t>
            </w:r>
          </w:p>
          <w:p>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4.</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培训体系建设与职业生涯规划。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3" w:hRule="atLeast"/>
        </w:trPr>
        <w:tc>
          <w:tcPr>
            <w:tcW w:w="2892" w:type="dxa"/>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6665"/>
                <w:tab w:val="left" w:pos="7328"/>
                <w:tab w:val="left" w:pos="8244"/>
                <w:tab w:val="left" w:pos="9160"/>
                <w:tab w:val="left" w:pos="10076"/>
                <w:tab w:val="left" w:pos="10992"/>
                <w:tab w:val="left" w:pos="11908"/>
                <w:tab w:val="left" w:pos="12824"/>
                <w:tab w:val="left" w:pos="13740"/>
                <w:tab w:val="left" w:pos="14656"/>
              </w:tabs>
              <w:spacing w:before="100" w:beforeAutospacing="1" w:line="300" w:lineRule="exact"/>
              <w:ind w:left="8960" w:hanging="8960" w:hangingChars="3200"/>
              <w:jc w:val="center"/>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企业纳税筹划</w:t>
            </w:r>
          </w:p>
        </w:tc>
        <w:tc>
          <w:tcPr>
            <w:tcW w:w="692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税收政策解读；</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纳税筹划中的风险控制；</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纳税筹划方案设计；</w:t>
            </w:r>
          </w:p>
          <w:p>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4.</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案例解析。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trPr>
        <w:tc>
          <w:tcPr>
            <w:tcW w:w="2892" w:type="dxa"/>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6665"/>
                <w:tab w:val="left" w:pos="7328"/>
                <w:tab w:val="left" w:pos="8244"/>
                <w:tab w:val="left" w:pos="9160"/>
                <w:tab w:val="left" w:pos="10076"/>
                <w:tab w:val="left" w:pos="10992"/>
                <w:tab w:val="left" w:pos="11908"/>
                <w:tab w:val="left" w:pos="12824"/>
                <w:tab w:val="left" w:pos="13740"/>
                <w:tab w:val="left" w:pos="14656"/>
              </w:tabs>
              <w:spacing w:before="100" w:beforeAutospacing="1" w:line="300" w:lineRule="exact"/>
              <w:ind w:left="8960" w:hanging="8960" w:hangingChars="3200"/>
              <w:jc w:val="center"/>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企业常见法务问题解析</w:t>
            </w:r>
          </w:p>
        </w:tc>
        <w:tc>
          <w:tcPr>
            <w:tcW w:w="692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1.</w:t>
            </w:r>
            <w:r>
              <w:rPr>
                <w:rFonts w:ascii="Times New Roman" w:hAnsi="Times New Roman" w:eastAsia="仿宋_GB2312" w:cs="Times New Roman"/>
                <w:bCs/>
                <w:sz w:val="28"/>
                <w:szCs w:val="28"/>
              </w:rPr>
              <w:t>《合同法》；</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2.《知识产权法》；</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3.《劳动合同法》；</w:t>
            </w:r>
          </w:p>
          <w:p>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4.</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常见案例解析。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trPr>
        <w:tc>
          <w:tcPr>
            <w:tcW w:w="2892" w:type="dxa"/>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6665"/>
                <w:tab w:val="left" w:pos="7328"/>
                <w:tab w:val="left" w:pos="8244"/>
                <w:tab w:val="left" w:pos="9160"/>
                <w:tab w:val="left" w:pos="10076"/>
                <w:tab w:val="left" w:pos="10992"/>
                <w:tab w:val="left" w:pos="11908"/>
                <w:tab w:val="left" w:pos="12824"/>
                <w:tab w:val="left" w:pos="13740"/>
                <w:tab w:val="left" w:pos="14656"/>
              </w:tabs>
              <w:spacing w:before="100" w:beforeAutospacing="1" w:line="300" w:lineRule="exact"/>
              <w:ind w:left="8960" w:hanging="8960" w:hangingChars="3200"/>
              <w:jc w:val="center"/>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领导力与团队建设</w:t>
            </w:r>
          </w:p>
        </w:tc>
        <w:tc>
          <w:tcPr>
            <w:tcW w:w="692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管理者领导力提升；</w:t>
            </w:r>
          </w:p>
          <w:p>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2.</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组织文化与团队精神；</w:t>
            </w:r>
          </w:p>
          <w:p>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3.</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有效沟通与激励；</w:t>
            </w:r>
          </w:p>
          <w:p>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4.</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团队管理模式。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3" w:hRule="atLeast"/>
        </w:trPr>
        <w:tc>
          <w:tcPr>
            <w:tcW w:w="2892" w:type="dxa"/>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6665"/>
                <w:tab w:val="left" w:pos="7328"/>
                <w:tab w:val="left" w:pos="8244"/>
                <w:tab w:val="left" w:pos="9160"/>
                <w:tab w:val="left" w:pos="10076"/>
                <w:tab w:val="left" w:pos="10992"/>
                <w:tab w:val="left" w:pos="11908"/>
                <w:tab w:val="left" w:pos="12824"/>
                <w:tab w:val="left" w:pos="13740"/>
                <w:tab w:val="left" w:pos="14656"/>
              </w:tabs>
              <w:spacing w:before="100" w:beforeAutospacing="1" w:line="300" w:lineRule="exact"/>
              <w:ind w:left="8960" w:hanging="8960" w:hangingChars="3200"/>
              <w:jc w:val="center"/>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项目管理</w:t>
            </w:r>
          </w:p>
        </w:tc>
        <w:tc>
          <w:tcPr>
            <w:tcW w:w="6924" w:type="dxa"/>
            <w:tcBorders>
              <w:top w:val="single" w:color="auto" w:sz="4" w:space="0"/>
              <w:left w:val="single" w:color="auto" w:sz="4" w:space="0"/>
              <w:right w:val="single" w:color="auto" w:sz="4" w:space="0"/>
            </w:tcBorders>
            <w:vAlign w:val="center"/>
          </w:tcPr>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项目评估与总结；</w:t>
            </w:r>
          </w:p>
          <w:p>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2.</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项目管理中的成本管理；</w:t>
            </w:r>
          </w:p>
          <w:p>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3.</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项目风险识别和控制；</w:t>
            </w:r>
          </w:p>
          <w:p>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4.</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项目管理过程中的任务分解。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6" w:hRule="atLeast"/>
        </w:trPr>
        <w:tc>
          <w:tcPr>
            <w:tcW w:w="2892" w:type="dxa"/>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6665"/>
                <w:tab w:val="left" w:pos="7328"/>
                <w:tab w:val="left" w:pos="8244"/>
                <w:tab w:val="left" w:pos="9160"/>
                <w:tab w:val="left" w:pos="10076"/>
                <w:tab w:val="left" w:pos="10992"/>
                <w:tab w:val="left" w:pos="11908"/>
                <w:tab w:val="left" w:pos="12824"/>
                <w:tab w:val="left" w:pos="13740"/>
                <w:tab w:val="left" w:pos="14656"/>
              </w:tabs>
              <w:spacing w:before="100" w:beforeAutospacing="1" w:line="300" w:lineRule="exact"/>
              <w:ind w:left="8960" w:hanging="8960" w:hangingChars="3200"/>
              <w:jc w:val="center"/>
              <w:rPr>
                <w:rFonts w:ascii="Times New Roman" w:hAnsi="Times New Roman" w:eastAsia="仿宋_GB2312" w:cs="Times New Roman"/>
                <w:b/>
                <w:bCs/>
                <w:color w:val="000000"/>
                <w:sz w:val="28"/>
                <w:szCs w:val="28"/>
              </w:rPr>
            </w:pPr>
            <w:r>
              <w:rPr>
                <w:rFonts w:ascii="Times New Roman" w:hAnsi="Times New Roman" w:eastAsia="仿宋_GB2312" w:cs="Times New Roman"/>
                <w:color w:val="000000"/>
                <w:sz w:val="28"/>
                <w:szCs w:val="28"/>
              </w:rPr>
              <w:t>对标</w:t>
            </w:r>
            <w:r>
              <w:rPr>
                <w:rFonts w:ascii="Times New Roman" w:hAnsi="Times New Roman" w:eastAsia="仿宋_GB2312" w:cs="Times New Roman"/>
                <w:color w:val="000000"/>
                <w:sz w:val="28"/>
                <w:szCs w:val="28"/>
                <w:lang w:val="zh-CN" w:bidi="zh-CN"/>
              </w:rPr>
              <w:t>一流管</w:t>
            </w:r>
            <w:r>
              <w:rPr>
                <w:rFonts w:ascii="Times New Roman" w:hAnsi="Times New Roman" w:eastAsia="仿宋_GB2312" w:cs="Times New Roman"/>
                <w:color w:val="000000"/>
                <w:sz w:val="28"/>
                <w:szCs w:val="28"/>
              </w:rPr>
              <w:t>理提升</w:t>
            </w:r>
          </w:p>
        </w:tc>
        <w:tc>
          <w:tcPr>
            <w:tcW w:w="6924" w:type="dxa"/>
            <w:tcBorders>
              <w:left w:val="single" w:color="auto" w:sz="4" w:space="0"/>
              <w:right w:val="single" w:color="auto" w:sz="4" w:space="0"/>
            </w:tcBorders>
            <w:vAlign w:val="center"/>
          </w:tcPr>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对标一流创一流核心精要；</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创一流指标体系构建与运作技巧；</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对标提升行动存在问题及解决思路；</w:t>
            </w:r>
          </w:p>
          <w:p>
            <w:pPr>
              <w:spacing w:line="400" w:lineRule="exact"/>
              <w:rPr>
                <w:rFonts w:ascii="Times New Roman" w:hAnsi="Times New Roman" w:eastAsia="仿宋_GB2312" w:cs="Times New Roman"/>
                <w:b/>
                <w:sz w:val="28"/>
                <w:szCs w:val="28"/>
              </w:rPr>
            </w:pPr>
            <w:r>
              <w:rPr>
                <w:rFonts w:ascii="Times New Roman" w:hAnsi="Times New Roman" w:eastAsia="仿宋_GB2312" w:cs="Times New Roman"/>
                <w:bCs/>
                <w:sz w:val="28"/>
                <w:szCs w:val="28"/>
              </w:rPr>
              <w:t>4.</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如何利用一流指标体系引导企业创一流。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trPr>
        <w:tc>
          <w:tcPr>
            <w:tcW w:w="2892" w:type="dxa"/>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6665"/>
                <w:tab w:val="left" w:pos="7328"/>
                <w:tab w:val="left" w:pos="8244"/>
                <w:tab w:val="left" w:pos="9160"/>
                <w:tab w:val="left" w:pos="10076"/>
                <w:tab w:val="left" w:pos="10992"/>
                <w:tab w:val="left" w:pos="11908"/>
                <w:tab w:val="left" w:pos="12824"/>
                <w:tab w:val="left" w:pos="13740"/>
                <w:tab w:val="left" w:pos="14656"/>
              </w:tabs>
              <w:spacing w:before="100" w:beforeAutospacing="1" w:line="300" w:lineRule="exact"/>
              <w:ind w:left="8960" w:hanging="8960" w:hangingChars="3200"/>
              <w:jc w:val="center"/>
              <w:rPr>
                <w:rFonts w:ascii="Times New Roman" w:hAnsi="Times New Roman" w:eastAsia="仿宋_GB2312" w:cs="Times New Roman"/>
                <w:b/>
                <w:bCs/>
                <w:color w:val="000000"/>
                <w:sz w:val="28"/>
                <w:szCs w:val="28"/>
              </w:rPr>
            </w:pPr>
            <w:r>
              <w:rPr>
                <w:rFonts w:ascii="Times New Roman" w:hAnsi="Times New Roman" w:eastAsia="仿宋_GB2312" w:cs="Times New Roman"/>
                <w:color w:val="000000"/>
                <w:sz w:val="28"/>
                <w:szCs w:val="28"/>
              </w:rPr>
              <w:t>企业参访现场教学</w:t>
            </w:r>
          </w:p>
        </w:tc>
        <w:tc>
          <w:tcPr>
            <w:tcW w:w="6924" w:type="dxa"/>
            <w:tcBorders>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央企经验交流分享；</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跨界、创新、发展与地方国资国企对话；</w:t>
            </w:r>
          </w:p>
          <w:p>
            <w:pPr>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bCs/>
                <w:sz w:val="28"/>
                <w:szCs w:val="28"/>
              </w:rPr>
              <w:t>3.</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走进地方特色民营企业。</w:t>
            </w:r>
          </w:p>
        </w:tc>
      </w:tr>
    </w:tbl>
    <w:p>
      <w:pPr>
        <w:adjustRightInd w:val="0"/>
        <w:snapToGrid w:val="0"/>
        <w:spacing w:line="600" w:lineRule="exact"/>
        <w:ind w:left="408"/>
        <w:rPr>
          <w:rFonts w:ascii="仿宋_GB2312" w:hAnsi="仿宋" w:eastAsia="仿宋_GB2312" w:cs="仿宋"/>
          <w:sz w:val="30"/>
          <w:szCs w:val="30"/>
        </w:rPr>
      </w:pPr>
      <w:r>
        <w:rPr>
          <w:rFonts w:hint="eastAsia" w:ascii="仿宋_GB2312" w:hAnsi="仿宋" w:eastAsia="仿宋_GB2312" w:cs="仿宋"/>
          <w:color w:val="000000"/>
          <w:sz w:val="30"/>
          <w:szCs w:val="30"/>
          <w:lang w:val="zh-TW" w:eastAsia="zh-TW" w:bidi="zh-TW"/>
        </w:rPr>
        <w:t>注：具体课程以每期</w:t>
      </w:r>
      <w:r>
        <w:rPr>
          <w:rFonts w:hint="eastAsia" w:ascii="仿宋_GB2312" w:hAnsi="仿宋" w:eastAsia="仿宋_GB2312" w:cs="仿宋"/>
          <w:color w:val="000000"/>
          <w:sz w:val="30"/>
          <w:szCs w:val="30"/>
          <w:lang w:bidi="zh-TW"/>
        </w:rPr>
        <w:t>研修</w:t>
      </w:r>
      <w:r>
        <w:rPr>
          <w:rFonts w:hint="eastAsia" w:ascii="仿宋_GB2312" w:hAnsi="仿宋" w:eastAsia="仿宋_GB2312" w:cs="仿宋"/>
          <w:color w:val="000000"/>
          <w:sz w:val="30"/>
          <w:szCs w:val="30"/>
          <w:lang w:val="zh-TW" w:eastAsia="zh-TW" w:bidi="zh-TW"/>
        </w:rPr>
        <w:t>班补充通知为准。</w:t>
      </w:r>
    </w:p>
    <w:p>
      <w:pPr>
        <w:adjustRightInd w:val="0"/>
        <w:snapToGrid w:val="0"/>
        <w:spacing w:line="600" w:lineRule="exact"/>
        <w:ind w:firstLine="600" w:firstLineChars="200"/>
        <w:rPr>
          <w:rFonts w:ascii="黑体" w:hAnsi="黑体" w:eastAsia="黑体"/>
          <w:bCs/>
          <w:color w:val="000000"/>
          <w:sz w:val="30"/>
          <w:szCs w:val="30"/>
        </w:rPr>
      </w:pPr>
      <w:bookmarkStart w:id="10" w:name="bookmark19"/>
      <w:r>
        <w:rPr>
          <w:rFonts w:hint="eastAsia" w:ascii="黑体" w:hAnsi="黑体" w:eastAsia="黑体"/>
          <w:bCs/>
          <w:color w:val="000000"/>
          <w:sz w:val="30"/>
          <w:szCs w:val="30"/>
        </w:rPr>
        <w:t>七</w:t>
      </w:r>
      <w:bookmarkEnd w:id="10"/>
      <w:r>
        <w:rPr>
          <w:rFonts w:hint="eastAsia" w:ascii="黑体" w:hAnsi="黑体" w:eastAsia="黑体"/>
          <w:bCs/>
          <w:color w:val="000000"/>
          <w:sz w:val="30"/>
          <w:szCs w:val="30"/>
          <w:lang w:val="zh-CN"/>
        </w:rPr>
        <w:t>、师</w:t>
      </w:r>
      <w:r>
        <w:rPr>
          <w:rFonts w:hint="eastAsia" w:ascii="黑体" w:hAnsi="黑体" w:eastAsia="黑体"/>
          <w:bCs/>
          <w:color w:val="000000"/>
          <w:sz w:val="30"/>
          <w:szCs w:val="30"/>
        </w:rPr>
        <w:t>资安排</w:t>
      </w:r>
    </w:p>
    <w:p>
      <w:pPr>
        <w:adjustRightInd w:val="0"/>
        <w:snapToGrid w:val="0"/>
        <w:spacing w:line="600" w:lineRule="exact"/>
        <w:ind w:left="602" w:hanging="602" w:hangingChars="200"/>
        <w:jc w:val="center"/>
        <w:rPr>
          <w:rFonts w:ascii="Times New Roman" w:hAnsi="Times New Roman" w:eastAsia="仿宋_GB2312" w:cs="Times New Roman"/>
          <w:b/>
          <w:bCs/>
          <w:sz w:val="30"/>
          <w:szCs w:val="30"/>
        </w:rPr>
      </w:pPr>
      <w:r>
        <w:rPr>
          <w:rFonts w:ascii="Times New Roman" w:hAnsi="Times New Roman" w:eastAsia="仿宋_GB2312" w:cs="Times New Roman"/>
          <w:b/>
          <w:bCs/>
          <w:color w:val="000000"/>
          <w:sz w:val="30"/>
          <w:szCs w:val="30"/>
        </w:rPr>
        <w:t>2022全年课程拟安排授课师资</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黄奇帆</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eastAsia="zh-TW" w:bidi="zh-TW"/>
        </w:rPr>
        <w:t>中国国际经济交流中心副理事长，原全国人大财政经济委员会副主任委员，重庆市委副书记，市长、党组书记。</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金一南</w:t>
      </w:r>
      <w:r>
        <w:rPr>
          <w:rFonts w:hint="eastAsia" w:ascii="Times New Roman" w:hAnsi="Times New Roman" w:eastAsia="仿宋_GB2312" w:cs="Times New Roman"/>
          <w:color w:val="000000"/>
          <w:sz w:val="30"/>
          <w:szCs w:val="30"/>
          <w:lang w:val="zh-TW" w:bidi="zh-TW"/>
        </w:rPr>
        <w:t xml:space="preserve">  </w:t>
      </w:r>
      <w:r>
        <w:rPr>
          <w:rFonts w:hint="eastAsia" w:ascii="Times New Roman" w:hAnsi="Times New Roman" w:eastAsia="仿宋_GB2312" w:cs="Times New Roman"/>
          <w:color w:val="000000"/>
          <w:sz w:val="30"/>
          <w:szCs w:val="30"/>
          <w:lang w:val="zh-TW" w:eastAsia="zh-TW" w:bidi="zh-TW"/>
        </w:rPr>
        <w:t>中国人民解放军少将，正军级，教授，战略学博士生导师</w:t>
      </w:r>
      <w:r>
        <w:rPr>
          <w:rFonts w:hint="eastAsia" w:ascii="Times New Roman" w:hAnsi="Times New Roman" w:eastAsia="仿宋_GB2312" w:cs="Times New Roman"/>
          <w:color w:val="000000"/>
          <w:sz w:val="30"/>
          <w:szCs w:val="30"/>
          <w:lang w:val="zh-TW" w:bidi="zh-TW"/>
        </w:rPr>
        <w:t>，</w:t>
      </w:r>
      <w:r>
        <w:rPr>
          <w:rFonts w:hint="eastAsia" w:ascii="Times New Roman" w:hAnsi="Times New Roman" w:eastAsia="仿宋_GB2312" w:cs="Times New Roman"/>
          <w:color w:val="000000"/>
          <w:sz w:val="30"/>
          <w:szCs w:val="30"/>
          <w:lang w:val="zh-TW" w:eastAsia="zh-TW" w:bidi="zh-TW"/>
        </w:rPr>
        <w:t>中共“十七大”代表</w:t>
      </w:r>
      <w:r>
        <w:rPr>
          <w:rFonts w:hint="eastAsia" w:ascii="Times New Roman" w:hAnsi="Times New Roman" w:eastAsia="仿宋_GB2312" w:cs="Times New Roman"/>
          <w:color w:val="000000"/>
          <w:sz w:val="30"/>
          <w:szCs w:val="30"/>
          <w:lang w:val="zh-TW" w:bidi="zh-TW"/>
        </w:rPr>
        <w:t>，</w:t>
      </w:r>
      <w:r>
        <w:rPr>
          <w:rFonts w:hint="eastAsia" w:ascii="Times New Roman" w:hAnsi="Times New Roman" w:eastAsia="仿宋_GB2312" w:cs="Times New Roman"/>
          <w:color w:val="000000"/>
          <w:sz w:val="30"/>
          <w:szCs w:val="30"/>
          <w:lang w:val="zh-TW" w:eastAsia="zh-TW" w:bidi="zh-TW"/>
        </w:rPr>
        <w:t>第十一届全国政协委员。曾任中国人民解放军国防大学战略研究所所长。</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季晓南</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eastAsia="zh-TW" w:bidi="zh-TW"/>
        </w:rPr>
        <w:t>曾任国有重点大型企业监事会主席、中央第九巡视组副组长，</w:t>
      </w:r>
      <w:r>
        <w:rPr>
          <w:rFonts w:hint="eastAsia" w:ascii="Times New Roman" w:hAnsi="Times New Roman" w:eastAsia="仿宋_GB2312" w:cs="Times New Roman"/>
          <w:color w:val="000000"/>
          <w:sz w:val="30"/>
          <w:szCs w:val="30"/>
          <w:lang w:val="zh-TW" w:eastAsia="zh-TW" w:bidi="zh-TW"/>
        </w:rPr>
        <w:t>多次参加中央有关文件起草，研究领域为经济体制改革、企业改革和发展、区域经济发展等。我国国企改革的重要见证者和参与者。</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侯云春</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eastAsia="zh-TW" w:bidi="zh-TW"/>
        </w:rPr>
        <w:t>著名经济学家，国务院发展研究中心原副主任。曾参加党中央、国务院和部委一些重要文件的起草工作。长期从事宏观经济运行、国有企业改革和发展、商品流通和市场管理、工业经济和产业结构调整、就业和社会保障等领域理论和政策研究。</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王忠明</w:t>
      </w:r>
      <w:r>
        <w:rPr>
          <w:rFonts w:hint="eastAsia" w:ascii="Times New Roman" w:hAnsi="Times New Roman" w:eastAsia="仿宋_GB2312" w:cs="Times New Roman"/>
          <w:color w:val="000000"/>
          <w:sz w:val="30"/>
          <w:szCs w:val="30"/>
          <w:lang w:val="zh-TW" w:bidi="zh-TW"/>
        </w:rPr>
        <w:t xml:space="preserve">  </w:t>
      </w:r>
      <w:r>
        <w:rPr>
          <w:rFonts w:hint="eastAsia" w:ascii="Times New Roman" w:hAnsi="Times New Roman" w:eastAsia="仿宋_GB2312" w:cs="Times New Roman"/>
          <w:color w:val="000000"/>
          <w:sz w:val="30"/>
          <w:szCs w:val="30"/>
          <w:lang w:val="zh-TW" w:eastAsia="zh-TW" w:bidi="zh-TW"/>
        </w:rPr>
        <w:t>全国工商业联合会副秘书长、中国民营经济研究会常务副会长兼秘书长。</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宋志平</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eastAsia="zh-TW" w:bidi="zh-TW"/>
        </w:rPr>
        <w:t>中国上市公司协会会长、中国企业改革与发展研究会会长，曾任中国建材集团有限公司党委书记、董事长，中国医药集团总公司董事长。曾获得“2012 CCTV</w:t>
      </w:r>
      <w:r>
        <w:rPr>
          <w:rFonts w:hint="eastAsia" w:ascii="Times New Roman" w:hAnsi="Times New Roman" w:eastAsia="仿宋_GB2312" w:cs="Times New Roman"/>
          <w:color w:val="000000"/>
          <w:sz w:val="30"/>
          <w:szCs w:val="30"/>
          <w:lang w:val="zh-TW" w:eastAsia="zh-TW" w:bidi="zh-TW"/>
        </w:rPr>
        <w:t>中国经济年度人物称号”。</w:t>
      </w:r>
      <w:r>
        <w:rPr>
          <w:rFonts w:ascii="Times New Roman" w:hAnsi="Times New Roman" w:eastAsia="仿宋_GB2312" w:cs="Times New Roman"/>
          <w:color w:val="000000"/>
          <w:sz w:val="30"/>
          <w:szCs w:val="30"/>
          <w:lang w:val="zh-TW" w:eastAsia="zh-TW" w:bidi="zh-TW"/>
        </w:rPr>
        <w:t>2019年，荣获</w:t>
      </w:r>
      <w:r>
        <w:rPr>
          <w:rFonts w:hint="eastAsia" w:ascii="Times New Roman" w:hAnsi="Times New Roman" w:eastAsia="仿宋_GB2312" w:cs="Times New Roman"/>
          <w:color w:val="000000"/>
          <w:sz w:val="30"/>
          <w:szCs w:val="30"/>
          <w:lang w:val="zh-TW" w:eastAsia="zh-TW" w:bidi="zh-TW"/>
        </w:rPr>
        <w:t>“新中国成立</w:t>
      </w:r>
      <w:r>
        <w:rPr>
          <w:rFonts w:ascii="Times New Roman" w:hAnsi="Times New Roman" w:eastAsia="仿宋_GB2312" w:cs="Times New Roman"/>
          <w:color w:val="000000"/>
          <w:sz w:val="30"/>
          <w:szCs w:val="30"/>
          <w:lang w:val="zh-TW" w:eastAsia="zh-TW" w:bidi="zh-TW"/>
        </w:rPr>
        <w:t>70周年卓越贡献企业家终身成就奖”。</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 xml:space="preserve">杨 </w:t>
      </w:r>
      <w:r>
        <w:rPr>
          <w:rFonts w:ascii="Times New Roman" w:hAnsi="Times New Roman" w:eastAsia="仿宋_GB2312" w:cs="Times New Roman"/>
          <w:color w:val="000000"/>
          <w:sz w:val="30"/>
          <w:szCs w:val="30"/>
          <w:lang w:val="zh-TW" w:eastAsia="zh-TW" w:bidi="zh-TW"/>
        </w:rPr>
        <w:t xml:space="preserve"> 禹</w:t>
      </w:r>
      <w:r>
        <w:rPr>
          <w:rFonts w:hint="eastAsia" w:ascii="Times New Roman" w:hAnsi="Times New Roman" w:eastAsia="仿宋_GB2312" w:cs="Times New Roman"/>
          <w:color w:val="000000"/>
          <w:sz w:val="30"/>
          <w:szCs w:val="30"/>
          <w:lang w:val="zh-TW" w:bidi="zh-TW"/>
        </w:rPr>
        <w:t xml:space="preserve">  </w:t>
      </w:r>
      <w:r>
        <w:rPr>
          <w:rFonts w:hint="eastAsia" w:ascii="Times New Roman" w:hAnsi="Times New Roman" w:eastAsia="仿宋_GB2312" w:cs="Times New Roman"/>
          <w:color w:val="000000"/>
          <w:sz w:val="30"/>
          <w:szCs w:val="30"/>
          <w:lang w:val="zh-TW" w:eastAsia="zh-TW" w:bidi="zh-TW"/>
        </w:rPr>
        <w:t>中央电视台特约评论员，是备受国内外广泛关注的新闻评论员，央视多数重大时政直播中均由杨禹担纲新闻评论，主要出镜栏目有《新闻联播》、《朝闻天下》、《新闻直播间》、《东方时空》、《环球视线》、《共同关注》、《焦点访谈》、《中国新闻》、《今日关注》等。</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金灿荣</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eastAsia="zh-TW" w:bidi="zh-TW"/>
        </w:rPr>
        <w:t>中国人民大学国际关系学院副院长、教授、博导，中国人民大学中国对外战略研究中心主任。</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李  锦</w:t>
      </w:r>
      <w:r>
        <w:rPr>
          <w:rFonts w:hint="eastAsia" w:ascii="Times New Roman" w:hAnsi="Times New Roman" w:eastAsia="仿宋_GB2312" w:cs="Times New Roman"/>
          <w:color w:val="000000"/>
          <w:sz w:val="30"/>
          <w:szCs w:val="30"/>
          <w:lang w:val="zh-TW" w:bidi="zh-TW"/>
        </w:rPr>
        <w:t xml:space="preserve">  </w:t>
      </w:r>
      <w:r>
        <w:rPr>
          <w:rFonts w:hint="eastAsia" w:ascii="Times New Roman" w:hAnsi="Times New Roman" w:eastAsia="仿宋_GB2312" w:cs="Times New Roman"/>
          <w:color w:val="000000"/>
          <w:sz w:val="30"/>
          <w:szCs w:val="30"/>
          <w:lang w:val="zh-TW" w:eastAsia="zh-TW" w:bidi="zh-TW"/>
        </w:rPr>
        <w:t>著名国企政策研究专家，中国人民大学国企研究中心首席政策专家，新华社高级记者。</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李  政</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eastAsia="zh-TW" w:bidi="zh-TW"/>
        </w:rPr>
        <w:t>著名国企改革问题专家，吉林大学经济学院经济学系副院长、教授、经济学博士，吉林大学中国国有经济研究中心兼职研究员。曾作为国家开发银行外聘专家参与吉林省国企改制方案设计。主要研究方向为企业理论、创业与创新理论、国有经济和区域 经济发展理论。</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宋文阁</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eastAsia="zh-TW" w:bidi="zh-TW"/>
        </w:rPr>
        <w:t>管理学博士，应用经济博士后。高级会计师，高级审计师。注册会计师，注册税务师。上市公司独立董事和董秘。资深会计专家，企业改革与发展专家，投融资专家。上海财经大学500 强研究中心特聘教授；中国上市公司市值管理研究中心特约研究员。</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李  肃</w:t>
      </w:r>
      <w:r>
        <w:rPr>
          <w:rFonts w:hint="eastAsia" w:ascii="Times New Roman" w:hAnsi="Times New Roman" w:eastAsia="仿宋_GB2312" w:cs="Times New Roman"/>
          <w:color w:val="000000"/>
          <w:sz w:val="30"/>
          <w:szCs w:val="30"/>
          <w:lang w:val="zh-TW" w:bidi="zh-TW"/>
        </w:rPr>
        <w:t xml:space="preserve">  </w:t>
      </w:r>
      <w:r>
        <w:rPr>
          <w:rFonts w:hint="eastAsia" w:ascii="Times New Roman" w:hAnsi="Times New Roman" w:eastAsia="仿宋_GB2312" w:cs="Times New Roman"/>
          <w:color w:val="000000"/>
          <w:sz w:val="30"/>
          <w:szCs w:val="30"/>
          <w:lang w:val="zh-TW" w:eastAsia="zh-TW" w:bidi="zh-TW"/>
        </w:rPr>
        <w:t>和君创业咨询集团总裁，著名管理咨询专家，历任北京市社会科学院经济研究所副所长、美国休斯敦大学亚美研究中心</w:t>
      </w:r>
      <w:r>
        <w:rPr>
          <w:rFonts w:ascii="Times New Roman" w:hAnsi="Times New Roman" w:eastAsia="仿宋_GB2312" w:cs="Times New Roman"/>
          <w:color w:val="000000"/>
          <w:sz w:val="30"/>
          <w:szCs w:val="30"/>
          <w:lang w:val="zh-TW" w:eastAsia="zh-TW" w:bidi="zh-TW"/>
        </w:rPr>
        <w:t xml:space="preserve"> </w:t>
      </w:r>
      <w:r>
        <w:rPr>
          <w:rFonts w:hint="eastAsia" w:ascii="Times New Roman" w:hAnsi="Times New Roman" w:eastAsia="仿宋_GB2312" w:cs="Times New Roman"/>
          <w:color w:val="000000"/>
          <w:sz w:val="30"/>
          <w:szCs w:val="30"/>
          <w:lang w:val="zh-TW" w:eastAsia="zh-TW" w:bidi="zh-TW"/>
        </w:rPr>
        <w:t>高级研究员、中国社科院社会发展中心特邀研究员。</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左美云</w:t>
      </w:r>
      <w:r>
        <w:rPr>
          <w:rFonts w:hint="eastAsia" w:ascii="Times New Roman" w:hAnsi="Times New Roman" w:eastAsia="仿宋_GB2312" w:cs="Times New Roman"/>
          <w:color w:val="000000"/>
          <w:sz w:val="30"/>
          <w:szCs w:val="30"/>
          <w:lang w:val="zh-TW" w:bidi="zh-TW"/>
        </w:rPr>
        <w:t xml:space="preserve">  </w:t>
      </w:r>
      <w:r>
        <w:rPr>
          <w:rFonts w:hint="eastAsia" w:ascii="Times New Roman" w:hAnsi="Times New Roman" w:eastAsia="仿宋_GB2312" w:cs="Times New Roman"/>
          <w:color w:val="000000"/>
          <w:sz w:val="30"/>
          <w:szCs w:val="30"/>
          <w:lang w:val="zh-TW" w:eastAsia="zh-TW" w:bidi="zh-TW"/>
        </w:rPr>
        <w:t>教授，中国人民大学信息学院副院长。</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储</w:t>
      </w:r>
      <w:r>
        <w:rPr>
          <w:rFonts w:ascii="Times New Roman" w:hAnsi="Times New Roman" w:eastAsia="仿宋_GB2312" w:cs="Times New Roman"/>
          <w:color w:val="000000"/>
          <w:sz w:val="30"/>
          <w:szCs w:val="30"/>
          <w:lang w:val="zh-TW" w:eastAsia="zh-TW" w:bidi="zh-TW"/>
        </w:rPr>
        <w:t xml:space="preserve"> </w:t>
      </w:r>
      <w:r>
        <w:rPr>
          <w:rFonts w:hint="eastAsia" w:ascii="Times New Roman" w:hAnsi="Times New Roman" w:eastAsia="仿宋_GB2312" w:cs="Times New Roman"/>
          <w:color w:val="000000"/>
          <w:sz w:val="30"/>
          <w:szCs w:val="30"/>
          <w:lang w:val="zh-TW" w:eastAsia="zh-TW" w:bidi="zh-TW"/>
        </w:rPr>
        <w:t xml:space="preserve"> 殷</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eastAsia="zh-TW" w:bidi="zh-TW"/>
        </w:rPr>
        <w:t>国际关系学院教授，中国与全球化智库研究员微视财经评论节目《储说》主讲人，《奇葩说》选手。</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徐  斌</w:t>
      </w:r>
      <w:r>
        <w:rPr>
          <w:rFonts w:hint="eastAsia" w:ascii="Times New Roman" w:hAnsi="Times New Roman" w:eastAsia="仿宋_GB2312" w:cs="Times New Roman"/>
          <w:color w:val="000000"/>
          <w:sz w:val="30"/>
          <w:szCs w:val="30"/>
          <w:lang w:val="zh-TW" w:bidi="zh-TW"/>
        </w:rPr>
        <w:t xml:space="preserve">  </w:t>
      </w:r>
      <w:r>
        <w:rPr>
          <w:rFonts w:hint="eastAsia" w:ascii="Times New Roman" w:hAnsi="Times New Roman" w:eastAsia="仿宋_GB2312" w:cs="Times New Roman"/>
          <w:color w:val="000000"/>
          <w:sz w:val="30"/>
          <w:szCs w:val="30"/>
          <w:lang w:val="zh-TW" w:eastAsia="zh-TW" w:bidi="zh-TW"/>
        </w:rPr>
        <w:t>经济学博士，教授，硕士生导师，今为首都经济贸易大学劳动经济学院人才系主任。</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李翔宇</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eastAsia="zh-TW" w:bidi="zh-TW"/>
        </w:rPr>
        <w:t>华为中国区行业市场总监。</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楚序平</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eastAsia="zh-TW" w:bidi="zh-TW"/>
        </w:rPr>
        <w:t xml:space="preserve">国务院国资委研究中心原主任，经济学博士。自20世纪80年代以来，长期在国家机关从事政策研究工作。2003年国务院国资委成立起，先后在国资委研究室、研究局从事国有资产管理、国有企业改革发展等政策研究。 </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彭建国</w:t>
      </w:r>
      <w:r>
        <w:rPr>
          <w:rFonts w:hint="eastAsia" w:ascii="Times New Roman" w:hAnsi="Times New Roman" w:eastAsia="仿宋_GB2312" w:cs="Times New Roman"/>
          <w:color w:val="000000"/>
          <w:sz w:val="30"/>
          <w:szCs w:val="30"/>
          <w:lang w:val="zh-TW" w:bidi="zh-TW"/>
        </w:rPr>
        <w:t xml:space="preserve">  </w:t>
      </w:r>
      <w:r>
        <w:rPr>
          <w:rFonts w:hint="eastAsia" w:ascii="Times New Roman" w:hAnsi="Times New Roman" w:eastAsia="仿宋_GB2312" w:cs="Times New Roman"/>
          <w:color w:val="000000"/>
          <w:sz w:val="30"/>
          <w:szCs w:val="30"/>
          <w:lang w:val="zh-TW" w:eastAsia="zh-TW" w:bidi="zh-TW"/>
        </w:rPr>
        <w:t>国务院国资委研究中心司局级干部，国务院国资委中央企业智库联盟创盟副理事长兼秘书长，国企管理智库副理事长，中国民营科技促进会副会长，中国投资协会顾问，央视财经特约评论员，研究员。</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刘</w:t>
      </w:r>
      <w:r>
        <w:rPr>
          <w:rFonts w:ascii="Times New Roman" w:hAnsi="Times New Roman" w:eastAsia="仿宋_GB2312" w:cs="Times New Roman"/>
          <w:color w:val="000000"/>
          <w:sz w:val="30"/>
          <w:szCs w:val="30"/>
          <w:lang w:val="zh-TW" w:eastAsia="zh-TW" w:bidi="zh-TW"/>
        </w:rPr>
        <w:t xml:space="preserve"> </w:t>
      </w:r>
      <w:r>
        <w:rPr>
          <w:rFonts w:hint="eastAsia" w:ascii="Times New Roman" w:hAnsi="Times New Roman" w:eastAsia="仿宋_GB2312" w:cs="Times New Roman"/>
          <w:color w:val="000000"/>
          <w:sz w:val="30"/>
          <w:szCs w:val="30"/>
          <w:lang w:val="zh-TW" w:eastAsia="zh-TW" w:bidi="zh-TW"/>
        </w:rPr>
        <w:t xml:space="preserve"> 钊</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eastAsia="zh-TW" w:bidi="zh-TW"/>
        </w:rPr>
        <w:t>南开大学博士、财政部财政科学研究所博士后，中国金融出版社金融文化研训院院长，博士后（青年英才）管理办公室主任，中国互联网与工业融合创新联盟产业金融工作委员会副主任委员。代表作有:《中国证券史(第一卷)》《中国证券史(第二卷)》《中国证券简史》《中国基金业简史》《股票市场脆弱性与金融稳定》《股权众筹实务指南》等。</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席加省</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eastAsia="zh-TW" w:bidi="zh-TW"/>
        </w:rPr>
        <w:t>中国投资协会项目投融资专业委员会专家、资深咨询顾问、中建科信副总裁、北京大学研究生毕业；北大、清华等知名大学的EMBA、总裁班特聘讲师，《中外管理》、《北大商业评论》等专业管理杂志特约作者，发表文章数百篇，现担任10余家公司的常年管理顾问。</w:t>
      </w:r>
    </w:p>
    <w:p>
      <w:pPr>
        <w:adjustRightInd w:val="0"/>
        <w:snapToGrid w:val="0"/>
        <w:spacing w:line="600" w:lineRule="exact"/>
        <w:ind w:left="600" w:hanging="600" w:hangingChars="200"/>
        <w:rPr>
          <w:rFonts w:ascii="黑体" w:hAnsi="黑体" w:eastAsia="黑体"/>
          <w:bCs/>
          <w:color w:val="000000"/>
          <w:sz w:val="30"/>
          <w:szCs w:val="30"/>
        </w:rPr>
      </w:pPr>
      <w:r>
        <w:rPr>
          <w:rFonts w:hint="eastAsia" w:ascii="黑体" w:hAnsi="黑体" w:eastAsia="黑体"/>
          <w:bCs/>
          <w:color w:val="000000"/>
          <w:sz w:val="30"/>
          <w:szCs w:val="30"/>
        </w:rPr>
        <w:t xml:space="preserve">    </w:t>
      </w:r>
      <w:r>
        <w:rPr>
          <w:rFonts w:ascii="黑体" w:hAnsi="黑体" w:eastAsia="黑体" w:cs="宋体"/>
          <w:bCs/>
          <w:color w:val="000000"/>
          <w:sz w:val="30"/>
          <w:szCs w:val="30"/>
          <w:lang w:bidi="zh-TW"/>
        </w:rPr>
        <w:t>八、研修费用</w:t>
      </w:r>
      <w:r>
        <w:rPr>
          <w:rFonts w:hint="eastAsia" w:ascii="仿宋_GB2312" w:hAnsi="仿宋" w:eastAsia="仿宋_GB2312"/>
          <w:color w:val="000000"/>
          <w:sz w:val="30"/>
          <w:szCs w:val="30"/>
        </w:rPr>
        <w:t xml:space="preserve">   </w:t>
      </w:r>
    </w:p>
    <w:p>
      <w:pPr>
        <w:adjustRightInd w:val="0"/>
        <w:snapToGrid w:val="0"/>
        <w:spacing w:line="600" w:lineRule="exact"/>
        <w:rPr>
          <w:rFonts w:ascii="Times New Roman" w:hAnsi="Times New Roman" w:eastAsia="仿宋_GB2312" w:cs="Times New Roman"/>
          <w:color w:val="000000"/>
          <w:sz w:val="30"/>
          <w:szCs w:val="30"/>
          <w:lang w:val="zh-TW" w:eastAsia="zh-TW" w:bidi="zh-TW"/>
        </w:rPr>
      </w:pPr>
      <w:r>
        <w:rPr>
          <w:rFonts w:hint="eastAsia" w:ascii="仿宋_GB2312" w:hAnsi="仿宋" w:eastAsia="仿宋_GB2312"/>
          <w:color w:val="000000"/>
          <w:sz w:val="30"/>
          <w:szCs w:val="30"/>
        </w:rPr>
        <w:t xml:space="preserve">  </w:t>
      </w:r>
      <w:r>
        <w:rPr>
          <w:rFonts w:ascii="Times New Roman" w:hAnsi="Times New Roman" w:eastAsia="仿宋_GB2312" w:cs="Times New Roman"/>
          <w:color w:val="000000"/>
          <w:sz w:val="30"/>
          <w:szCs w:val="30"/>
        </w:rPr>
        <w:t xml:space="preserve">  </w:t>
      </w:r>
      <w:r>
        <w:rPr>
          <w:rFonts w:ascii="Times New Roman" w:hAnsi="Times New Roman" w:eastAsia="仿宋_GB2312" w:cs="Times New Roman"/>
          <w:color w:val="000000"/>
          <w:sz w:val="30"/>
          <w:szCs w:val="30"/>
          <w:lang w:val="zh-TW" w:eastAsia="zh-TW" w:bidi="zh-TW"/>
        </w:rPr>
        <w:t>28000元/人（含三天的研修费、资料费、电子课件、场地、研修期间午餐、高级职业经理人证书申报考评费用、高级职业经理人的42学时线上课程），住宿统一安排，费用自理。</w:t>
      </w:r>
    </w:p>
    <w:p>
      <w:pPr>
        <w:adjustRightInd w:val="0"/>
        <w:snapToGrid w:val="0"/>
        <w:spacing w:line="600" w:lineRule="exact"/>
        <w:ind w:left="600" w:hanging="600" w:hangingChars="200"/>
        <w:rPr>
          <w:rFonts w:ascii="黑体" w:hAnsi="黑体" w:eastAsia="黑体"/>
          <w:bCs/>
          <w:color w:val="000000"/>
          <w:sz w:val="30"/>
          <w:szCs w:val="30"/>
        </w:rPr>
      </w:pPr>
      <w:r>
        <w:rPr>
          <w:rFonts w:hint="eastAsia" w:ascii="黑体" w:hAnsi="黑体" w:eastAsia="黑体"/>
          <w:bCs/>
          <w:color w:val="000000"/>
          <w:sz w:val="30"/>
          <w:szCs w:val="30"/>
        </w:rPr>
        <w:t xml:space="preserve">    </w:t>
      </w:r>
      <w:r>
        <w:rPr>
          <w:rFonts w:hint="eastAsia" w:ascii="黑体" w:hAnsi="黑体" w:eastAsia="黑体" w:cs="宋体"/>
          <w:bCs/>
          <w:color w:val="000000"/>
          <w:sz w:val="30"/>
          <w:szCs w:val="30"/>
          <w:lang w:bidi="zh-TW"/>
        </w:rPr>
        <w:t>九、联系方式</w:t>
      </w:r>
    </w:p>
    <w:p>
      <w:pPr>
        <w:adjustRightInd w:val="0"/>
        <w:snapToGrid w:val="0"/>
        <w:spacing w:line="600" w:lineRule="exact"/>
        <w:ind w:left="600" w:hanging="600" w:hangingChars="200"/>
        <w:rPr>
          <w:rFonts w:hint="eastAsia" w:ascii="Times New Roman" w:hAnsi="Times New Roman" w:eastAsia="仿宋_GB2312" w:cs="Times New Roman"/>
          <w:color w:val="000000"/>
          <w:sz w:val="30"/>
          <w:szCs w:val="30"/>
          <w:lang w:val="zh-TW" w:bidi="zh-TW"/>
        </w:rPr>
      </w:pPr>
      <w:r>
        <w:rPr>
          <w:rFonts w:hint="eastAsia" w:ascii="Times New Roman" w:hAnsi="Times New Roman" w:eastAsia="仿宋_GB2312" w:cs="Times New Roman"/>
          <w:color w:val="000000"/>
          <w:sz w:val="30"/>
          <w:szCs w:val="30"/>
          <w:lang w:val="zh-TW" w:bidi="zh-TW"/>
        </w:rPr>
        <w:t xml:space="preserve">报名负责人：聂主任18211071700（微信）   </w:t>
      </w:r>
    </w:p>
    <w:p>
      <w:pPr>
        <w:adjustRightInd w:val="0"/>
        <w:snapToGrid w:val="0"/>
        <w:spacing w:line="600" w:lineRule="exact"/>
        <w:ind w:left="600" w:hanging="600" w:hangingChars="200"/>
        <w:rPr>
          <w:rFonts w:hint="eastAsia" w:ascii="Times New Roman" w:hAnsi="Times New Roman" w:eastAsia="仿宋_GB2312" w:cs="Times New Roman"/>
          <w:color w:val="000000"/>
          <w:sz w:val="30"/>
          <w:szCs w:val="30"/>
          <w:lang w:val="zh-TW" w:bidi="zh-TW"/>
        </w:rPr>
      </w:pPr>
      <w:r>
        <w:rPr>
          <w:rFonts w:hint="eastAsia" w:ascii="Times New Roman" w:hAnsi="Times New Roman" w:eastAsia="仿宋_GB2312" w:cs="Times New Roman"/>
          <w:color w:val="000000"/>
          <w:sz w:val="30"/>
          <w:szCs w:val="30"/>
          <w:lang w:val="zh-TW" w:bidi="zh-TW"/>
        </w:rPr>
        <w:t xml:space="preserve">电  话：010-87697580      邮    箱：zqgphwz@126.com  </w:t>
      </w:r>
    </w:p>
    <w:p>
      <w:pPr>
        <w:adjustRightInd w:val="0"/>
        <w:snapToGrid w:val="0"/>
        <w:spacing w:line="600" w:lineRule="exact"/>
        <w:ind w:left="600" w:hanging="600" w:hanging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bidi="zh-TW"/>
        </w:rPr>
        <w:t xml:space="preserve">qq咨询：3177524020        网址查询：http://www.zqgpchina.cn/ </w:t>
      </w:r>
    </w:p>
    <w:p>
      <w:pPr>
        <w:adjustRightInd w:val="0"/>
        <w:snapToGrid w:val="0"/>
        <w:spacing w:line="600" w:lineRule="exact"/>
        <w:ind w:left="600" w:hanging="600" w:hangingChars="200"/>
        <w:rPr>
          <w:rFonts w:ascii="黑体" w:hAnsi="黑体" w:eastAsia="黑体"/>
          <w:bCs/>
          <w:color w:val="000000"/>
          <w:sz w:val="30"/>
          <w:szCs w:val="30"/>
        </w:rPr>
      </w:pPr>
      <w:bookmarkStart w:id="11" w:name="_Hlk91250819"/>
      <w:r>
        <w:rPr>
          <w:rFonts w:hint="eastAsia" w:ascii="黑体" w:hAnsi="黑体" w:eastAsia="黑体"/>
          <w:bCs/>
          <w:color w:val="000000"/>
          <w:sz w:val="30"/>
          <w:szCs w:val="30"/>
          <w:lang w:eastAsia="zh-TW"/>
        </w:rPr>
        <w:t xml:space="preserve">    </w:t>
      </w:r>
      <w:r>
        <w:rPr>
          <w:rFonts w:hint="eastAsia" w:ascii="黑体" w:hAnsi="黑体" w:eastAsia="黑体" w:cs="宋体"/>
          <w:bCs/>
          <w:color w:val="000000"/>
          <w:sz w:val="30"/>
          <w:szCs w:val="30"/>
          <w:lang w:bidi="zh-TW"/>
        </w:rPr>
        <w:t>十、课程权益</w:t>
      </w:r>
    </w:p>
    <w:p>
      <w:pPr>
        <w:adjustRightInd w:val="0"/>
        <w:snapToGrid w:val="0"/>
        <w:spacing w:line="600" w:lineRule="exact"/>
        <w:ind w:left="2"/>
        <w:rPr>
          <w:rFonts w:ascii="Times New Roman" w:hAnsi="Times New Roman" w:eastAsia="仿宋_GB2312" w:cs="Times New Roman"/>
          <w:color w:val="000000"/>
          <w:sz w:val="30"/>
          <w:szCs w:val="30"/>
          <w:lang w:val="zh-TW" w:bidi="zh-TW"/>
        </w:rPr>
      </w:pPr>
      <w:r>
        <w:rPr>
          <w:rFonts w:ascii="仿宋_GB2312" w:hAnsi="仿宋" w:eastAsia="仿宋_GB2312" w:cs="宋体"/>
          <w:color w:val="000000"/>
          <w:sz w:val="30"/>
          <w:szCs w:val="30"/>
          <w:lang w:val="zh-TW" w:bidi="zh-TW"/>
        </w:rPr>
        <w:t xml:space="preserve">    </w:t>
      </w:r>
      <w:r>
        <w:rPr>
          <w:rFonts w:ascii="Times New Roman" w:hAnsi="Times New Roman" w:eastAsia="仿宋_GB2312" w:cs="Times New Roman"/>
          <w:color w:val="000000"/>
          <w:sz w:val="30"/>
          <w:szCs w:val="30"/>
          <w:lang w:val="zh-TW" w:bidi="zh-TW"/>
        </w:rPr>
        <w:t>1.</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bidi="zh-TW"/>
        </w:rPr>
        <w:t>同样主题课题</w:t>
      </w:r>
      <w:r>
        <w:rPr>
          <w:rFonts w:hint="eastAsia" w:ascii="Times New Roman" w:hAnsi="Times New Roman" w:eastAsia="仿宋_GB2312" w:cs="Times New Roman"/>
          <w:color w:val="000000"/>
          <w:sz w:val="30"/>
          <w:szCs w:val="30"/>
          <w:lang w:val="zh-TW" w:bidi="zh-TW"/>
        </w:rPr>
        <w:t>本人当年</w:t>
      </w:r>
      <w:r>
        <w:rPr>
          <w:rFonts w:ascii="Times New Roman" w:hAnsi="Times New Roman" w:eastAsia="仿宋_GB2312" w:cs="Times New Roman"/>
          <w:color w:val="000000"/>
          <w:sz w:val="30"/>
          <w:szCs w:val="30"/>
          <w:lang w:val="zh-TW" w:bidi="zh-TW"/>
        </w:rPr>
        <w:t>全年免费复训</w:t>
      </w:r>
      <w:r>
        <w:rPr>
          <w:rFonts w:hint="eastAsia" w:ascii="Times New Roman" w:hAnsi="Times New Roman" w:eastAsia="仿宋_GB2312" w:cs="Times New Roman"/>
          <w:color w:val="000000"/>
          <w:sz w:val="30"/>
          <w:szCs w:val="30"/>
          <w:lang w:val="zh-TW" w:bidi="zh-TW"/>
        </w:rPr>
        <w:t>一次（仅限本人）</w:t>
      </w:r>
      <w:r>
        <w:rPr>
          <w:rFonts w:ascii="Times New Roman" w:hAnsi="Times New Roman" w:eastAsia="仿宋_GB2312" w:cs="Times New Roman"/>
          <w:color w:val="000000"/>
          <w:sz w:val="30"/>
          <w:szCs w:val="30"/>
          <w:lang w:val="zh-TW" w:bidi="zh-TW"/>
        </w:rPr>
        <w:t>，参训时只交资料费500元即可；</w:t>
      </w:r>
    </w:p>
    <w:p>
      <w:pPr>
        <w:adjustRightInd w:val="0"/>
        <w:snapToGrid w:val="0"/>
        <w:spacing w:line="600" w:lineRule="exact"/>
        <w:rPr>
          <w:rFonts w:ascii="Times New Roman" w:hAnsi="Times New Roman" w:eastAsia="仿宋_GB2312" w:cs="Times New Roman"/>
          <w:color w:val="000000"/>
          <w:sz w:val="30"/>
          <w:szCs w:val="30"/>
          <w:lang w:val="zh-TW" w:bidi="zh-TW"/>
        </w:rPr>
      </w:pPr>
      <w:r>
        <w:rPr>
          <w:rFonts w:ascii="Times New Roman" w:hAnsi="Times New Roman" w:eastAsia="仿宋_GB2312" w:cs="Times New Roman"/>
          <w:color w:val="000000"/>
          <w:sz w:val="30"/>
          <w:szCs w:val="30"/>
          <w:lang w:val="zh-TW" w:bidi="zh-TW"/>
        </w:rPr>
        <w:t xml:space="preserve">    2.</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bidi="zh-TW"/>
        </w:rPr>
        <w:t>赠送全年的举办类似主题公开课10人次</w:t>
      </w:r>
      <w:r>
        <w:rPr>
          <w:rFonts w:hint="eastAsia" w:ascii="Times New Roman" w:hAnsi="Times New Roman" w:eastAsia="仿宋_GB2312" w:cs="Times New Roman"/>
          <w:color w:val="000000"/>
          <w:sz w:val="30"/>
          <w:szCs w:val="30"/>
          <w:lang w:val="zh-TW" w:bidi="zh-TW"/>
        </w:rPr>
        <w:t>（仅限第一期）</w:t>
      </w:r>
      <w:r>
        <w:rPr>
          <w:rFonts w:ascii="Times New Roman" w:hAnsi="Times New Roman" w:eastAsia="仿宋_GB2312" w:cs="Times New Roman"/>
          <w:color w:val="000000"/>
          <w:sz w:val="30"/>
          <w:szCs w:val="30"/>
          <w:lang w:val="zh-TW" w:bidi="zh-TW"/>
        </w:rPr>
        <w:t>，赠送集团同主题网课一年；</w:t>
      </w:r>
    </w:p>
    <w:p>
      <w:pPr>
        <w:adjustRightInd w:val="0"/>
        <w:snapToGrid w:val="0"/>
        <w:spacing w:line="600" w:lineRule="exact"/>
        <w:ind w:left="600" w:hanging="600" w:hangingChars="200"/>
        <w:rPr>
          <w:rFonts w:ascii="Times New Roman" w:hAnsi="Times New Roman" w:eastAsia="仿宋_GB2312" w:cs="Times New Roman"/>
          <w:color w:val="000000"/>
          <w:sz w:val="30"/>
          <w:szCs w:val="30"/>
          <w:lang w:val="zh-TW" w:bidi="zh-TW"/>
        </w:rPr>
      </w:pPr>
      <w:r>
        <w:rPr>
          <w:rFonts w:ascii="Times New Roman" w:hAnsi="Times New Roman" w:eastAsia="仿宋_GB2312" w:cs="Times New Roman"/>
          <w:color w:val="000000"/>
          <w:sz w:val="30"/>
          <w:szCs w:val="30"/>
          <w:lang w:val="zh-TW" w:bidi="zh-TW"/>
        </w:rPr>
        <w:t xml:space="preserve">    3.</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bidi="zh-TW"/>
        </w:rPr>
        <w:t xml:space="preserve">推送各类行业政策新闻及专家解读相关资讯信息； </w:t>
      </w:r>
    </w:p>
    <w:p>
      <w:pPr>
        <w:adjustRightInd w:val="0"/>
        <w:snapToGrid w:val="0"/>
        <w:spacing w:line="600" w:lineRule="exact"/>
        <w:ind w:left="600" w:hanging="600" w:hangingChars="200"/>
        <w:rPr>
          <w:rFonts w:ascii="Times New Roman" w:hAnsi="Times New Roman" w:eastAsia="仿宋_GB2312" w:cs="Times New Roman"/>
          <w:color w:val="000000"/>
          <w:sz w:val="30"/>
          <w:szCs w:val="30"/>
          <w:lang w:val="zh-TW" w:bidi="zh-TW"/>
        </w:rPr>
      </w:pPr>
      <w:r>
        <w:rPr>
          <w:rFonts w:ascii="Times New Roman" w:hAnsi="Times New Roman" w:eastAsia="仿宋_GB2312" w:cs="Times New Roman"/>
          <w:color w:val="000000"/>
          <w:sz w:val="30"/>
          <w:szCs w:val="30"/>
          <w:lang w:val="zh-TW" w:bidi="zh-TW"/>
        </w:rPr>
        <w:t xml:space="preserve">    4.</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bidi="zh-TW"/>
        </w:rPr>
        <w:t xml:space="preserve">享有最新优质项目推送权益； </w:t>
      </w:r>
    </w:p>
    <w:p>
      <w:pPr>
        <w:adjustRightInd w:val="0"/>
        <w:snapToGrid w:val="0"/>
        <w:spacing w:line="600" w:lineRule="exact"/>
        <w:ind w:left="600" w:hanging="600" w:hangingChars="200"/>
        <w:rPr>
          <w:rFonts w:ascii="Times New Roman" w:hAnsi="Times New Roman" w:eastAsia="仿宋_GB2312" w:cs="Times New Roman"/>
          <w:color w:val="000000"/>
          <w:sz w:val="30"/>
          <w:szCs w:val="30"/>
          <w:lang w:val="zh-TW" w:bidi="zh-TW"/>
        </w:rPr>
      </w:pPr>
      <w:r>
        <w:rPr>
          <w:rFonts w:ascii="Times New Roman" w:hAnsi="Times New Roman" w:eastAsia="仿宋_GB2312" w:cs="Times New Roman"/>
          <w:color w:val="000000"/>
          <w:sz w:val="30"/>
          <w:szCs w:val="30"/>
          <w:lang w:val="zh-TW" w:bidi="zh-TW"/>
        </w:rPr>
        <w:t xml:space="preserve">    5.</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bidi="zh-TW"/>
        </w:rPr>
        <w:t xml:space="preserve">中建科信官方网站做相关内容宣传和推介一年时间； </w:t>
      </w:r>
    </w:p>
    <w:p>
      <w:pPr>
        <w:adjustRightInd w:val="0"/>
        <w:snapToGrid w:val="0"/>
        <w:spacing w:line="600" w:lineRule="exact"/>
        <w:ind w:left="600" w:hanging="600" w:hangingChars="200"/>
        <w:rPr>
          <w:rFonts w:ascii="Times New Roman" w:hAnsi="Times New Roman" w:eastAsia="仿宋_GB2312" w:cs="Times New Roman"/>
          <w:color w:val="000000"/>
          <w:sz w:val="30"/>
          <w:szCs w:val="30"/>
          <w:lang w:val="zh-TW" w:bidi="zh-TW"/>
        </w:rPr>
      </w:pPr>
      <w:r>
        <w:rPr>
          <w:rFonts w:ascii="Times New Roman" w:hAnsi="Times New Roman" w:eastAsia="仿宋_GB2312" w:cs="Times New Roman"/>
          <w:color w:val="000000"/>
          <w:sz w:val="30"/>
          <w:szCs w:val="30"/>
          <w:lang w:val="zh-TW" w:bidi="zh-TW"/>
        </w:rPr>
        <w:t xml:space="preserve">    6.</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bidi="zh-TW"/>
        </w:rPr>
        <w:t>享有中建科信集团举办的专题论坛八折优惠；</w:t>
      </w:r>
    </w:p>
    <w:p>
      <w:pPr>
        <w:adjustRightInd w:val="0"/>
        <w:snapToGrid w:val="0"/>
        <w:spacing w:line="600" w:lineRule="exact"/>
        <w:ind w:left="600" w:hanging="600" w:hangingChars="200"/>
        <w:rPr>
          <w:rFonts w:ascii="黑体" w:hAnsi="黑体" w:eastAsia="黑体" w:cs="宋体"/>
          <w:bCs/>
          <w:sz w:val="28"/>
          <w:szCs w:val="28"/>
        </w:rPr>
      </w:pPr>
      <w:r>
        <w:rPr>
          <w:rFonts w:ascii="Times New Roman" w:hAnsi="Times New Roman" w:eastAsia="仿宋_GB2312" w:cs="Times New Roman"/>
          <w:color w:val="000000"/>
          <w:sz w:val="30"/>
          <w:szCs w:val="30"/>
          <w:lang w:val="zh-TW" w:bidi="zh-TW"/>
        </w:rPr>
        <w:t xml:space="preserve">    7.</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bidi="zh-TW"/>
        </w:rPr>
        <w:t>享有高级职业经理人证书申请资格。</w:t>
      </w:r>
      <w:bookmarkEnd w:id="11"/>
      <w:r>
        <w:rPr>
          <w:rFonts w:ascii="黑体" w:hAnsi="黑体" w:eastAsia="黑体" w:cs="宋体"/>
          <w:bCs/>
          <w:sz w:val="28"/>
          <w:szCs w:val="28"/>
        </w:rPr>
        <w:br w:type="page"/>
      </w:r>
    </w:p>
    <w:p>
      <w:pPr>
        <w:spacing w:line="440" w:lineRule="exact"/>
        <w:rPr>
          <w:rFonts w:ascii="黑体" w:hAnsi="黑体" w:eastAsia="黑体" w:cs="宋体"/>
          <w:bCs/>
          <w:sz w:val="30"/>
          <w:szCs w:val="30"/>
        </w:rPr>
      </w:pPr>
      <w:r>
        <w:rPr>
          <w:rFonts w:ascii="黑体" w:hAnsi="黑体" w:eastAsia="黑体" w:cs="宋体"/>
          <w:bCs/>
          <w:sz w:val="30"/>
          <w:szCs w:val="30"/>
        </w:rPr>
        <w:t>附件2</w:t>
      </w:r>
    </w:p>
    <w:p>
      <w:pPr>
        <w:adjustRightInd w:val="0"/>
        <w:snapToGrid w:val="0"/>
        <w:spacing w:line="620" w:lineRule="exact"/>
        <w:jc w:val="center"/>
        <w:rPr>
          <w:rFonts w:ascii="仿宋" w:hAnsi="仿宋" w:eastAsia="仿宋" w:cs="仿宋"/>
          <w:b/>
          <w:bCs/>
          <w:color w:val="000000"/>
          <w:sz w:val="32"/>
          <w:szCs w:val="32"/>
        </w:rPr>
      </w:pPr>
      <w:r>
        <w:rPr>
          <w:rFonts w:hint="eastAsia" w:ascii="仿宋" w:hAnsi="仿宋" w:eastAsia="仿宋" w:cs="仿宋"/>
          <w:bCs/>
          <w:sz w:val="32"/>
          <w:szCs w:val="32"/>
        </w:rPr>
        <w:t>报名回执表</w:t>
      </w:r>
    </w:p>
    <w:tbl>
      <w:tblPr>
        <w:tblStyle w:val="7"/>
        <w:tblpPr w:leftFromText="180" w:rightFromText="180" w:vertAnchor="text" w:horzAnchor="page" w:tblpX="1260" w:tblpY="180"/>
        <w:tblOverlap w:val="never"/>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850"/>
        <w:gridCol w:w="1283"/>
        <w:gridCol w:w="1986"/>
        <w:gridCol w:w="1155"/>
        <w:gridCol w:w="125"/>
        <w:gridCol w:w="707"/>
        <w:gridCol w:w="134"/>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665"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r>
              <w:rPr>
                <w:rFonts w:hint="eastAsia" w:ascii="仿宋" w:hAnsi="仿宋" w:eastAsia="仿宋" w:cs="仿宋"/>
                <w:sz w:val="24"/>
                <w:szCs w:val="24"/>
              </w:rPr>
              <w:t>单位名称</w:t>
            </w:r>
          </w:p>
        </w:tc>
        <w:tc>
          <w:tcPr>
            <w:tcW w:w="5399" w:type="dxa"/>
            <w:gridSpan w:val="5"/>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p>
        </w:tc>
        <w:tc>
          <w:tcPr>
            <w:tcW w:w="841"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r>
              <w:rPr>
                <w:rFonts w:hint="eastAsia" w:ascii="仿宋" w:hAnsi="仿宋" w:eastAsia="仿宋" w:cs="仿宋"/>
                <w:sz w:val="24"/>
                <w:szCs w:val="24"/>
              </w:rPr>
              <w:t>邮编</w:t>
            </w:r>
          </w:p>
        </w:tc>
        <w:tc>
          <w:tcPr>
            <w:tcW w:w="1854"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665"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r>
              <w:rPr>
                <w:rFonts w:hint="eastAsia" w:ascii="仿宋" w:hAnsi="仿宋" w:eastAsia="仿宋" w:cs="仿宋"/>
                <w:sz w:val="24"/>
                <w:szCs w:val="24"/>
              </w:rPr>
              <w:t>单位地址</w:t>
            </w:r>
          </w:p>
        </w:tc>
        <w:tc>
          <w:tcPr>
            <w:tcW w:w="8094" w:type="dxa"/>
            <w:gridSpan w:val="8"/>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65"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r>
              <w:rPr>
                <w:rFonts w:hint="eastAsia" w:ascii="仿宋" w:hAnsi="仿宋" w:eastAsia="仿宋" w:cs="仿宋"/>
                <w:sz w:val="24"/>
                <w:szCs w:val="24"/>
              </w:rPr>
              <w:t>联系人</w:t>
            </w:r>
          </w:p>
        </w:tc>
        <w:tc>
          <w:tcPr>
            <w:tcW w:w="2133"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p>
        </w:tc>
        <w:tc>
          <w:tcPr>
            <w:tcW w:w="3266" w:type="dxa"/>
            <w:gridSpan w:val="3"/>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r>
              <w:rPr>
                <w:rFonts w:hint="eastAsia" w:ascii="仿宋" w:hAnsi="仿宋" w:eastAsia="仿宋" w:cs="仿宋"/>
                <w:sz w:val="24"/>
                <w:szCs w:val="24"/>
              </w:rPr>
              <w:t>部门职务</w:t>
            </w:r>
          </w:p>
        </w:tc>
        <w:tc>
          <w:tcPr>
            <w:tcW w:w="2695" w:type="dxa"/>
            <w:gridSpan w:val="3"/>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665"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r>
              <w:rPr>
                <w:rFonts w:hint="eastAsia" w:ascii="仿宋" w:hAnsi="仿宋" w:eastAsia="仿宋" w:cs="仿宋"/>
                <w:sz w:val="24"/>
                <w:szCs w:val="24"/>
              </w:rPr>
              <w:t>办公电话</w:t>
            </w:r>
          </w:p>
        </w:tc>
        <w:tc>
          <w:tcPr>
            <w:tcW w:w="2133"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p>
        </w:tc>
        <w:tc>
          <w:tcPr>
            <w:tcW w:w="3266" w:type="dxa"/>
            <w:gridSpan w:val="3"/>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r>
              <w:rPr>
                <w:rFonts w:hint="eastAsia" w:ascii="仿宋" w:hAnsi="仿宋" w:eastAsia="仿宋" w:cs="仿宋"/>
                <w:sz w:val="24"/>
                <w:szCs w:val="24"/>
              </w:rPr>
              <w:t>手    机</w:t>
            </w:r>
          </w:p>
        </w:tc>
        <w:tc>
          <w:tcPr>
            <w:tcW w:w="2695" w:type="dxa"/>
            <w:gridSpan w:val="3"/>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65"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r>
              <w:rPr>
                <w:rFonts w:hint="eastAsia" w:ascii="仿宋" w:hAnsi="仿宋" w:eastAsia="仿宋" w:cs="仿宋"/>
                <w:sz w:val="24"/>
                <w:szCs w:val="24"/>
              </w:rPr>
              <w:t>传   真</w:t>
            </w:r>
          </w:p>
        </w:tc>
        <w:tc>
          <w:tcPr>
            <w:tcW w:w="2133"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p>
        </w:tc>
        <w:tc>
          <w:tcPr>
            <w:tcW w:w="3266" w:type="dxa"/>
            <w:gridSpan w:val="3"/>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r>
              <w:rPr>
                <w:rFonts w:hint="eastAsia" w:ascii="仿宋" w:hAnsi="仿宋" w:eastAsia="仿宋" w:cs="仿宋"/>
                <w:sz w:val="24"/>
                <w:szCs w:val="24"/>
              </w:rPr>
              <w:t>电子信箱</w:t>
            </w:r>
          </w:p>
        </w:tc>
        <w:tc>
          <w:tcPr>
            <w:tcW w:w="2695" w:type="dxa"/>
            <w:gridSpan w:val="3"/>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665"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r>
              <w:rPr>
                <w:rFonts w:hint="eastAsia" w:ascii="仿宋" w:hAnsi="仿宋" w:eastAsia="仿宋" w:cs="仿宋"/>
                <w:sz w:val="24"/>
                <w:szCs w:val="24"/>
              </w:rPr>
              <w:t>参训人员</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r>
              <w:rPr>
                <w:rFonts w:hint="eastAsia" w:ascii="仿宋" w:hAnsi="仿宋" w:eastAsia="仿宋" w:cs="仿宋"/>
                <w:sz w:val="24"/>
                <w:szCs w:val="24"/>
              </w:rPr>
              <w:t>性别</w:t>
            </w:r>
          </w:p>
        </w:tc>
        <w:tc>
          <w:tcPr>
            <w:tcW w:w="1283"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r>
              <w:rPr>
                <w:rFonts w:hint="eastAsia" w:ascii="仿宋" w:hAnsi="仿宋" w:eastAsia="仿宋" w:cs="仿宋"/>
                <w:sz w:val="24"/>
                <w:szCs w:val="24"/>
              </w:rPr>
              <w:t>职务</w:t>
            </w:r>
          </w:p>
        </w:tc>
        <w:tc>
          <w:tcPr>
            <w:tcW w:w="1986"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r>
              <w:rPr>
                <w:rFonts w:hint="eastAsia" w:ascii="仿宋" w:hAnsi="仿宋" w:eastAsia="仿宋" w:cs="仿宋"/>
                <w:sz w:val="24"/>
                <w:szCs w:val="24"/>
              </w:rPr>
              <w:t>电话</w:t>
            </w:r>
          </w:p>
        </w:tc>
        <w:tc>
          <w:tcPr>
            <w:tcW w:w="1987" w:type="dxa"/>
            <w:gridSpan w:val="3"/>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r>
              <w:rPr>
                <w:rFonts w:hint="eastAsia" w:ascii="仿宋" w:hAnsi="仿宋" w:eastAsia="仿宋" w:cs="仿宋"/>
                <w:sz w:val="24"/>
                <w:szCs w:val="24"/>
              </w:rPr>
              <w:t>手机</w:t>
            </w:r>
          </w:p>
        </w:tc>
        <w:tc>
          <w:tcPr>
            <w:tcW w:w="1988"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r>
              <w:rPr>
                <w:rFonts w:hint="eastAsia" w:ascii="仿宋" w:hAnsi="仿宋" w:eastAsia="仿宋" w:cs="仿宋"/>
                <w:sz w:val="24"/>
                <w:szCs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65"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p>
        </w:tc>
        <w:tc>
          <w:tcPr>
            <w:tcW w:w="1283"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p>
        </w:tc>
        <w:tc>
          <w:tcPr>
            <w:tcW w:w="1986"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p>
        </w:tc>
        <w:tc>
          <w:tcPr>
            <w:tcW w:w="1987" w:type="dxa"/>
            <w:gridSpan w:val="3"/>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p>
        </w:tc>
        <w:tc>
          <w:tcPr>
            <w:tcW w:w="1988"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65"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p>
        </w:tc>
        <w:tc>
          <w:tcPr>
            <w:tcW w:w="1283"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p>
        </w:tc>
        <w:tc>
          <w:tcPr>
            <w:tcW w:w="1986"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p>
        </w:tc>
        <w:tc>
          <w:tcPr>
            <w:tcW w:w="1987" w:type="dxa"/>
            <w:gridSpan w:val="3"/>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p>
        </w:tc>
        <w:tc>
          <w:tcPr>
            <w:tcW w:w="1988"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65"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p>
        </w:tc>
        <w:tc>
          <w:tcPr>
            <w:tcW w:w="1283"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p>
        </w:tc>
        <w:tc>
          <w:tcPr>
            <w:tcW w:w="1986"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p>
        </w:tc>
        <w:tc>
          <w:tcPr>
            <w:tcW w:w="1987" w:type="dxa"/>
            <w:gridSpan w:val="3"/>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p>
        </w:tc>
        <w:tc>
          <w:tcPr>
            <w:tcW w:w="1988"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65"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r>
              <w:rPr>
                <w:rFonts w:hint="eastAsia" w:ascii="仿宋" w:hAnsi="仿宋" w:eastAsia="仿宋" w:cs="仿宋"/>
                <w:sz w:val="24"/>
                <w:szCs w:val="24"/>
              </w:rPr>
              <w:t>参训地点</w:t>
            </w:r>
          </w:p>
        </w:tc>
        <w:tc>
          <w:tcPr>
            <w:tcW w:w="2133"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p>
        </w:tc>
        <w:tc>
          <w:tcPr>
            <w:tcW w:w="1986"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r>
              <w:rPr>
                <w:rFonts w:hint="eastAsia" w:ascii="仿宋" w:hAnsi="仿宋" w:eastAsia="仿宋" w:cs="仿宋"/>
                <w:sz w:val="24"/>
                <w:szCs w:val="24"/>
              </w:rPr>
              <w:t>证书申报</w:t>
            </w:r>
          </w:p>
        </w:tc>
        <w:tc>
          <w:tcPr>
            <w:tcW w:w="3975" w:type="dxa"/>
            <w:gridSpan w:val="5"/>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665"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r>
              <w:rPr>
                <w:rFonts w:hint="eastAsia" w:ascii="仿宋" w:hAnsi="仿宋" w:eastAsia="仿宋" w:cs="仿宋"/>
                <w:sz w:val="24"/>
                <w:szCs w:val="24"/>
              </w:rPr>
              <w:t>收费标准</w:t>
            </w:r>
          </w:p>
        </w:tc>
        <w:tc>
          <w:tcPr>
            <w:tcW w:w="8094" w:type="dxa"/>
            <w:gridSpan w:val="8"/>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r>
              <w:rPr>
                <w:rFonts w:hint="eastAsia" w:ascii="仿宋" w:hAnsi="仿宋" w:eastAsia="仿宋" w:cs="仿宋"/>
                <w:sz w:val="24"/>
                <w:szCs w:val="24"/>
              </w:rPr>
              <w:t>28000元□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665"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r>
              <w:rPr>
                <w:rFonts w:hint="eastAsia" w:ascii="仿宋" w:hAnsi="仿宋" w:eastAsia="仿宋" w:cs="仿宋"/>
                <w:sz w:val="24"/>
                <w:szCs w:val="24"/>
              </w:rPr>
              <w:t>住宿标准</w:t>
            </w:r>
          </w:p>
        </w:tc>
        <w:tc>
          <w:tcPr>
            <w:tcW w:w="8094" w:type="dxa"/>
            <w:gridSpan w:val="8"/>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r>
              <w:rPr>
                <w:rFonts w:hint="eastAsia" w:ascii="仿宋" w:hAnsi="仿宋" w:eastAsia="仿宋" w:cs="仿宋"/>
                <w:sz w:val="24"/>
                <w:szCs w:val="24"/>
              </w:rPr>
              <w:t>单住□         合住□          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65"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r>
              <w:rPr>
                <w:rFonts w:hint="eastAsia" w:ascii="仿宋" w:hAnsi="仿宋" w:eastAsia="仿宋" w:cs="仿宋"/>
                <w:sz w:val="24"/>
                <w:szCs w:val="24"/>
              </w:rPr>
              <w:t>付款方式</w:t>
            </w:r>
          </w:p>
        </w:tc>
        <w:tc>
          <w:tcPr>
            <w:tcW w:w="4119" w:type="dxa"/>
            <w:gridSpan w:val="3"/>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r>
              <w:rPr>
                <w:rFonts w:hint="eastAsia" w:ascii="仿宋" w:hAnsi="仿宋" w:eastAsia="仿宋" w:cs="仿宋"/>
                <w:sz w:val="24"/>
                <w:szCs w:val="24"/>
              </w:rPr>
              <w:t>转账</w:t>
            </w:r>
            <w:r>
              <w:rPr>
                <w:rFonts w:hint="eastAsia" w:ascii="仿宋" w:hAnsi="仿宋" w:eastAsia="仿宋" w:cs="仿宋"/>
                <w:sz w:val="24"/>
                <w:szCs w:val="24"/>
              </w:rPr>
              <w:sym w:font="Wingdings 2" w:char="00A3"/>
            </w:r>
            <w:r>
              <w:rPr>
                <w:rFonts w:hint="eastAsia" w:ascii="仿宋" w:hAnsi="仿宋" w:eastAsia="仿宋" w:cs="仿宋"/>
                <w:sz w:val="24"/>
                <w:szCs w:val="24"/>
              </w:rPr>
              <w:t xml:space="preserve">       现金</w:t>
            </w:r>
            <w:r>
              <w:rPr>
                <w:rFonts w:hint="eastAsia" w:ascii="仿宋" w:hAnsi="仿宋" w:eastAsia="仿宋" w:cs="仿宋"/>
                <w:sz w:val="24"/>
                <w:szCs w:val="24"/>
              </w:rPr>
              <w:sym w:font="Wingdings 2" w:char="00A3"/>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r>
              <w:rPr>
                <w:rFonts w:hint="eastAsia" w:ascii="仿宋" w:hAnsi="仿宋" w:eastAsia="仿宋" w:cs="仿宋"/>
                <w:sz w:val="24"/>
                <w:szCs w:val="24"/>
              </w:rPr>
              <w:t>金额</w:t>
            </w:r>
          </w:p>
        </w:tc>
        <w:tc>
          <w:tcPr>
            <w:tcW w:w="2820" w:type="dxa"/>
            <w:gridSpan w:val="4"/>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665"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r>
              <w:rPr>
                <w:rFonts w:hint="eastAsia" w:ascii="仿宋" w:hAnsi="仿宋" w:eastAsia="仿宋" w:cs="仿宋"/>
                <w:sz w:val="24"/>
                <w:szCs w:val="24"/>
                <w:lang w:val="zh-CN"/>
              </w:rPr>
              <w:t>收款账户</w:t>
            </w:r>
          </w:p>
        </w:tc>
        <w:tc>
          <w:tcPr>
            <w:tcW w:w="8094" w:type="dxa"/>
            <w:gridSpan w:val="8"/>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lang w:val="zh-CN"/>
              </w:rPr>
            </w:pPr>
            <w:r>
              <w:rPr>
                <w:rFonts w:hint="eastAsia" w:ascii="仿宋" w:hAnsi="仿宋" w:eastAsia="仿宋" w:cs="仿宋"/>
                <w:sz w:val="24"/>
                <w:szCs w:val="24"/>
                <w:lang w:val="zh-CN"/>
              </w:rPr>
              <w:t xml:space="preserve">单位名称： 北京中建科信管理咨询集团有限公司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lang w:val="zh-CN"/>
              </w:rPr>
            </w:pPr>
            <w:r>
              <w:rPr>
                <w:rFonts w:hint="eastAsia" w:ascii="仿宋" w:hAnsi="仿宋" w:eastAsia="仿宋" w:cs="仿宋"/>
                <w:sz w:val="24"/>
                <w:szCs w:val="24"/>
                <w:lang w:val="zh-CN"/>
              </w:rPr>
              <w:t xml:space="preserve">开 户 行： 中国工商银行股份有限公司北京半壁店支行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r>
              <w:rPr>
                <w:rFonts w:hint="eastAsia" w:ascii="仿宋" w:hAnsi="仿宋" w:eastAsia="仿宋" w:cs="仿宋"/>
                <w:sz w:val="24"/>
                <w:szCs w:val="24"/>
                <w:lang w:val="zh-CN"/>
              </w:rPr>
              <w:t>账    号： 0200247009200068235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1665"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r>
              <w:rPr>
                <w:rFonts w:hint="eastAsia" w:ascii="仿宋" w:hAnsi="仿宋" w:eastAsia="仿宋" w:cs="仿宋"/>
                <w:sz w:val="24"/>
                <w:szCs w:val="24"/>
              </w:rPr>
              <w:t>备注</w:t>
            </w:r>
          </w:p>
        </w:tc>
        <w:tc>
          <w:tcPr>
            <w:tcW w:w="5274" w:type="dxa"/>
            <w:gridSpan w:val="4"/>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lang w:val="zh-CN"/>
              </w:rPr>
            </w:pPr>
            <w:r>
              <w:rPr>
                <w:rFonts w:hint="eastAsia" w:ascii="仿宋" w:hAnsi="仿宋" w:eastAsia="仿宋" w:cs="仿宋"/>
                <w:sz w:val="24"/>
                <w:szCs w:val="24"/>
                <w:lang w:val="zh-CN"/>
              </w:rPr>
              <w:t>请将《报名回执表》发送至会务组，并于报名3日内将培训费汇至指定账户，会务组确认收到培训费后即发《报到通知》，详细说明培训安排具体事项。</w:t>
            </w:r>
          </w:p>
        </w:tc>
        <w:tc>
          <w:tcPr>
            <w:tcW w:w="2820" w:type="dxa"/>
            <w:gridSpan w:val="4"/>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r>
              <w:rPr>
                <w:rFonts w:hint="eastAsia" w:ascii="仿宋" w:hAnsi="仿宋" w:eastAsia="仿宋" w:cs="仿宋"/>
                <w:sz w:val="24"/>
                <w:szCs w:val="24"/>
              </w:rPr>
              <w:t>单位印章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sz w:val="24"/>
                <w:szCs w:val="24"/>
              </w:rPr>
            </w:pPr>
            <w:r>
              <w:rPr>
                <w:rFonts w:hint="eastAsia" w:ascii="仿宋" w:hAnsi="仿宋" w:eastAsia="仿宋" w:cs="仿宋"/>
                <w:sz w:val="24"/>
                <w:szCs w:val="24"/>
              </w:rPr>
              <w:t>年  月  日</w:t>
            </w: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报名负责人：聂主任18211071700（微信）   </w:t>
      </w:r>
      <w:bookmarkStart w:id="12" w:name="_GoBack"/>
      <w:bookmarkEnd w:id="12"/>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电  话：010-87697580      邮    箱：zqgphwz@126.com  </w:t>
      </w:r>
    </w:p>
    <w:p>
      <w:pPr>
        <w:keepNext w:val="0"/>
        <w:keepLines w:val="0"/>
        <w:pageBreakBefore w:val="0"/>
        <w:widowControl w:val="0"/>
        <w:kinsoku/>
        <w:wordWrap/>
        <w:overflowPunct/>
        <w:topLinePunct w:val="0"/>
        <w:autoSpaceDE/>
        <w:autoSpaceDN/>
        <w:bidi w:val="0"/>
        <w:adjustRightInd/>
        <w:snapToGrid/>
        <w:spacing w:line="460" w:lineRule="exact"/>
        <w:textAlignment w:val="auto"/>
      </w:pPr>
      <w:r>
        <w:rPr>
          <w:rFonts w:hint="eastAsia" w:ascii="仿宋" w:hAnsi="仿宋" w:eastAsia="仿宋" w:cs="仿宋"/>
          <w:sz w:val="24"/>
          <w:szCs w:val="24"/>
        </w:rPr>
        <w:t xml:space="preserve">qq咨询：3177524020        网址查询：http://www.zqgpchina.cn/ </w:t>
      </w:r>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0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748621"/>
    </w:sdtPr>
    <w:sdtContent>
      <w:p>
        <w:pPr>
          <w:pStyle w:val="4"/>
          <w:jc w:val="right"/>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2MzMwZGViNGExY2JkYTg0YWI5OGU0ZTcwZTNmZGEifQ=="/>
  </w:docVars>
  <w:rsids>
    <w:rsidRoot w:val="00371CF9"/>
    <w:rsid w:val="0003296F"/>
    <w:rsid w:val="00080669"/>
    <w:rsid w:val="00103115"/>
    <w:rsid w:val="001E6C0D"/>
    <w:rsid w:val="002B3BB9"/>
    <w:rsid w:val="00371CF9"/>
    <w:rsid w:val="003B1C48"/>
    <w:rsid w:val="00517BDE"/>
    <w:rsid w:val="0056339C"/>
    <w:rsid w:val="00595D91"/>
    <w:rsid w:val="005F33BB"/>
    <w:rsid w:val="00691725"/>
    <w:rsid w:val="00765113"/>
    <w:rsid w:val="007770DA"/>
    <w:rsid w:val="00791149"/>
    <w:rsid w:val="007A164E"/>
    <w:rsid w:val="007A6597"/>
    <w:rsid w:val="007F6160"/>
    <w:rsid w:val="0082758B"/>
    <w:rsid w:val="00A72B2A"/>
    <w:rsid w:val="00A82878"/>
    <w:rsid w:val="00B322FA"/>
    <w:rsid w:val="00C003D4"/>
    <w:rsid w:val="00C45E6F"/>
    <w:rsid w:val="00D0033D"/>
    <w:rsid w:val="00D67BAF"/>
    <w:rsid w:val="00DD28F4"/>
    <w:rsid w:val="00E345D9"/>
    <w:rsid w:val="00E43BE9"/>
    <w:rsid w:val="00E63994"/>
    <w:rsid w:val="00E819DD"/>
    <w:rsid w:val="00F1684F"/>
    <w:rsid w:val="0710438D"/>
    <w:rsid w:val="0E54453D"/>
    <w:rsid w:val="18F252CE"/>
    <w:rsid w:val="24705C1A"/>
    <w:rsid w:val="26852EA3"/>
    <w:rsid w:val="2BFA3A36"/>
    <w:rsid w:val="2CC64B03"/>
    <w:rsid w:val="2E2E6079"/>
    <w:rsid w:val="2E9A6E43"/>
    <w:rsid w:val="30EC6BB1"/>
    <w:rsid w:val="3A1F55E1"/>
    <w:rsid w:val="3D0C3318"/>
    <w:rsid w:val="46055D3D"/>
    <w:rsid w:val="53FE2EDB"/>
    <w:rsid w:val="567712AE"/>
    <w:rsid w:val="5BFF141C"/>
    <w:rsid w:val="657542EE"/>
    <w:rsid w:val="69116152"/>
    <w:rsid w:val="6E6E5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semiHidden/>
    <w:unhideWhenUsed/>
    <w:qFormat/>
    <w:uiPriority w:val="99"/>
    <w:pPr>
      <w:spacing w:after="120"/>
      <w:ind w:left="420" w:leftChars="200"/>
    </w:p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link w:val="13"/>
    <w:semiHidden/>
    <w:unhideWhenUsed/>
    <w:qFormat/>
    <w:uiPriority w:val="99"/>
    <w:pPr>
      <w:autoSpaceDE w:val="0"/>
      <w:autoSpaceDN w:val="0"/>
      <w:adjustRightInd w:val="0"/>
      <w:ind w:firstLine="420" w:firstLineChars="200"/>
      <w:jc w:val="left"/>
    </w:pPr>
    <w:rPr>
      <w:rFonts w:hint="eastAsia" w:ascii="宋体" w:hAnsi="宋体" w:eastAsia="宋体" w:cs="Times New Roman"/>
      <w:kern w:val="0"/>
      <w:sz w:val="24"/>
      <w:szCs w:val="20"/>
    </w:rPr>
  </w:style>
  <w:style w:type="character" w:customStyle="1" w:styleId="9">
    <w:name w:val="批注框文本 字符"/>
    <w:basedOn w:val="8"/>
    <w:link w:val="3"/>
    <w:semiHidden/>
    <w:qFormat/>
    <w:uiPriority w:val="99"/>
    <w:rPr>
      <w:sz w:val="18"/>
      <w:szCs w:val="18"/>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正文文本缩进 字符"/>
    <w:basedOn w:val="8"/>
    <w:link w:val="2"/>
    <w:semiHidden/>
    <w:qFormat/>
    <w:uiPriority w:val="99"/>
    <w:rPr>
      <w:kern w:val="2"/>
      <w:sz w:val="21"/>
      <w:szCs w:val="22"/>
    </w:rPr>
  </w:style>
  <w:style w:type="character" w:customStyle="1" w:styleId="13">
    <w:name w:val="正文文本首行缩进 2 字符"/>
    <w:basedOn w:val="12"/>
    <w:link w:val="6"/>
    <w:semiHidden/>
    <w:qFormat/>
    <w:uiPriority w:val="99"/>
    <w:rPr>
      <w:rFonts w:ascii="宋体" w:hAnsi="宋体" w:eastAsia="宋体" w:cs="Times New Roman"/>
      <w:kern w:val="2"/>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4422</Words>
  <Characters>4710</Characters>
  <Lines>40</Lines>
  <Paragraphs>11</Paragraphs>
  <TotalTime>30</TotalTime>
  <ScaleCrop>false</ScaleCrop>
  <LinksUpToDate>false</LinksUpToDate>
  <CharactersWithSpaces>5013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2022-01-13T06:47:00Z</dcterms:created>
  <dc:creator>Hp</dc:creator>
  <cp:lastModifiedBy>聂红军</cp:lastModifiedBy>
  <cp:lastPrinted>2022-01-13T08:05:00Z</cp:lastPrinted>
  <dcterms:modified xsi:type="dcterms:W3CDTF">2022-09-01T02:48:45Z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6E95CAE34B1D4F4888DE6F443CF0570B</vt:lpwstr>
  </property>
</Properties>
</file>