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仿宋_GB2312"/>
          <w:spacing w:val="8"/>
          <w:sz w:val="30"/>
          <w:szCs w:val="30"/>
        </w:rPr>
      </w:pPr>
      <w:r>
        <w:rPr>
          <w:rFonts w:hint="default" w:ascii="Times New Roman" w:hAnsi="Times New Roman" w:eastAsia="仿宋_GB2312"/>
          <w:spacing w:val="8"/>
          <w:sz w:val="30"/>
          <w:szCs w:val="30"/>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-1028065</wp:posOffset>
            </wp:positionV>
            <wp:extent cx="7851140" cy="10930255"/>
            <wp:effectExtent l="0" t="0" r="22860" b="17145"/>
            <wp:wrapNone/>
            <wp:docPr id="2" name="图片 2" descr="4.企业合规经营与责任追究专业人才培训专题班（2023）-update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企业合规经营与责任追究专业人才培训专题班（2023）-update_00"/>
                    <pic:cNvPicPr>
                      <a:picLocks noChangeAspect="1"/>
                    </pic:cNvPicPr>
                  </pic:nvPicPr>
                  <pic:blipFill>
                    <a:blip r:embed="rId5"/>
                    <a:stretch>
                      <a:fillRect/>
                    </a:stretch>
                  </pic:blipFill>
                  <pic:spPr>
                    <a:xfrm>
                      <a:off x="0" y="0"/>
                      <a:ext cx="7851140" cy="10930255"/>
                    </a:xfrm>
                    <a:prstGeom prst="rect">
                      <a:avLst/>
                    </a:prstGeom>
                  </pic:spPr>
                </pic:pic>
              </a:graphicData>
            </a:graphic>
          </wp:anchor>
        </w:drawing>
      </w:r>
    </w:p>
    <w:p>
      <w:pPr>
        <w:pStyle w:val="2"/>
        <w:rPr>
          <w:rFonts w:hint="default"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r>
        <w:rPr>
          <w:rFonts w:hint="default" w:ascii="Times New Roman" w:hAnsi="Times New Roman" w:eastAsia="仿宋_GB2312"/>
          <w:spacing w:val="8"/>
          <w:sz w:val="30"/>
          <w:szCs w:val="30"/>
        </w:rPr>
        <w:drawing>
          <wp:anchor distT="0" distB="0" distL="114300" distR="114300" simplePos="0" relativeHeight="251660288" behindDoc="0" locked="0" layoutInCell="1" allowOverlap="1">
            <wp:simplePos x="0" y="0"/>
            <wp:positionH relativeFrom="column">
              <wp:posOffset>-1076325</wp:posOffset>
            </wp:positionH>
            <wp:positionV relativeFrom="paragraph">
              <wp:posOffset>-923925</wp:posOffset>
            </wp:positionV>
            <wp:extent cx="7889875" cy="10819130"/>
            <wp:effectExtent l="0" t="0" r="9525" b="1270"/>
            <wp:wrapNone/>
            <wp:docPr id="3" name="图片 3" descr="4.企业合规经营与责任追究专业人才培训专题班（2023）-updat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企业合规经营与责任追究专业人才培训专题班（2023）-update_01"/>
                    <pic:cNvPicPr>
                      <a:picLocks noChangeAspect="1"/>
                    </pic:cNvPicPr>
                  </pic:nvPicPr>
                  <pic:blipFill>
                    <a:blip r:embed="rId6"/>
                    <a:stretch>
                      <a:fillRect/>
                    </a:stretch>
                  </pic:blipFill>
                  <pic:spPr>
                    <a:xfrm>
                      <a:off x="0" y="0"/>
                      <a:ext cx="7889875" cy="10819130"/>
                    </a:xfrm>
                    <a:prstGeom prst="rect">
                      <a:avLst/>
                    </a:prstGeom>
                  </pic:spPr>
                </pic:pic>
              </a:graphicData>
            </a:graphic>
          </wp:anchor>
        </w:drawing>
      </w: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pPr>
    </w:p>
    <w:p>
      <w:pPr>
        <w:pStyle w:val="2"/>
        <w:ind w:firstLine="632"/>
        <w:rPr>
          <w:rFonts w:ascii="Times New Roman" w:eastAsia="仿宋_GB2312"/>
          <w:spacing w:val="8"/>
          <w:sz w:val="30"/>
          <w:szCs w:val="30"/>
        </w:rPr>
      </w:pPr>
    </w:p>
    <w:p>
      <w:pPr>
        <w:rPr>
          <w:rFonts w:ascii="Times New Roman" w:hAnsi="Times New Roman" w:eastAsia="仿宋_GB2312"/>
          <w:spacing w:val="8"/>
          <w:sz w:val="30"/>
          <w:szCs w:val="30"/>
        </w:rPr>
      </w:pPr>
    </w:p>
    <w:p>
      <w:pPr>
        <w:pStyle w:val="2"/>
        <w:ind w:firstLine="632"/>
        <w:rPr>
          <w:rFonts w:ascii="Times New Roman" w:eastAsia="仿宋_GB2312"/>
          <w:spacing w:val="8"/>
          <w:sz w:val="30"/>
          <w:szCs w:val="30"/>
        </w:rPr>
      </w:pPr>
    </w:p>
    <w:p>
      <w:pPr>
        <w:rPr>
          <w:rFonts w:ascii="Times New Roman" w:hAnsi="Times New Roman" w:eastAsia="仿宋_GB2312"/>
          <w:spacing w:val="8"/>
          <w:sz w:val="30"/>
          <w:szCs w:val="30"/>
        </w:rPr>
      </w:pPr>
    </w:p>
    <w:p>
      <w:pPr>
        <w:pStyle w:val="2"/>
        <w:ind w:firstLine="632"/>
        <w:rPr>
          <w:rFonts w:ascii="Times New Roman" w:eastAsia="仿宋_GB2312"/>
          <w:spacing w:val="8"/>
          <w:sz w:val="30"/>
          <w:szCs w:val="30"/>
        </w:rPr>
      </w:pPr>
    </w:p>
    <w:p>
      <w:pPr>
        <w:rPr>
          <w:rFonts w:ascii="Times New Roman" w:hAnsi="Times New Roman" w:eastAsia="仿宋_GB2312"/>
          <w:spacing w:val="8"/>
          <w:sz w:val="30"/>
          <w:szCs w:val="30"/>
        </w:rPr>
      </w:pPr>
    </w:p>
    <w:p>
      <w:pPr>
        <w:pStyle w:val="2"/>
        <w:ind w:firstLine="632"/>
        <w:rPr>
          <w:rFonts w:ascii="Times New Roman" w:eastAsia="仿宋_GB2312"/>
          <w:spacing w:val="8"/>
          <w:sz w:val="30"/>
          <w:szCs w:val="30"/>
        </w:rPr>
      </w:pPr>
    </w:p>
    <w:p>
      <w:pPr>
        <w:rPr>
          <w:rFonts w:ascii="Times New Roman" w:hAnsi="Times New Roman" w:eastAsia="仿宋_GB2312"/>
          <w:spacing w:val="8"/>
          <w:sz w:val="30"/>
          <w:szCs w:val="30"/>
        </w:rPr>
      </w:pPr>
    </w:p>
    <w:p>
      <w:pPr>
        <w:pStyle w:val="2"/>
        <w:ind w:firstLine="632"/>
        <w:rPr>
          <w:rFonts w:ascii="Times New Roman" w:eastAsia="仿宋_GB2312"/>
          <w:spacing w:val="8"/>
          <w:sz w:val="30"/>
          <w:szCs w:val="30"/>
        </w:rPr>
      </w:pPr>
    </w:p>
    <w:p>
      <w:pPr>
        <w:rPr>
          <w:rFonts w:ascii="Times New Roman" w:hAnsi="Times New Roman" w:eastAsia="仿宋_GB2312"/>
          <w:spacing w:val="8"/>
          <w:sz w:val="30"/>
          <w:szCs w:val="30"/>
        </w:rPr>
      </w:pPr>
    </w:p>
    <w:p>
      <w:pPr>
        <w:pStyle w:val="2"/>
        <w:ind w:firstLine="632"/>
        <w:rPr>
          <w:rFonts w:ascii="Times New Roman" w:eastAsia="仿宋_GB2312"/>
          <w:spacing w:val="8"/>
          <w:sz w:val="30"/>
          <w:szCs w:val="30"/>
        </w:rPr>
      </w:pPr>
    </w:p>
    <w:p/>
    <w:p>
      <w:pPr>
        <w:snapToGrid w:val="0"/>
        <w:spacing w:line="600" w:lineRule="exact"/>
        <w:rPr>
          <w:rFonts w:cs="黑体" w:asciiTheme="minorEastAsia" w:hAnsiTheme="minorEastAsia"/>
          <w:sz w:val="32"/>
          <w:szCs w:val="32"/>
        </w:rPr>
      </w:pPr>
    </w:p>
    <w:p>
      <w:pPr>
        <w:snapToGrid w:val="0"/>
        <w:spacing w:line="600" w:lineRule="exact"/>
        <w:rPr>
          <w:rFonts w:cs="黑体" w:asciiTheme="minorEastAsia" w:hAnsiTheme="minorEastAsia"/>
          <w:sz w:val="32"/>
          <w:szCs w:val="32"/>
        </w:rPr>
      </w:pPr>
      <w:r>
        <w:rPr>
          <w:rFonts w:cs="黑体" w:asciiTheme="minorEastAsia" w:hAnsiTheme="minorEastAsia"/>
          <w:sz w:val="32"/>
          <w:szCs w:val="32"/>
        </w:rPr>
        <w:t>附件</w:t>
      </w:r>
      <w:r>
        <w:rPr>
          <w:rFonts w:hint="eastAsia" w:cs="黑体" w:asciiTheme="minorEastAsia" w:hAnsiTheme="minorEastAsia"/>
          <w:sz w:val="32"/>
          <w:szCs w:val="32"/>
        </w:rPr>
        <w:t>1：</w:t>
      </w:r>
    </w:p>
    <w:p>
      <w:pPr>
        <w:snapToGrid w:val="0"/>
        <w:spacing w:line="600" w:lineRule="exact"/>
        <w:jc w:val="center"/>
        <w:rPr>
          <w:rFonts w:cs="宋体" w:asciiTheme="minorEastAsia" w:hAnsiTheme="minorEastAsia"/>
          <w:bCs/>
          <w:sz w:val="44"/>
          <w:szCs w:val="44"/>
        </w:rPr>
      </w:pPr>
      <w:r>
        <w:rPr>
          <w:rFonts w:cs="宋体" w:asciiTheme="minorEastAsia" w:hAnsiTheme="minorEastAsia"/>
          <w:bCs/>
          <w:sz w:val="44"/>
          <w:szCs w:val="44"/>
        </w:rPr>
        <w:t>招生简章</w:t>
      </w:r>
      <w:r>
        <w:rPr>
          <w:rFonts w:hint="eastAsia" w:cs="宋体" w:asciiTheme="minorEastAsia" w:hAnsiTheme="minorEastAsia"/>
          <w:bCs/>
          <w:sz w:val="44"/>
          <w:szCs w:val="44"/>
        </w:rPr>
        <w:t>和培训内容</w:t>
      </w:r>
    </w:p>
    <w:p>
      <w:pPr>
        <w:pStyle w:val="2"/>
      </w:pPr>
    </w:p>
    <w:p>
      <w:pPr>
        <w:spacing w:line="360" w:lineRule="auto"/>
        <w:rPr>
          <w:rFonts w:ascii="仿宋" w:hAnsi="仿宋" w:eastAsia="仿宋" w:cs="仿宋"/>
          <w:b/>
          <w:bCs/>
          <w:sz w:val="28"/>
          <w:szCs w:val="28"/>
        </w:rPr>
      </w:pPr>
      <w:r>
        <w:rPr>
          <w:rFonts w:hint="eastAsia" w:ascii="仿宋" w:hAnsi="仿宋" w:eastAsia="仿宋" w:cs="仿宋"/>
          <w:b/>
          <w:bCs/>
          <w:sz w:val="28"/>
          <w:szCs w:val="28"/>
        </w:rPr>
        <w:t>一、培训目的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深入贯彻党落实中央、国务院关于加强国有企业违规经营投资责任追究的决策部署，全面落实国企改革三年行动任务分工，建立全覆盖的出资人违规责任追究工作体系，为做强做优做大国有资本和国有企业，促进中央企业依法合规经营和高质量发展提供坚实保障。</w:t>
      </w:r>
    </w:p>
    <w:p>
      <w:pPr>
        <w:spacing w:line="360" w:lineRule="auto"/>
        <w:rPr>
          <w:rFonts w:ascii="仿宋" w:hAnsi="仿宋" w:eastAsia="仿宋" w:cs="仿宋"/>
          <w:b/>
          <w:bCs/>
          <w:sz w:val="28"/>
          <w:szCs w:val="28"/>
        </w:rPr>
      </w:pPr>
      <w:r>
        <w:rPr>
          <w:rFonts w:hint="eastAsia" w:ascii="仿宋" w:hAnsi="仿宋" w:eastAsia="仿宋" w:cs="仿宋"/>
          <w:b/>
          <w:bCs/>
          <w:sz w:val="28"/>
          <w:szCs w:val="28"/>
        </w:rPr>
        <w:t>二、培训对象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1.企业各级管理人员、风险管理人员、法务人员等；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2.政府有关部门、事业单位和高等院校和科研机构的中层合规管理人员；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3.注册会计师事务所、税务所、金融、保险、证券等单位的管理人员；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4.从事会计、审计、税务、财务、金融等相关职业的有关人员。</w:t>
      </w:r>
    </w:p>
    <w:p>
      <w:pPr>
        <w:pStyle w:val="2"/>
        <w:ind w:left="0" w:firstLine="0" w:firstLineChars="0"/>
        <w:rPr>
          <w:rFonts w:hAnsi="仿宋" w:cs="仿宋"/>
          <w:sz w:val="28"/>
          <w:szCs w:val="28"/>
        </w:rPr>
      </w:pPr>
      <w:r>
        <w:rPr>
          <w:rFonts w:hint="eastAsia" w:hAnsi="仿宋" w:cs="仿宋"/>
          <w:b/>
          <w:bCs/>
          <w:sz w:val="28"/>
          <w:szCs w:val="28"/>
        </w:rPr>
        <w:t>三、课程设置</w:t>
      </w:r>
    </w:p>
    <w:tbl>
      <w:tblPr>
        <w:tblStyle w:val="14"/>
        <w:tblpPr w:leftFromText="180" w:rightFromText="180" w:vertAnchor="text" w:horzAnchor="page" w:tblpX="1498"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sz w:val="28"/>
                <w:szCs w:val="28"/>
              </w:rPr>
            </w:pPr>
            <w:r>
              <w:rPr>
                <w:rFonts w:hint="eastAsia" w:ascii="仿宋" w:hAnsi="仿宋" w:eastAsia="仿宋" w:cs="仿宋"/>
                <w:b/>
                <w:bCs/>
                <w:sz w:val="28"/>
                <w:szCs w:val="28"/>
              </w:rPr>
              <w:t>政策解读</w:t>
            </w:r>
          </w:p>
        </w:tc>
        <w:tc>
          <w:tcPr>
            <w:tcW w:w="6139" w:type="dxa"/>
          </w:tcPr>
          <w:p>
            <w:pPr>
              <w:pStyle w:val="11"/>
              <w:widowControl/>
              <w:snapToGrid w:val="0"/>
              <w:spacing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1.关于做好2023年中央企业违规经营投资责任追究工作的通知重点解读</w:t>
            </w:r>
          </w:p>
          <w:p>
            <w:pPr>
              <w:pStyle w:val="11"/>
              <w:widowControl/>
              <w:snapToGrid w:val="0"/>
              <w:spacing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2.《中央企业重大经营风险事件报告工作规则》重点解读</w:t>
            </w:r>
          </w:p>
          <w:p>
            <w:pPr>
              <w:pStyle w:val="11"/>
              <w:widowControl/>
              <w:snapToGrid w:val="0"/>
              <w:spacing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3.《关于进一步深化法治央企建设的意见》重点解读</w:t>
            </w:r>
          </w:p>
          <w:p>
            <w:pPr>
              <w:pStyle w:val="11"/>
              <w:widowControl/>
              <w:snapToGrid w:val="0"/>
              <w:spacing w:beforeAutospacing="0" w:afterAutospacing="0" w:line="360" w:lineRule="auto"/>
              <w:jc w:val="both"/>
              <w:rPr>
                <w:rFonts w:ascii="仿宋" w:hAnsi="仿宋" w:eastAsia="仿宋" w:cs="仿宋"/>
                <w:b/>
                <w:bCs/>
                <w:sz w:val="28"/>
                <w:szCs w:val="28"/>
                <w:highlight w:val="yellow"/>
              </w:rPr>
            </w:pPr>
            <w:r>
              <w:rPr>
                <w:rFonts w:hint="eastAsia" w:ascii="仿宋" w:hAnsi="仿宋" w:eastAsia="仿宋" w:cs="仿宋"/>
                <w:sz w:val="28"/>
                <w:szCs w:val="28"/>
              </w:rPr>
              <w:t>4.《中央企业合规管理指引（试行）》重点解读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企业合规相关法规</w:t>
            </w:r>
          </w:p>
        </w:tc>
        <w:tc>
          <w:tcPr>
            <w:tcW w:w="6139" w:type="dxa"/>
          </w:tcPr>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1.公司运营中的法律风险防范</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2.合同法律风险防范</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3.企业投融资中的法律风险防范</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4.企业劳动用工法律风险防范</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5.涉外合同中的法律风险防范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合规管理</w:t>
            </w:r>
          </w:p>
        </w:tc>
        <w:tc>
          <w:tcPr>
            <w:tcW w:w="6139" w:type="dxa"/>
          </w:tcPr>
          <w:p>
            <w:pPr>
              <w:pStyle w:val="11"/>
              <w:widowControl/>
              <w:numPr>
                <w:ilvl w:val="0"/>
                <w:numId w:val="1"/>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合规风险的识别、监控与应对</w:t>
            </w:r>
          </w:p>
          <w:p>
            <w:pPr>
              <w:pStyle w:val="11"/>
              <w:widowControl/>
              <w:numPr>
                <w:ilvl w:val="0"/>
                <w:numId w:val="1"/>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合规审查机制</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3.合规检查机制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内部控制</w:t>
            </w:r>
          </w:p>
        </w:tc>
        <w:tc>
          <w:tcPr>
            <w:tcW w:w="6139" w:type="dxa"/>
          </w:tcPr>
          <w:p>
            <w:pPr>
              <w:pStyle w:val="11"/>
              <w:widowControl/>
              <w:numPr>
                <w:ilvl w:val="0"/>
                <w:numId w:val="2"/>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内部控制基础概述</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2.企业内部控制的具体指引及应用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全面风险管理</w:t>
            </w:r>
          </w:p>
        </w:tc>
        <w:tc>
          <w:tcPr>
            <w:tcW w:w="6139" w:type="dxa"/>
          </w:tcPr>
          <w:p>
            <w:pPr>
              <w:pStyle w:val="11"/>
              <w:widowControl/>
              <w:numPr>
                <w:ilvl w:val="0"/>
                <w:numId w:val="3"/>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风险与风险管理</w:t>
            </w:r>
          </w:p>
          <w:p>
            <w:pPr>
              <w:pStyle w:val="11"/>
              <w:widowControl/>
              <w:numPr>
                <w:ilvl w:val="0"/>
                <w:numId w:val="3"/>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企业风险评估</w:t>
            </w:r>
          </w:p>
          <w:p>
            <w:pPr>
              <w:pStyle w:val="11"/>
              <w:widowControl/>
              <w:numPr>
                <w:ilvl w:val="0"/>
                <w:numId w:val="3"/>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企业风险管理及应用</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4.企业全面风险管理综合案例分析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内部审计</w:t>
            </w:r>
          </w:p>
        </w:tc>
        <w:tc>
          <w:tcPr>
            <w:tcW w:w="6139" w:type="dxa"/>
          </w:tcPr>
          <w:p>
            <w:pPr>
              <w:pStyle w:val="11"/>
              <w:widowControl/>
              <w:numPr>
                <w:ilvl w:val="0"/>
                <w:numId w:val="4"/>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内部审计的本质</w:t>
            </w:r>
          </w:p>
          <w:p>
            <w:pPr>
              <w:pStyle w:val="11"/>
              <w:widowControl/>
              <w:numPr>
                <w:ilvl w:val="0"/>
                <w:numId w:val="4"/>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内部审计对内部控制的评价</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3.内部审计对企业风险管理的评价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内部合规运营管理</w:t>
            </w:r>
          </w:p>
        </w:tc>
        <w:tc>
          <w:tcPr>
            <w:tcW w:w="6139" w:type="dxa"/>
          </w:tcPr>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1.如何认识企业内部的合规管理</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2.合规管理制度体系的构建</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3.合规管理制度设计与合规风险识别</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4.合规审核的精细化管理</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5.合规宣传与合规培训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合规管理体系构建</w:t>
            </w:r>
          </w:p>
        </w:tc>
        <w:tc>
          <w:tcPr>
            <w:tcW w:w="6139" w:type="dxa"/>
          </w:tcPr>
          <w:p>
            <w:pPr>
              <w:pStyle w:val="11"/>
              <w:widowControl/>
              <w:numPr>
                <w:ilvl w:val="0"/>
                <w:numId w:val="5"/>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合规管理体系基本构成</w:t>
            </w:r>
          </w:p>
          <w:p>
            <w:pPr>
              <w:pStyle w:val="11"/>
              <w:widowControl/>
              <w:numPr>
                <w:ilvl w:val="0"/>
                <w:numId w:val="5"/>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合规管理体系的构建</w:t>
            </w:r>
          </w:p>
          <w:p>
            <w:pPr>
              <w:pStyle w:val="11"/>
              <w:widowControl/>
              <w:numPr>
                <w:ilvl w:val="0"/>
                <w:numId w:val="5"/>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合规体系实例样态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合规评价与结果应用</w:t>
            </w:r>
          </w:p>
        </w:tc>
        <w:tc>
          <w:tcPr>
            <w:tcW w:w="6139" w:type="dxa"/>
          </w:tcPr>
          <w:p>
            <w:pPr>
              <w:pStyle w:val="11"/>
              <w:widowControl/>
              <w:numPr>
                <w:ilvl w:val="0"/>
                <w:numId w:val="6"/>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合规评价的实施与应用</w:t>
            </w:r>
          </w:p>
          <w:p>
            <w:pPr>
              <w:pStyle w:val="11"/>
              <w:widowControl/>
              <w:numPr>
                <w:ilvl w:val="0"/>
                <w:numId w:val="6"/>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合规考核机制与指标设定</w:t>
            </w:r>
          </w:p>
          <w:p>
            <w:pPr>
              <w:pStyle w:val="11"/>
              <w:widowControl/>
              <w:numPr>
                <w:ilvl w:val="0"/>
                <w:numId w:val="6"/>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合规行为的调查与处理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业务领域合规管理的综合案例分析</w:t>
            </w:r>
          </w:p>
        </w:tc>
        <w:tc>
          <w:tcPr>
            <w:tcW w:w="6139" w:type="dxa"/>
          </w:tcPr>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合规相关定义与发展趋势</w:t>
            </w:r>
          </w:p>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企业违规经营投资责任追究</w:t>
            </w:r>
          </w:p>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企业合规管理领域重点与难点</w:t>
            </w:r>
          </w:p>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企业综合业务管理合规管理案例分析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合规管理人才培养与文化建设</w:t>
            </w:r>
          </w:p>
        </w:tc>
        <w:tc>
          <w:tcPr>
            <w:tcW w:w="6139" w:type="dxa"/>
          </w:tcPr>
          <w:p>
            <w:pPr>
              <w:pStyle w:val="11"/>
              <w:widowControl/>
              <w:numPr>
                <w:ilvl w:val="0"/>
                <w:numId w:val="8"/>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企业合规管理人才培养</w:t>
            </w:r>
          </w:p>
          <w:p>
            <w:pPr>
              <w:pStyle w:val="11"/>
              <w:widowControl/>
              <w:numPr>
                <w:ilvl w:val="0"/>
                <w:numId w:val="8"/>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企业合规文化建设</w:t>
            </w:r>
          </w:p>
        </w:tc>
      </w:tr>
    </w:tbl>
    <w:p>
      <w:pPr>
        <w:pStyle w:val="2"/>
        <w:ind w:left="0" w:firstLine="0" w:firstLineChars="0"/>
        <w:rPr>
          <w:rFonts w:hAnsi="仿宋" w:cs="仿宋"/>
          <w:b/>
          <w:bCs/>
          <w:sz w:val="28"/>
          <w:szCs w:val="28"/>
        </w:rPr>
      </w:pPr>
      <w:r>
        <w:rPr>
          <w:rFonts w:hint="eastAsia" w:hAnsi="仿宋" w:cs="仿宋"/>
          <w:b/>
          <w:bCs/>
          <w:sz w:val="28"/>
          <w:szCs w:val="28"/>
        </w:rPr>
        <w:t>四、项目优势</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（1）师资力量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师资力量是由行业企业类的权威专家和高校的专业研究专家组成，满足理论+实战的教学要求。</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（2）科学合理的课程设计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整个项目的课程体系设计都是依据国家新职业标准的要求，由权威专家和专业师资依据项目的需要共同研发和打造的，所以具有非常高的权威性和科学性。</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（3）提升学员的思维能力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通过对整个项目的学习和培训，不仅能获得项目知识，还能取得证书，最重要的是还能提升大家的战略思维和企业合规的风险管控及操作能力。</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（4）真实的企业案例教学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整个项目的教学过程中，融入了真实的企业案例，突出案例实战教学的特色，可以使大家更好的掌握项目所需要的理论知识和扩展知识，达到学以致用的效果。</w:t>
      </w:r>
    </w:p>
    <w:p>
      <w:p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五、培训时间</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2023年0</w:t>
      </w:r>
      <w:r>
        <w:rPr>
          <w:rFonts w:ascii="仿宋" w:hAnsi="仿宋" w:eastAsia="仿宋" w:cs="仿宋"/>
          <w:sz w:val="28"/>
          <w:szCs w:val="28"/>
        </w:rPr>
        <w:t>2</w:t>
      </w:r>
      <w:r>
        <w:rPr>
          <w:rFonts w:hint="eastAsia" w:ascii="仿宋" w:hAnsi="仿宋" w:eastAsia="仿宋" w:cs="仿宋"/>
          <w:sz w:val="28"/>
          <w:szCs w:val="28"/>
        </w:rPr>
        <w:t>月24日—0</w:t>
      </w:r>
      <w:r>
        <w:rPr>
          <w:rFonts w:ascii="仿宋" w:hAnsi="仿宋" w:eastAsia="仿宋" w:cs="仿宋"/>
          <w:sz w:val="28"/>
          <w:szCs w:val="28"/>
        </w:rPr>
        <w:t>2</w:t>
      </w:r>
      <w:r>
        <w:rPr>
          <w:rFonts w:hint="eastAsia" w:ascii="仿宋" w:hAnsi="仿宋" w:eastAsia="仿宋" w:cs="仿宋"/>
          <w:sz w:val="28"/>
          <w:szCs w:val="28"/>
        </w:rPr>
        <w:t>月27日   厦门市（24日全天报到）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2023年0</w:t>
      </w:r>
      <w:r>
        <w:rPr>
          <w:rFonts w:ascii="仿宋" w:hAnsi="仿宋" w:eastAsia="仿宋" w:cs="仿宋"/>
          <w:sz w:val="28"/>
          <w:szCs w:val="28"/>
        </w:rPr>
        <w:t>3</w:t>
      </w:r>
      <w:r>
        <w:rPr>
          <w:rFonts w:hint="eastAsia" w:ascii="仿宋" w:hAnsi="仿宋" w:eastAsia="仿宋" w:cs="仿宋"/>
          <w:sz w:val="28"/>
          <w:szCs w:val="28"/>
        </w:rPr>
        <w:t>月</w:t>
      </w:r>
      <w:r>
        <w:rPr>
          <w:rFonts w:ascii="仿宋" w:hAnsi="仿宋" w:eastAsia="仿宋" w:cs="仿宋"/>
          <w:sz w:val="28"/>
          <w:szCs w:val="28"/>
        </w:rPr>
        <w:t>10</w:t>
      </w:r>
      <w:r>
        <w:rPr>
          <w:rFonts w:hint="eastAsia" w:ascii="仿宋" w:hAnsi="仿宋" w:eastAsia="仿宋" w:cs="仿宋"/>
          <w:sz w:val="28"/>
          <w:szCs w:val="28"/>
        </w:rPr>
        <w:t>日—0</w:t>
      </w:r>
      <w:r>
        <w:rPr>
          <w:rFonts w:ascii="仿宋" w:hAnsi="仿宋" w:eastAsia="仿宋" w:cs="仿宋"/>
          <w:sz w:val="28"/>
          <w:szCs w:val="28"/>
        </w:rPr>
        <w:t>3</w:t>
      </w:r>
      <w:r>
        <w:rPr>
          <w:rFonts w:hint="eastAsia" w:ascii="仿宋" w:hAnsi="仿宋" w:eastAsia="仿宋" w:cs="仿宋"/>
          <w:sz w:val="28"/>
          <w:szCs w:val="28"/>
        </w:rPr>
        <w:t>月</w:t>
      </w:r>
      <w:r>
        <w:rPr>
          <w:rFonts w:ascii="仿宋" w:hAnsi="仿宋" w:eastAsia="仿宋" w:cs="仿宋"/>
          <w:sz w:val="28"/>
          <w:szCs w:val="28"/>
        </w:rPr>
        <w:t>13</w:t>
      </w:r>
      <w:r>
        <w:rPr>
          <w:rFonts w:hint="eastAsia" w:ascii="仿宋" w:hAnsi="仿宋" w:eastAsia="仿宋" w:cs="仿宋"/>
          <w:sz w:val="28"/>
          <w:szCs w:val="28"/>
        </w:rPr>
        <w:t>日   成都市（</w:t>
      </w:r>
      <w:r>
        <w:rPr>
          <w:rFonts w:ascii="仿宋" w:hAnsi="仿宋" w:eastAsia="仿宋" w:cs="仿宋"/>
          <w:sz w:val="28"/>
          <w:szCs w:val="28"/>
        </w:rPr>
        <w:t>10</w:t>
      </w:r>
      <w:r>
        <w:rPr>
          <w:rFonts w:hint="eastAsia" w:ascii="仿宋" w:hAnsi="仿宋" w:eastAsia="仿宋" w:cs="仿宋"/>
          <w:sz w:val="28"/>
          <w:szCs w:val="28"/>
        </w:rPr>
        <w:t>日全天报到）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w:t>
      </w:r>
      <w:r>
        <w:rPr>
          <w:rFonts w:ascii="仿宋" w:hAnsi="仿宋" w:eastAsia="仿宋" w:cs="仿宋"/>
          <w:sz w:val="28"/>
          <w:szCs w:val="28"/>
        </w:rPr>
        <w:t>03</w:t>
      </w:r>
      <w:r>
        <w:rPr>
          <w:rFonts w:hint="eastAsia" w:ascii="仿宋" w:hAnsi="仿宋" w:eastAsia="仿宋" w:cs="仿宋"/>
          <w:sz w:val="28"/>
          <w:szCs w:val="28"/>
        </w:rPr>
        <w:t>月2</w:t>
      </w:r>
      <w:r>
        <w:rPr>
          <w:rFonts w:ascii="仿宋" w:hAnsi="仿宋" w:eastAsia="仿宋" w:cs="仿宋"/>
          <w:sz w:val="28"/>
          <w:szCs w:val="28"/>
        </w:rPr>
        <w:t>4</w:t>
      </w:r>
      <w:r>
        <w:rPr>
          <w:rFonts w:hint="eastAsia" w:ascii="仿宋" w:hAnsi="仿宋" w:eastAsia="仿宋" w:cs="仿宋"/>
          <w:sz w:val="28"/>
          <w:szCs w:val="28"/>
        </w:rPr>
        <w:t>日—0</w:t>
      </w:r>
      <w:r>
        <w:rPr>
          <w:rFonts w:ascii="仿宋" w:hAnsi="仿宋" w:eastAsia="仿宋" w:cs="仿宋"/>
          <w:sz w:val="28"/>
          <w:szCs w:val="28"/>
        </w:rPr>
        <w:t>3</w:t>
      </w:r>
      <w:r>
        <w:rPr>
          <w:rFonts w:hint="eastAsia" w:ascii="仿宋" w:hAnsi="仿宋" w:eastAsia="仿宋" w:cs="仿宋"/>
          <w:sz w:val="28"/>
          <w:szCs w:val="28"/>
        </w:rPr>
        <w:t>月2</w:t>
      </w:r>
      <w:r>
        <w:rPr>
          <w:rFonts w:ascii="仿宋" w:hAnsi="仿宋" w:eastAsia="仿宋" w:cs="仿宋"/>
          <w:sz w:val="28"/>
          <w:szCs w:val="28"/>
        </w:rPr>
        <w:t>7</w:t>
      </w:r>
      <w:r>
        <w:rPr>
          <w:rFonts w:hint="eastAsia" w:ascii="仿宋" w:hAnsi="仿宋" w:eastAsia="仿宋" w:cs="仿宋"/>
          <w:sz w:val="28"/>
          <w:szCs w:val="28"/>
        </w:rPr>
        <w:t>日   苏州市（</w:t>
      </w:r>
      <w:r>
        <w:rPr>
          <w:rFonts w:ascii="仿宋" w:hAnsi="仿宋" w:eastAsia="仿宋" w:cs="仿宋"/>
          <w:sz w:val="28"/>
          <w:szCs w:val="28"/>
        </w:rPr>
        <w:t>24</w:t>
      </w:r>
      <w:r>
        <w:rPr>
          <w:rFonts w:hint="eastAsia" w:ascii="仿宋" w:hAnsi="仿宋" w:eastAsia="仿宋" w:cs="仿宋"/>
          <w:sz w:val="28"/>
          <w:szCs w:val="28"/>
        </w:rPr>
        <w:t>日全天报到）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2023年04月</w:t>
      </w:r>
      <w:r>
        <w:rPr>
          <w:rFonts w:ascii="仿宋" w:hAnsi="仿宋" w:eastAsia="仿宋" w:cs="仿宋"/>
          <w:sz w:val="28"/>
          <w:szCs w:val="28"/>
        </w:rPr>
        <w:t>14</w:t>
      </w:r>
      <w:r>
        <w:rPr>
          <w:rFonts w:hint="eastAsia" w:ascii="仿宋" w:hAnsi="仿宋" w:eastAsia="仿宋" w:cs="仿宋"/>
          <w:sz w:val="28"/>
          <w:szCs w:val="28"/>
        </w:rPr>
        <w:t>日—04月</w:t>
      </w:r>
      <w:r>
        <w:rPr>
          <w:rFonts w:ascii="仿宋" w:hAnsi="仿宋" w:eastAsia="仿宋" w:cs="仿宋"/>
          <w:sz w:val="28"/>
          <w:szCs w:val="28"/>
        </w:rPr>
        <w:t>17</w:t>
      </w:r>
      <w:r>
        <w:rPr>
          <w:rFonts w:hint="eastAsia" w:ascii="仿宋" w:hAnsi="仿宋" w:eastAsia="仿宋" w:cs="仿宋"/>
          <w:sz w:val="28"/>
          <w:szCs w:val="28"/>
        </w:rPr>
        <w:t>日   西安市（</w:t>
      </w:r>
      <w:r>
        <w:rPr>
          <w:rFonts w:ascii="仿宋" w:hAnsi="仿宋" w:eastAsia="仿宋" w:cs="仿宋"/>
          <w:sz w:val="28"/>
          <w:szCs w:val="28"/>
        </w:rPr>
        <w:t>14</w:t>
      </w:r>
      <w:r>
        <w:rPr>
          <w:rFonts w:hint="eastAsia" w:ascii="仿宋" w:hAnsi="仿宋" w:eastAsia="仿宋" w:cs="仿宋"/>
          <w:sz w:val="28"/>
          <w:szCs w:val="28"/>
        </w:rPr>
        <w:t>日全天报到）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2023年04月21日—04月24日   长沙市（</w:t>
      </w:r>
      <w:r>
        <w:rPr>
          <w:rFonts w:ascii="仿宋" w:hAnsi="仿宋" w:eastAsia="仿宋" w:cs="仿宋"/>
          <w:sz w:val="28"/>
          <w:szCs w:val="28"/>
        </w:rPr>
        <w:t>21</w:t>
      </w:r>
      <w:r>
        <w:rPr>
          <w:rFonts w:hint="eastAsia" w:ascii="仿宋" w:hAnsi="仿宋" w:eastAsia="仿宋" w:cs="仿宋"/>
          <w:sz w:val="28"/>
          <w:szCs w:val="28"/>
        </w:rPr>
        <w:t>日全天报到）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2023年0</w:t>
      </w:r>
      <w:r>
        <w:rPr>
          <w:rFonts w:ascii="仿宋" w:hAnsi="仿宋" w:eastAsia="仿宋" w:cs="仿宋"/>
          <w:sz w:val="28"/>
          <w:szCs w:val="28"/>
        </w:rPr>
        <w:t>5</w:t>
      </w:r>
      <w:r>
        <w:rPr>
          <w:rFonts w:hint="eastAsia" w:ascii="仿宋" w:hAnsi="仿宋" w:eastAsia="仿宋" w:cs="仿宋"/>
          <w:sz w:val="28"/>
          <w:szCs w:val="28"/>
        </w:rPr>
        <w:t>月</w:t>
      </w:r>
      <w:r>
        <w:rPr>
          <w:rFonts w:ascii="仿宋" w:hAnsi="仿宋" w:eastAsia="仿宋" w:cs="仿宋"/>
          <w:sz w:val="28"/>
          <w:szCs w:val="28"/>
        </w:rPr>
        <w:t>12</w:t>
      </w:r>
      <w:r>
        <w:rPr>
          <w:rFonts w:hint="eastAsia" w:ascii="仿宋" w:hAnsi="仿宋" w:eastAsia="仿宋" w:cs="仿宋"/>
          <w:sz w:val="28"/>
          <w:szCs w:val="28"/>
        </w:rPr>
        <w:t>日—0</w:t>
      </w:r>
      <w:r>
        <w:rPr>
          <w:rFonts w:ascii="仿宋" w:hAnsi="仿宋" w:eastAsia="仿宋" w:cs="仿宋"/>
          <w:sz w:val="28"/>
          <w:szCs w:val="28"/>
        </w:rPr>
        <w:t>5</w:t>
      </w:r>
      <w:r>
        <w:rPr>
          <w:rFonts w:hint="eastAsia" w:ascii="仿宋" w:hAnsi="仿宋" w:eastAsia="仿宋" w:cs="仿宋"/>
          <w:sz w:val="28"/>
          <w:szCs w:val="28"/>
        </w:rPr>
        <w:t>月</w:t>
      </w:r>
      <w:r>
        <w:rPr>
          <w:rFonts w:ascii="仿宋" w:hAnsi="仿宋" w:eastAsia="仿宋" w:cs="仿宋"/>
          <w:sz w:val="28"/>
          <w:szCs w:val="28"/>
        </w:rPr>
        <w:t>15</w:t>
      </w:r>
      <w:r>
        <w:rPr>
          <w:rFonts w:hint="eastAsia" w:ascii="仿宋" w:hAnsi="仿宋" w:eastAsia="仿宋" w:cs="仿宋"/>
          <w:sz w:val="28"/>
          <w:szCs w:val="28"/>
        </w:rPr>
        <w:t>日   重庆市（</w:t>
      </w:r>
      <w:r>
        <w:rPr>
          <w:rFonts w:ascii="仿宋" w:hAnsi="仿宋" w:eastAsia="仿宋" w:cs="仿宋"/>
          <w:sz w:val="28"/>
          <w:szCs w:val="28"/>
        </w:rPr>
        <w:t>12</w:t>
      </w:r>
      <w:r>
        <w:rPr>
          <w:rFonts w:hint="eastAsia" w:ascii="仿宋" w:hAnsi="仿宋" w:eastAsia="仿宋" w:cs="仿宋"/>
          <w:sz w:val="28"/>
          <w:szCs w:val="28"/>
        </w:rPr>
        <w:t>日全天报到）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2023年05月26日—05月29日   郑州市（26日全天报到）</w:t>
      </w:r>
    </w:p>
    <w:p>
      <w:p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六、证书颁发</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完成课程培训学习，由职业经理研究中心颁发《企业</w:t>
      </w:r>
      <w:r>
        <w:rPr>
          <w:rFonts w:ascii="仿宋" w:hAnsi="仿宋" w:eastAsia="仿宋" w:cs="仿宋"/>
          <w:sz w:val="28"/>
          <w:szCs w:val="28"/>
        </w:rPr>
        <w:t>改革与管理创新培训班</w:t>
      </w:r>
      <w:r>
        <w:rPr>
          <w:rFonts w:hint="eastAsia" w:ascii="仿宋" w:hAnsi="仿宋" w:eastAsia="仿宋" w:cs="仿宋"/>
          <w:sz w:val="28"/>
          <w:szCs w:val="28"/>
        </w:rPr>
        <w:t>（专题班）——企业合规经营与责任追究专业人才培训班结业证书》。</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请学员自备身份证复印件、最高学历证明复印件扫描版及二寸免冠彩色蓝底照片等电子版材料。</w:t>
      </w:r>
    </w:p>
    <w:p>
      <w:pPr>
        <w:numPr>
          <w:ilvl w:val="0"/>
          <w:numId w:val="9"/>
        </w:num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收费标准</w:t>
      </w:r>
    </w:p>
    <w:p>
      <w:pPr>
        <w:adjustRightInd w:val="0"/>
        <w:snapToGrid w:val="0"/>
        <w:spacing w:line="54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 xml:space="preserve">A. </w:t>
      </w:r>
      <w:r>
        <w:rPr>
          <w:rFonts w:hint="eastAsia" w:ascii="Times New Roman" w:hAnsi="Times New Roman" w:eastAsia="仿宋_GB2312"/>
          <w:spacing w:val="8"/>
          <w:sz w:val="30"/>
          <w:szCs w:val="30"/>
        </w:rPr>
        <w:t>48</w:t>
      </w:r>
      <w:r>
        <w:rPr>
          <w:rFonts w:ascii="Times New Roman" w:hAnsi="Times New Roman" w:eastAsia="仿宋_GB2312"/>
          <w:spacing w:val="8"/>
          <w:sz w:val="30"/>
          <w:szCs w:val="30"/>
        </w:rPr>
        <w:t>00元/人（含培训、资料、电子课件、场地及培训期间午餐），住宿统一安排，费用自理。</w:t>
      </w:r>
    </w:p>
    <w:p>
      <w:pPr>
        <w:spacing w:line="46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B.</w:t>
      </w:r>
      <w:r>
        <w:rPr>
          <w:rFonts w:hint="eastAsia" w:ascii="Times New Roman" w:hAnsi="Times New Roman" w:eastAsia="仿宋_GB2312"/>
          <w:spacing w:val="8"/>
          <w:sz w:val="30"/>
          <w:szCs w:val="30"/>
        </w:rPr>
        <w:t>68</w:t>
      </w:r>
      <w:r>
        <w:rPr>
          <w:rFonts w:ascii="Times New Roman" w:hAnsi="Times New Roman" w:eastAsia="仿宋_GB2312"/>
          <w:spacing w:val="8"/>
          <w:sz w:val="30"/>
          <w:szCs w:val="30"/>
        </w:rPr>
        <w:t>00元/人（含培训、资料、电子课件、场地、证书申报及培训期间午餐），住宿统一安排，费用自理。需提供申报表、二寸蓝底免冠彩色照片、身份证复印件、学历证书复印件</w:t>
      </w:r>
      <w:r>
        <w:rPr>
          <w:rFonts w:hint="eastAsia" w:ascii="Times New Roman" w:hAnsi="Times New Roman" w:eastAsia="仿宋_GB2312"/>
          <w:spacing w:val="8"/>
          <w:sz w:val="30"/>
          <w:szCs w:val="30"/>
        </w:rPr>
        <w:t>等电子版材料</w:t>
      </w:r>
      <w:r>
        <w:rPr>
          <w:rFonts w:ascii="Times New Roman" w:hAnsi="Times New Roman" w:eastAsia="仿宋_GB2312"/>
          <w:spacing w:val="8"/>
          <w:sz w:val="30"/>
          <w:szCs w:val="30"/>
        </w:rPr>
        <w:t>。</w:t>
      </w:r>
    </w:p>
    <w:p>
      <w:pPr>
        <w:numPr>
          <w:ilvl w:val="0"/>
          <w:numId w:val="9"/>
        </w:num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联系方式</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 xml:space="preserve">qq咨询：3177524020  网址查询：http://www.zqgpchina.cn/ </w:t>
      </w:r>
    </w:p>
    <w:p>
      <w:pPr>
        <w:pStyle w:val="2"/>
        <w:ind w:left="0" w:firstLine="0" w:firstLineChars="0"/>
        <w:rPr>
          <w:rFonts w:ascii="宋体" w:hAnsi="宋体" w:eastAsia="宋体" w:cs="宋体"/>
          <w:sz w:val="28"/>
          <w:szCs w:val="28"/>
        </w:rPr>
      </w:pPr>
    </w:p>
    <w:p>
      <w:pPr>
        <w:rPr>
          <w:rFonts w:ascii="宋体" w:hAnsi="宋体" w:eastAsia="宋体" w:cs="宋体"/>
          <w:sz w:val="28"/>
          <w:szCs w:val="28"/>
        </w:rPr>
      </w:pPr>
    </w:p>
    <w:p>
      <w:pPr>
        <w:pStyle w:val="2"/>
        <w:ind w:firstLine="560"/>
        <w:rPr>
          <w:rFonts w:ascii="宋体" w:hAnsi="宋体" w:eastAsia="宋体" w:cs="宋体"/>
          <w:sz w:val="28"/>
          <w:szCs w:val="28"/>
        </w:rPr>
      </w:pPr>
    </w:p>
    <w:p>
      <w:pPr>
        <w:rPr>
          <w:rFonts w:ascii="宋体" w:hAnsi="宋体" w:eastAsia="宋体" w:cs="宋体"/>
          <w:sz w:val="28"/>
          <w:szCs w:val="28"/>
        </w:rPr>
      </w:pPr>
    </w:p>
    <w:p>
      <w:pPr>
        <w:pStyle w:val="2"/>
        <w:ind w:firstLine="560"/>
        <w:rPr>
          <w:rFonts w:ascii="宋体" w:hAnsi="宋体" w:eastAsia="宋体" w:cs="宋体"/>
          <w:sz w:val="28"/>
          <w:szCs w:val="28"/>
        </w:rPr>
      </w:pPr>
    </w:p>
    <w:p/>
    <w:p/>
    <w:p>
      <w:pPr>
        <w:pStyle w:val="2"/>
      </w:pPr>
    </w:p>
    <w:p/>
    <w:p>
      <w:pPr>
        <w:pStyle w:val="2"/>
      </w:pPr>
    </w:p>
    <w:p/>
    <w:p>
      <w:pPr>
        <w:pStyle w:val="2"/>
      </w:pPr>
    </w:p>
    <w:p>
      <w:pPr>
        <w:spacing w:line="400" w:lineRule="exact"/>
        <w:jc w:val="center"/>
        <w:textAlignment w:val="baseline"/>
        <w:rPr>
          <w:rFonts w:ascii="宋体" w:hAnsi="宋体" w:eastAsia="宋体" w:cs="宋体"/>
          <w:sz w:val="28"/>
          <w:szCs w:val="28"/>
        </w:rPr>
      </w:pPr>
      <w:r>
        <w:rPr>
          <w:rFonts w:hint="eastAsia" w:ascii="仿宋" w:hAnsi="仿宋" w:eastAsia="仿宋" w:cs="仿宋_GB2312"/>
          <w:b/>
          <w:color w:val="2F2F2F"/>
          <w:sz w:val="32"/>
          <w:szCs w:val="32"/>
          <w:shd w:val="clear" w:color="auto" w:fill="FFFFFF"/>
        </w:rPr>
        <w:t>附件2：</w:t>
      </w:r>
      <w:r>
        <w:rPr>
          <w:rFonts w:hint="eastAsia" w:ascii="仿宋" w:hAnsi="仿宋" w:eastAsia="仿宋" w:cs="仿宋"/>
          <w:b/>
          <w:bCs/>
          <w:color w:val="000000"/>
          <w:kern w:val="0"/>
          <w:sz w:val="32"/>
          <w:szCs w:val="32"/>
        </w:rPr>
        <w:t>企业</w:t>
      </w:r>
      <w:r>
        <w:rPr>
          <w:rFonts w:ascii="仿宋" w:hAnsi="仿宋" w:eastAsia="仿宋" w:cs="仿宋"/>
          <w:b/>
          <w:bCs/>
          <w:color w:val="000000"/>
          <w:kern w:val="0"/>
          <w:sz w:val="32"/>
          <w:szCs w:val="32"/>
        </w:rPr>
        <w:t>改革与管理创新培训班</w:t>
      </w:r>
      <w:r>
        <w:rPr>
          <w:rFonts w:hint="eastAsia" w:ascii="仿宋" w:hAnsi="仿宋" w:eastAsia="仿宋" w:cs="仿宋"/>
          <w:b/>
          <w:bCs/>
          <w:color w:val="000000"/>
          <w:kern w:val="0"/>
          <w:sz w:val="32"/>
          <w:szCs w:val="32"/>
        </w:rPr>
        <w:t>（专题班）——企业合规经营与责任追究专业人才培训班报名表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《企业</w:t>
            </w:r>
            <w:r>
              <w:rPr>
                <w:rFonts w:ascii="仿宋" w:hAnsi="仿宋" w:eastAsia="仿宋" w:cs="仿宋"/>
                <w:bCs/>
                <w:color w:val="000000" w:themeColor="text1"/>
                <w:sz w:val="24"/>
                <w14:textFill>
                  <w14:solidFill>
                    <w14:schemeClr w14:val="tx1"/>
                  </w14:solidFill>
                </w14:textFill>
              </w:rPr>
              <w:t>改革与管理创新培训班</w:t>
            </w:r>
            <w:r>
              <w:rPr>
                <w:rFonts w:hint="eastAsia" w:ascii="仿宋" w:hAnsi="仿宋" w:eastAsia="仿宋" w:cs="仿宋"/>
                <w:bCs/>
                <w:color w:val="000000" w:themeColor="text1"/>
                <w:sz w:val="24"/>
                <w14:textFill>
                  <w14:solidFill>
                    <w14:schemeClr w14:val="tx1"/>
                  </w14:solidFill>
                </w14:textFill>
              </w:rPr>
              <w:t>（专题班）——企业合规经营与责任追究专业人才培训班结业</w:t>
            </w:r>
            <w:r>
              <w:rPr>
                <w:rFonts w:ascii="仿宋" w:hAnsi="仿宋" w:eastAsia="仿宋" w:cs="仿宋"/>
                <w:bCs/>
                <w:color w:val="000000" w:themeColor="text1"/>
                <w:sz w:val="24"/>
                <w14:textFill>
                  <w14:solidFill>
                    <w14:schemeClr w14:val="tx1"/>
                  </w14:solidFill>
                </w14:textFill>
              </w:rPr>
              <w:t>证书</w:t>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      现场□</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收款信息</w:t>
            </w:r>
          </w:p>
        </w:tc>
        <w:tc>
          <w:tcPr>
            <w:tcW w:w="8159" w:type="dxa"/>
            <w:gridSpan w:val="5"/>
          </w:tcPr>
          <w:p>
            <w:pPr>
              <w:widowControl/>
              <w:rPr>
                <w:rStyle w:val="16"/>
                <w:rFonts w:ascii="仿宋" w:hAnsi="仿宋" w:eastAsia="仿宋" w:cs="仿宋"/>
                <w:b w:val="0"/>
                <w:color w:val="000000"/>
                <w:sz w:val="24"/>
                <w:lang w:val="zh-CN"/>
              </w:rPr>
            </w:pPr>
            <w:r>
              <w:rPr>
                <w:rStyle w:val="16"/>
                <w:rFonts w:hint="eastAsia" w:ascii="仿宋" w:hAnsi="仿宋" w:eastAsia="仿宋" w:cs="仿宋"/>
                <w:b w:val="0"/>
                <w:color w:val="000000"/>
                <w:sz w:val="24"/>
              </w:rPr>
              <w:t>开户</w:t>
            </w:r>
            <w:r>
              <w:rPr>
                <w:rStyle w:val="16"/>
                <w:rFonts w:hint="eastAsia" w:ascii="仿宋" w:hAnsi="仿宋" w:eastAsia="仿宋" w:cs="仿宋"/>
                <w:b w:val="0"/>
                <w:color w:val="000000"/>
                <w:sz w:val="24"/>
                <w:lang w:val="zh-CN"/>
              </w:rPr>
              <w:t xml:space="preserve">名称： 北京中建科信管理咨询集团有限公司 </w:t>
            </w:r>
          </w:p>
          <w:p>
            <w:pPr>
              <w:widowControl/>
              <w:rPr>
                <w:rStyle w:val="16"/>
                <w:rFonts w:ascii="仿宋" w:hAnsi="仿宋" w:eastAsia="仿宋" w:cs="仿宋"/>
                <w:b w:val="0"/>
                <w:color w:val="000000"/>
                <w:sz w:val="24"/>
                <w:lang w:val="zh-CN"/>
              </w:rPr>
            </w:pPr>
            <w:r>
              <w:rPr>
                <w:rStyle w:val="16"/>
                <w:rFonts w:hint="eastAsia" w:ascii="仿宋" w:hAnsi="仿宋" w:eastAsia="仿宋" w:cs="仿宋"/>
                <w:b w:val="0"/>
                <w:color w:val="000000"/>
                <w:sz w:val="24"/>
                <w:lang w:val="zh-CN"/>
              </w:rPr>
              <w:t xml:space="preserve">开 户 行： 中国工商银行股份有限公司北京半壁店支行 </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Style w:val="16"/>
                <w:rFonts w:hint="eastAsia" w:ascii="仿宋" w:hAnsi="仿宋" w:eastAsia="仿宋" w:cs="仿宋"/>
                <w:b w:val="0"/>
                <w:color w:val="000000"/>
                <w:sz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参加单位（盖章）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2023年  月  日</w:t>
            </w:r>
          </w:p>
        </w:tc>
      </w:tr>
    </w:tbl>
    <w:p>
      <w:pPr>
        <w:spacing w:line="42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报名负责人：聂红军 主任18211071700（微信）   </w:t>
      </w:r>
    </w:p>
    <w:p>
      <w:pPr>
        <w:spacing w:line="42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电  话：010-87697580    邮    箱：zqgphwz@126.com  </w:t>
      </w:r>
    </w:p>
    <w:p>
      <w:pPr>
        <w:spacing w:line="420" w:lineRule="exact"/>
        <w:ind w:firstLine="560" w:firstLineChars="200"/>
        <w:rPr>
          <w:rFonts w:ascii="黑体" w:hAnsi="黑体" w:eastAsia="黑体"/>
          <w:b/>
          <w:bCs/>
          <w:sz w:val="36"/>
          <w:szCs w:val="36"/>
        </w:rPr>
      </w:pPr>
      <w:r>
        <w:rPr>
          <w:rFonts w:hint="eastAsia" w:ascii="仿宋" w:hAnsi="仿宋" w:eastAsia="仿宋" w:cs="仿宋"/>
          <w:bCs/>
          <w:color w:val="000000"/>
          <w:sz w:val="28"/>
          <w:szCs w:val="28"/>
        </w:rPr>
        <w:t xml:space="preserve">qq咨询：3177524020  </w:t>
      </w:r>
      <w:r>
        <w:rPr>
          <w:rFonts w:hint="eastAsia" w:ascii="仿宋" w:hAnsi="仿宋" w:eastAsia="仿宋" w:cs="仿宋"/>
          <w:bCs/>
          <w:color w:val="000000"/>
          <w:sz w:val="28"/>
          <w:szCs w:val="28"/>
          <w:lang w:val="en-US" w:eastAsia="zh-CN"/>
        </w:rPr>
        <w:t xml:space="preserve">   </w:t>
      </w:r>
      <w:bookmarkStart w:id="0" w:name="_GoBack"/>
      <w:bookmarkEnd w:id="0"/>
      <w:r>
        <w:rPr>
          <w:rFonts w:hint="eastAsia" w:ascii="仿宋" w:hAnsi="仿宋" w:eastAsia="仿宋" w:cs="仿宋"/>
          <w:bCs/>
          <w:color w:val="000000"/>
          <w:sz w:val="28"/>
          <w:szCs w:val="28"/>
        </w:rPr>
        <w:t xml:space="preserve">网址查询：http://www.zqgpchina.cn/ </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93027"/>
    <w:multiLevelType w:val="singleLevel"/>
    <w:tmpl w:val="85193027"/>
    <w:lvl w:ilvl="0" w:tentative="0">
      <w:start w:val="1"/>
      <w:numFmt w:val="decimal"/>
      <w:lvlText w:val="%1."/>
      <w:lvlJc w:val="left"/>
      <w:pPr>
        <w:tabs>
          <w:tab w:val="left" w:pos="312"/>
        </w:tabs>
      </w:pPr>
    </w:lvl>
  </w:abstractNum>
  <w:abstractNum w:abstractNumId="1">
    <w:nsid w:val="A270AA51"/>
    <w:multiLevelType w:val="singleLevel"/>
    <w:tmpl w:val="A270AA51"/>
    <w:lvl w:ilvl="0" w:tentative="0">
      <w:start w:val="1"/>
      <w:numFmt w:val="decimal"/>
      <w:lvlText w:val="%1."/>
      <w:lvlJc w:val="left"/>
      <w:pPr>
        <w:tabs>
          <w:tab w:val="left" w:pos="312"/>
        </w:tabs>
      </w:pPr>
    </w:lvl>
  </w:abstractNum>
  <w:abstractNum w:abstractNumId="2">
    <w:nsid w:val="B8CB9AC5"/>
    <w:multiLevelType w:val="singleLevel"/>
    <w:tmpl w:val="B8CB9AC5"/>
    <w:lvl w:ilvl="0" w:tentative="0">
      <w:start w:val="1"/>
      <w:numFmt w:val="decimal"/>
      <w:lvlText w:val="%1."/>
      <w:lvlJc w:val="left"/>
      <w:pPr>
        <w:tabs>
          <w:tab w:val="left" w:pos="312"/>
        </w:tabs>
      </w:pPr>
    </w:lvl>
  </w:abstractNum>
  <w:abstractNum w:abstractNumId="3">
    <w:nsid w:val="E273F521"/>
    <w:multiLevelType w:val="singleLevel"/>
    <w:tmpl w:val="E273F521"/>
    <w:lvl w:ilvl="0" w:tentative="0">
      <w:start w:val="1"/>
      <w:numFmt w:val="decimal"/>
      <w:lvlText w:val="%1."/>
      <w:lvlJc w:val="left"/>
      <w:pPr>
        <w:tabs>
          <w:tab w:val="left" w:pos="312"/>
        </w:tabs>
      </w:pPr>
    </w:lvl>
  </w:abstractNum>
  <w:abstractNum w:abstractNumId="4">
    <w:nsid w:val="53430336"/>
    <w:multiLevelType w:val="singleLevel"/>
    <w:tmpl w:val="53430336"/>
    <w:lvl w:ilvl="0" w:tentative="0">
      <w:start w:val="1"/>
      <w:numFmt w:val="decimal"/>
      <w:lvlText w:val="%1."/>
      <w:lvlJc w:val="left"/>
      <w:pPr>
        <w:tabs>
          <w:tab w:val="left" w:pos="312"/>
        </w:tabs>
      </w:pPr>
    </w:lvl>
  </w:abstractNum>
  <w:abstractNum w:abstractNumId="5">
    <w:nsid w:val="5950AAEB"/>
    <w:multiLevelType w:val="singleLevel"/>
    <w:tmpl w:val="5950AAEB"/>
    <w:lvl w:ilvl="0" w:tentative="0">
      <w:start w:val="1"/>
      <w:numFmt w:val="decimal"/>
      <w:lvlText w:val="%1."/>
      <w:lvlJc w:val="left"/>
      <w:pPr>
        <w:tabs>
          <w:tab w:val="left" w:pos="312"/>
        </w:tabs>
      </w:pPr>
    </w:lvl>
  </w:abstractNum>
  <w:abstractNum w:abstractNumId="6">
    <w:nsid w:val="59F607E7"/>
    <w:multiLevelType w:val="singleLevel"/>
    <w:tmpl w:val="59F607E7"/>
    <w:lvl w:ilvl="0" w:tentative="0">
      <w:start w:val="1"/>
      <w:numFmt w:val="decimal"/>
      <w:lvlText w:val="%1."/>
      <w:lvlJc w:val="left"/>
      <w:pPr>
        <w:tabs>
          <w:tab w:val="left" w:pos="312"/>
        </w:tabs>
      </w:pPr>
    </w:lvl>
  </w:abstractNum>
  <w:abstractNum w:abstractNumId="7">
    <w:nsid w:val="5CF2F09C"/>
    <w:multiLevelType w:val="singleLevel"/>
    <w:tmpl w:val="5CF2F09C"/>
    <w:lvl w:ilvl="0" w:tentative="0">
      <w:start w:val="1"/>
      <w:numFmt w:val="decimal"/>
      <w:lvlText w:val="%1."/>
      <w:lvlJc w:val="left"/>
      <w:pPr>
        <w:tabs>
          <w:tab w:val="left" w:pos="312"/>
        </w:tabs>
      </w:pPr>
    </w:lvl>
  </w:abstractNum>
  <w:abstractNum w:abstractNumId="8">
    <w:nsid w:val="7B066C6C"/>
    <w:multiLevelType w:val="singleLevel"/>
    <w:tmpl w:val="7B066C6C"/>
    <w:lvl w:ilvl="0" w:tentative="0">
      <w:start w:val="7"/>
      <w:numFmt w:val="chineseCounting"/>
      <w:suff w:val="nothing"/>
      <w:lvlText w:val="%1、"/>
      <w:lvlJc w:val="left"/>
      <w:rPr>
        <w:rFonts w:hint="eastAsia"/>
      </w:rPr>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YThiYjA3NGYxMGMxMzNkNGJlMzgzODhkMjI2NjIifQ=="/>
  </w:docVars>
  <w:rsids>
    <w:rsidRoot w:val="44E9335A"/>
    <w:rsid w:val="00014390"/>
    <w:rsid w:val="00126710"/>
    <w:rsid w:val="002C39CE"/>
    <w:rsid w:val="00360560"/>
    <w:rsid w:val="00395C35"/>
    <w:rsid w:val="003A6547"/>
    <w:rsid w:val="003C6F66"/>
    <w:rsid w:val="003D5947"/>
    <w:rsid w:val="0040499C"/>
    <w:rsid w:val="00415D1C"/>
    <w:rsid w:val="00481D36"/>
    <w:rsid w:val="00526BDC"/>
    <w:rsid w:val="005D6205"/>
    <w:rsid w:val="00615C7C"/>
    <w:rsid w:val="006355AD"/>
    <w:rsid w:val="0082157E"/>
    <w:rsid w:val="008F2C45"/>
    <w:rsid w:val="009B18AB"/>
    <w:rsid w:val="00A206A9"/>
    <w:rsid w:val="00BD35DD"/>
    <w:rsid w:val="00EC4B55"/>
    <w:rsid w:val="00FC06C5"/>
    <w:rsid w:val="00FD215A"/>
    <w:rsid w:val="00FE4497"/>
    <w:rsid w:val="01060441"/>
    <w:rsid w:val="01421494"/>
    <w:rsid w:val="01A15D73"/>
    <w:rsid w:val="01CF0DA4"/>
    <w:rsid w:val="029619A6"/>
    <w:rsid w:val="02E90150"/>
    <w:rsid w:val="039F1C20"/>
    <w:rsid w:val="04550B80"/>
    <w:rsid w:val="047A710A"/>
    <w:rsid w:val="04C16BC8"/>
    <w:rsid w:val="04FA09BD"/>
    <w:rsid w:val="050776D8"/>
    <w:rsid w:val="05171D67"/>
    <w:rsid w:val="054D205E"/>
    <w:rsid w:val="05A46876"/>
    <w:rsid w:val="05F2495B"/>
    <w:rsid w:val="07112A5D"/>
    <w:rsid w:val="07A53C3E"/>
    <w:rsid w:val="07B9102D"/>
    <w:rsid w:val="07D20A97"/>
    <w:rsid w:val="08926BCB"/>
    <w:rsid w:val="08A94F8B"/>
    <w:rsid w:val="08DA409C"/>
    <w:rsid w:val="08FD6CB2"/>
    <w:rsid w:val="09667FA0"/>
    <w:rsid w:val="099D6A32"/>
    <w:rsid w:val="09F61F78"/>
    <w:rsid w:val="0A12645E"/>
    <w:rsid w:val="0A173A74"/>
    <w:rsid w:val="0A551239"/>
    <w:rsid w:val="0A8F6B0C"/>
    <w:rsid w:val="0A9902CD"/>
    <w:rsid w:val="0AD60CDF"/>
    <w:rsid w:val="0C0B2673"/>
    <w:rsid w:val="0C227AE8"/>
    <w:rsid w:val="0C2C5409"/>
    <w:rsid w:val="0C4061DF"/>
    <w:rsid w:val="0DE678B2"/>
    <w:rsid w:val="0E1972AF"/>
    <w:rsid w:val="0E4233E9"/>
    <w:rsid w:val="0EAF1C6A"/>
    <w:rsid w:val="0EB03625"/>
    <w:rsid w:val="0F0F62D9"/>
    <w:rsid w:val="0F847A0B"/>
    <w:rsid w:val="0FF64005"/>
    <w:rsid w:val="10A4297D"/>
    <w:rsid w:val="10E076D3"/>
    <w:rsid w:val="11930F72"/>
    <w:rsid w:val="11D126FB"/>
    <w:rsid w:val="11DD5DA6"/>
    <w:rsid w:val="123D3247"/>
    <w:rsid w:val="13832745"/>
    <w:rsid w:val="13A077A0"/>
    <w:rsid w:val="14092830"/>
    <w:rsid w:val="149839ED"/>
    <w:rsid w:val="14E80C99"/>
    <w:rsid w:val="1664395B"/>
    <w:rsid w:val="176149D8"/>
    <w:rsid w:val="179A5EE0"/>
    <w:rsid w:val="17D83BEE"/>
    <w:rsid w:val="188D15CA"/>
    <w:rsid w:val="18DA1F8B"/>
    <w:rsid w:val="190351F6"/>
    <w:rsid w:val="19673843"/>
    <w:rsid w:val="197C398C"/>
    <w:rsid w:val="19953C6C"/>
    <w:rsid w:val="199C3ED4"/>
    <w:rsid w:val="19AD5418"/>
    <w:rsid w:val="1B0E2D7B"/>
    <w:rsid w:val="1BCB7717"/>
    <w:rsid w:val="1C392D6D"/>
    <w:rsid w:val="1C3E4B02"/>
    <w:rsid w:val="1C7F404A"/>
    <w:rsid w:val="1DC2259A"/>
    <w:rsid w:val="1DC70D9B"/>
    <w:rsid w:val="1F464796"/>
    <w:rsid w:val="1FA00455"/>
    <w:rsid w:val="1FDC5E15"/>
    <w:rsid w:val="1FE36DC5"/>
    <w:rsid w:val="1FE41427"/>
    <w:rsid w:val="201B25E5"/>
    <w:rsid w:val="203C65B2"/>
    <w:rsid w:val="206C4EE8"/>
    <w:rsid w:val="207C4E98"/>
    <w:rsid w:val="20902F8B"/>
    <w:rsid w:val="20AB68D6"/>
    <w:rsid w:val="20B56A55"/>
    <w:rsid w:val="20D208F4"/>
    <w:rsid w:val="21647201"/>
    <w:rsid w:val="21E27415"/>
    <w:rsid w:val="21E72BD4"/>
    <w:rsid w:val="22A03834"/>
    <w:rsid w:val="234B4A63"/>
    <w:rsid w:val="25C17CDF"/>
    <w:rsid w:val="25C20C10"/>
    <w:rsid w:val="25D007BE"/>
    <w:rsid w:val="26894844"/>
    <w:rsid w:val="268A5BE9"/>
    <w:rsid w:val="26A94B0A"/>
    <w:rsid w:val="275336A2"/>
    <w:rsid w:val="27C03714"/>
    <w:rsid w:val="28200713"/>
    <w:rsid w:val="283D182A"/>
    <w:rsid w:val="284C4BB8"/>
    <w:rsid w:val="28525195"/>
    <w:rsid w:val="290D196F"/>
    <w:rsid w:val="29475A5D"/>
    <w:rsid w:val="29777E28"/>
    <w:rsid w:val="29DD074D"/>
    <w:rsid w:val="2BA61154"/>
    <w:rsid w:val="2BAA2935"/>
    <w:rsid w:val="2C5139EA"/>
    <w:rsid w:val="2CC517C2"/>
    <w:rsid w:val="2DB44479"/>
    <w:rsid w:val="2E896B2E"/>
    <w:rsid w:val="2F83582A"/>
    <w:rsid w:val="301E2C2B"/>
    <w:rsid w:val="305540D9"/>
    <w:rsid w:val="306F49A9"/>
    <w:rsid w:val="314F063B"/>
    <w:rsid w:val="32C16B2B"/>
    <w:rsid w:val="3335259D"/>
    <w:rsid w:val="33DC3D3A"/>
    <w:rsid w:val="34B2494A"/>
    <w:rsid w:val="34D3033C"/>
    <w:rsid w:val="352C6DFA"/>
    <w:rsid w:val="35F677F1"/>
    <w:rsid w:val="36282906"/>
    <w:rsid w:val="36B34F06"/>
    <w:rsid w:val="3712297D"/>
    <w:rsid w:val="376B164D"/>
    <w:rsid w:val="377D5CA1"/>
    <w:rsid w:val="38864FC5"/>
    <w:rsid w:val="389D3370"/>
    <w:rsid w:val="38A67B08"/>
    <w:rsid w:val="38DA1C02"/>
    <w:rsid w:val="38E82AFE"/>
    <w:rsid w:val="392D3120"/>
    <w:rsid w:val="39740DFE"/>
    <w:rsid w:val="398636AB"/>
    <w:rsid w:val="39C77978"/>
    <w:rsid w:val="3A856147"/>
    <w:rsid w:val="3B665E05"/>
    <w:rsid w:val="3B717BF6"/>
    <w:rsid w:val="3BA7165C"/>
    <w:rsid w:val="3BD145C3"/>
    <w:rsid w:val="3C057493"/>
    <w:rsid w:val="3C0D4BF8"/>
    <w:rsid w:val="3C627A79"/>
    <w:rsid w:val="3CF81A16"/>
    <w:rsid w:val="3D1C6313"/>
    <w:rsid w:val="3D9C63D7"/>
    <w:rsid w:val="3DC44310"/>
    <w:rsid w:val="3DF23AF3"/>
    <w:rsid w:val="3E6758F0"/>
    <w:rsid w:val="3E6C774A"/>
    <w:rsid w:val="3E93040B"/>
    <w:rsid w:val="3FA246AC"/>
    <w:rsid w:val="3FC40ABE"/>
    <w:rsid w:val="3FC877F8"/>
    <w:rsid w:val="40AF6BC4"/>
    <w:rsid w:val="40E67640"/>
    <w:rsid w:val="41AF2851"/>
    <w:rsid w:val="41E11356"/>
    <w:rsid w:val="41E4533B"/>
    <w:rsid w:val="41FE4B8B"/>
    <w:rsid w:val="42626C49"/>
    <w:rsid w:val="42921A3C"/>
    <w:rsid w:val="42A877B8"/>
    <w:rsid w:val="42E239E4"/>
    <w:rsid w:val="43207D25"/>
    <w:rsid w:val="43D5724D"/>
    <w:rsid w:val="449B6C3A"/>
    <w:rsid w:val="44E9335A"/>
    <w:rsid w:val="45241EF2"/>
    <w:rsid w:val="45871C01"/>
    <w:rsid w:val="45B7173F"/>
    <w:rsid w:val="464A121D"/>
    <w:rsid w:val="46A74467"/>
    <w:rsid w:val="46C61088"/>
    <w:rsid w:val="4706213D"/>
    <w:rsid w:val="47E537D9"/>
    <w:rsid w:val="48EC258F"/>
    <w:rsid w:val="49210E8D"/>
    <w:rsid w:val="49922183"/>
    <w:rsid w:val="49D67A09"/>
    <w:rsid w:val="4AAC699A"/>
    <w:rsid w:val="4AF96718"/>
    <w:rsid w:val="4B192A1A"/>
    <w:rsid w:val="4B340A63"/>
    <w:rsid w:val="4B3E25A0"/>
    <w:rsid w:val="4B776027"/>
    <w:rsid w:val="4BBC590A"/>
    <w:rsid w:val="4BED1A83"/>
    <w:rsid w:val="4D0B144D"/>
    <w:rsid w:val="4D20222F"/>
    <w:rsid w:val="4E17137F"/>
    <w:rsid w:val="4E1745DF"/>
    <w:rsid w:val="4E877BB9"/>
    <w:rsid w:val="4F66756E"/>
    <w:rsid w:val="4F925850"/>
    <w:rsid w:val="5041158F"/>
    <w:rsid w:val="504D6937"/>
    <w:rsid w:val="509D4F72"/>
    <w:rsid w:val="50DB7B7F"/>
    <w:rsid w:val="51422FAD"/>
    <w:rsid w:val="51E660DE"/>
    <w:rsid w:val="52BE63B4"/>
    <w:rsid w:val="52F21417"/>
    <w:rsid w:val="533B630C"/>
    <w:rsid w:val="53A62227"/>
    <w:rsid w:val="54225104"/>
    <w:rsid w:val="54B84CD0"/>
    <w:rsid w:val="54D400E9"/>
    <w:rsid w:val="55564AD5"/>
    <w:rsid w:val="55E15141"/>
    <w:rsid w:val="5692239D"/>
    <w:rsid w:val="570B3487"/>
    <w:rsid w:val="571E6A26"/>
    <w:rsid w:val="58EF739F"/>
    <w:rsid w:val="59122D41"/>
    <w:rsid w:val="59380C41"/>
    <w:rsid w:val="593E2A3E"/>
    <w:rsid w:val="598478A4"/>
    <w:rsid w:val="599F7845"/>
    <w:rsid w:val="59B2428D"/>
    <w:rsid w:val="59D5494A"/>
    <w:rsid w:val="59F07437"/>
    <w:rsid w:val="59F67CAE"/>
    <w:rsid w:val="5A444C00"/>
    <w:rsid w:val="5B5655D0"/>
    <w:rsid w:val="5B6C629A"/>
    <w:rsid w:val="5B7D2841"/>
    <w:rsid w:val="5B7D67FA"/>
    <w:rsid w:val="5C2F6C47"/>
    <w:rsid w:val="5C6F40E9"/>
    <w:rsid w:val="5CE72A90"/>
    <w:rsid w:val="5DDF6AD2"/>
    <w:rsid w:val="5E37292B"/>
    <w:rsid w:val="5F917F4A"/>
    <w:rsid w:val="5FEC7E16"/>
    <w:rsid w:val="5FF45053"/>
    <w:rsid w:val="60DD5FF3"/>
    <w:rsid w:val="61293C2F"/>
    <w:rsid w:val="61322EC6"/>
    <w:rsid w:val="61F87323"/>
    <w:rsid w:val="62DE544A"/>
    <w:rsid w:val="63FF2724"/>
    <w:rsid w:val="64947BD5"/>
    <w:rsid w:val="64CC14FA"/>
    <w:rsid w:val="658F3BCD"/>
    <w:rsid w:val="65E007E0"/>
    <w:rsid w:val="66752F56"/>
    <w:rsid w:val="669E67B8"/>
    <w:rsid w:val="679E206F"/>
    <w:rsid w:val="67C06EA1"/>
    <w:rsid w:val="67D976C1"/>
    <w:rsid w:val="68394F5F"/>
    <w:rsid w:val="68D7002A"/>
    <w:rsid w:val="68DC5ACD"/>
    <w:rsid w:val="697E1591"/>
    <w:rsid w:val="69824B79"/>
    <w:rsid w:val="69D922AF"/>
    <w:rsid w:val="6A000C13"/>
    <w:rsid w:val="6A621736"/>
    <w:rsid w:val="6A95664F"/>
    <w:rsid w:val="6AC81AC2"/>
    <w:rsid w:val="6AFF5619"/>
    <w:rsid w:val="6B3B530A"/>
    <w:rsid w:val="6B59757F"/>
    <w:rsid w:val="6BF11345"/>
    <w:rsid w:val="6C783951"/>
    <w:rsid w:val="6D340D90"/>
    <w:rsid w:val="6D3E48EC"/>
    <w:rsid w:val="6E0C3015"/>
    <w:rsid w:val="6E607840"/>
    <w:rsid w:val="6E964C46"/>
    <w:rsid w:val="6F031CB1"/>
    <w:rsid w:val="6F1937FE"/>
    <w:rsid w:val="6F8C7356"/>
    <w:rsid w:val="6FBD061C"/>
    <w:rsid w:val="708A4AD3"/>
    <w:rsid w:val="70FE2170"/>
    <w:rsid w:val="71252D13"/>
    <w:rsid w:val="720439CF"/>
    <w:rsid w:val="720B5189"/>
    <w:rsid w:val="723E18E7"/>
    <w:rsid w:val="7244187E"/>
    <w:rsid w:val="72CF033A"/>
    <w:rsid w:val="72FA708E"/>
    <w:rsid w:val="7334057E"/>
    <w:rsid w:val="73BE5958"/>
    <w:rsid w:val="74121F82"/>
    <w:rsid w:val="74536F72"/>
    <w:rsid w:val="74C56B26"/>
    <w:rsid w:val="74F00DA3"/>
    <w:rsid w:val="75293D0F"/>
    <w:rsid w:val="7691481E"/>
    <w:rsid w:val="769E4B67"/>
    <w:rsid w:val="76AD43AF"/>
    <w:rsid w:val="76EE14A7"/>
    <w:rsid w:val="78A21197"/>
    <w:rsid w:val="78AA0E52"/>
    <w:rsid w:val="790E1A98"/>
    <w:rsid w:val="79E656C0"/>
    <w:rsid w:val="7A0B4AC9"/>
    <w:rsid w:val="7A26189B"/>
    <w:rsid w:val="7AB371E8"/>
    <w:rsid w:val="7B097470"/>
    <w:rsid w:val="7B170470"/>
    <w:rsid w:val="7B176B4E"/>
    <w:rsid w:val="7B4A55B4"/>
    <w:rsid w:val="7C243341"/>
    <w:rsid w:val="7C6F69EB"/>
    <w:rsid w:val="7DCA0222"/>
    <w:rsid w:val="7E6B07A2"/>
    <w:rsid w:val="7E766111"/>
    <w:rsid w:val="7F026F2E"/>
    <w:rsid w:val="7F744DAD"/>
    <w:rsid w:val="7FB43032"/>
    <w:rsid w:val="7FE3486B"/>
    <w:rsid w:val="B9EE0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spacing w:after="0" w:line="360" w:lineRule="auto"/>
      <w:ind w:left="176" w:leftChars="0" w:firstLine="420" w:firstLineChars="200"/>
    </w:pPr>
    <w:rPr>
      <w:rFonts w:ascii="仿宋" w:hAnsi="Times New Roman" w:eastAsia="仿宋"/>
    </w:rPr>
  </w:style>
  <w:style w:type="paragraph" w:styleId="3">
    <w:name w:val="Body Text Indent"/>
    <w:basedOn w:val="1"/>
    <w:next w:val="4"/>
    <w:semiHidden/>
    <w:unhideWhenUsed/>
    <w:qFormat/>
    <w:uiPriority w:val="99"/>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text"/>
    <w:basedOn w:val="1"/>
    <w:link w:val="23"/>
    <w:qFormat/>
    <w:uiPriority w:val="0"/>
    <w:pPr>
      <w:jc w:val="left"/>
    </w:pPr>
  </w:style>
  <w:style w:type="paragraph" w:styleId="7">
    <w:name w:val="Body Text"/>
    <w:basedOn w:val="1"/>
    <w:qFormat/>
    <w:uiPriority w:val="0"/>
    <w:pPr>
      <w:spacing w:line="500" w:lineRule="exact"/>
    </w:pPr>
    <w:rPr>
      <w:sz w:val="24"/>
      <w:szCs w:val="20"/>
    </w:rPr>
  </w:style>
  <w:style w:type="paragraph" w:styleId="8">
    <w:name w:val="Balloon Text"/>
    <w:basedOn w:val="1"/>
    <w:link w:val="2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annotation subject"/>
    <w:basedOn w:val="6"/>
    <w:next w:val="6"/>
    <w:link w:val="2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character" w:styleId="20">
    <w:name w:val="annotation reference"/>
    <w:basedOn w:val="15"/>
    <w:qFormat/>
    <w:uiPriority w:val="0"/>
    <w:rPr>
      <w:sz w:val="21"/>
      <w:szCs w:val="21"/>
    </w:rPr>
  </w:style>
  <w:style w:type="paragraph" w:customStyle="1" w:styleId="21">
    <w:name w:val="Table Paragraph"/>
    <w:basedOn w:val="1"/>
    <w:qFormat/>
    <w:uiPriority w:val="1"/>
    <w:rPr>
      <w:rFonts w:ascii="仿宋" w:hAnsi="仿宋" w:eastAsia="仿宋" w:cs="仿宋"/>
    </w:rPr>
  </w:style>
  <w:style w:type="paragraph" w:customStyle="1" w:styleId="22">
    <w:name w:val="pgc-h-arrow-righ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Comment Text Char"/>
    <w:basedOn w:val="15"/>
    <w:link w:val="6"/>
    <w:qFormat/>
    <w:uiPriority w:val="0"/>
    <w:rPr>
      <w:rFonts w:asciiTheme="minorHAnsi" w:hAnsiTheme="minorHAnsi" w:eastAsiaTheme="minorEastAsia" w:cstheme="minorBidi"/>
      <w:kern w:val="2"/>
      <w:sz w:val="21"/>
      <w:szCs w:val="24"/>
    </w:rPr>
  </w:style>
  <w:style w:type="character" w:customStyle="1" w:styleId="24">
    <w:name w:val="Comment Subject Char"/>
    <w:basedOn w:val="23"/>
    <w:link w:val="12"/>
    <w:qFormat/>
    <w:uiPriority w:val="0"/>
    <w:rPr>
      <w:rFonts w:asciiTheme="minorHAnsi" w:hAnsiTheme="minorHAnsi" w:eastAsiaTheme="minorEastAsia" w:cstheme="minorBidi"/>
      <w:b/>
      <w:bCs/>
      <w:kern w:val="2"/>
      <w:sz w:val="21"/>
      <w:szCs w:val="24"/>
    </w:rPr>
  </w:style>
  <w:style w:type="character" w:customStyle="1" w:styleId="25">
    <w:name w:val="Balloon Text Char"/>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452</Words>
  <Characters>2580</Characters>
  <Lines>21</Lines>
  <Paragraphs>6</Paragraphs>
  <TotalTime>8</TotalTime>
  <ScaleCrop>false</ScaleCrop>
  <LinksUpToDate>false</LinksUpToDate>
  <CharactersWithSpaces>3026</CharactersWithSpaces>
  <Application>WPS Office_11.1.0.10314_F1E327BC-269C-435d-A152-05C5408002CA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2023-01-13T15:34:00Z</dcterms:created>
  <dc:creator>唐琪leeson</dc:creator>
  <cp:lastModifiedBy>聂红军</cp:lastModifiedBy>
  <dcterms:modified xsi:type="dcterms:W3CDTF">2023-01-25T01:20:31Z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F1E89D9087F54CD7A17D41B156EF781E</vt:lpwstr>
  </property>
</Properties>
</file>