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b/>
          <w:bCs/>
          <w:color w:val="FF0000"/>
          <w:w w:val="58"/>
          <w:sz w:val="44"/>
          <w:szCs w:val="44"/>
        </w:rPr>
      </w:pPr>
    </w:p>
    <w:p>
      <w:pPr>
        <w:widowControl/>
        <w:spacing w:line="60" w:lineRule="auto"/>
        <w:jc w:val="distribute"/>
        <w:rPr>
          <w:rFonts w:ascii="宋体" w:hAnsi="宋体" w:eastAsia="宋体" w:cs="宋体"/>
          <w:color w:val="FF0000"/>
          <w:sz w:val="70"/>
          <w:szCs w:val="70"/>
        </w:rPr>
      </w:pPr>
      <w:r>
        <w:rPr>
          <w:rFonts w:hint="eastAsia" w:ascii="宋体" w:hAnsi="宋体" w:eastAsia="宋体" w:cs="宋体"/>
          <w:color w:val="FF0000"/>
          <w:sz w:val="70"/>
          <w:szCs w:val="70"/>
        </w:rPr>
        <w:t>中 国 投 资 协 会</w:t>
      </w:r>
    </w:p>
    <w:p>
      <w:pPr>
        <w:widowControl/>
        <w:spacing w:line="60" w:lineRule="auto"/>
        <w:jc w:val="distribute"/>
        <w:rPr>
          <w:rFonts w:ascii="楷体" w:hAnsi="楷体" w:eastAsia="楷体"/>
          <w:color w:val="FF0000"/>
          <w:sz w:val="70"/>
          <w:szCs w:val="70"/>
        </w:rPr>
      </w:pPr>
      <w:r>
        <w:rPr>
          <w:rFonts w:hint="eastAsia" w:ascii="宋体" w:hAnsi="宋体" w:eastAsia="宋体" w:cs="宋体"/>
          <w:color w:val="FF0000"/>
          <w:sz w:val="70"/>
          <w:szCs w:val="70"/>
        </w:rPr>
        <w:t>项目投融资专业委员会文件</w:t>
      </w:r>
    </w:p>
    <w:p>
      <w:pPr>
        <w:widowControl/>
        <w:spacing w:line="380" w:lineRule="exact"/>
        <w:ind w:firstLine="3360" w:firstLineChars="1200"/>
        <w:jc w:val="left"/>
        <w:rPr>
          <w:rFonts w:hint="eastAsia" w:ascii="仿宋" w:hAnsi="仿宋" w:cs="宋体"/>
          <w:color w:val="000000"/>
          <w:sz w:val="28"/>
          <w:szCs w:val="28"/>
        </w:rPr>
      </w:pPr>
      <w:r>
        <w:rPr>
          <w:rFonts w:ascii="仿宋" w:hAnsi="仿宋" w:cs="宋体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-278765</wp:posOffset>
                </wp:positionH>
                <wp:positionV relativeFrom="paragraph">
                  <wp:posOffset>226695</wp:posOffset>
                </wp:positionV>
                <wp:extent cx="6882130" cy="11430"/>
                <wp:effectExtent l="19050" t="19050" r="13970" b="7620"/>
                <wp:wrapNone/>
                <wp:docPr id="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2130" cy="1143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y;margin-left:-21.95pt;margin-top:17.85pt;height:0.9pt;width:541.9pt;mso-position-horizontal-relative:margin;z-index:251659264;mso-width-relative:page;mso-height-relative:page;" filled="f" stroked="t" coordsize="21600,21600" o:gfxdata="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z1N2NsAAAAKAQAADwAAAAAAAAABACAAAAAiAAAAZHJzL2Rv&#10;d25yZXYueG1sUEsBAhQAFAAAAAgAh07iQLabiiL+AQAA9QMAAA4AAAAAAAAAAQAgAAAAKgEAAGRy&#10;cy9lMm9Eb2MueG1sUEsFBgAAAAAGAAYAWQEAAJo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="宋体"/>
          <w:sz w:val="30"/>
          <w:szCs w:val="30"/>
        </w:rPr>
        <w:t>投融培字〔2023〕</w:t>
      </w:r>
      <w:r>
        <w:rPr>
          <w:rFonts w:hint="eastAsia" w:cs="宋体"/>
          <w:sz w:val="30"/>
          <w:szCs w:val="30"/>
        </w:rPr>
        <w:t>0</w:t>
      </w:r>
      <w:r>
        <w:rPr>
          <w:rFonts w:cs="宋体"/>
          <w:sz w:val="30"/>
          <w:szCs w:val="30"/>
        </w:rPr>
        <w:t>06</w:t>
      </w:r>
      <w:r>
        <w:rPr>
          <w:rFonts w:hint="eastAsia" w:cs="宋体"/>
          <w:sz w:val="30"/>
          <w:szCs w:val="30"/>
        </w:rPr>
        <w:t>号</w:t>
      </w:r>
    </w:p>
    <w:p>
      <w:pPr>
        <w:widowControl/>
        <w:spacing w:line="440" w:lineRule="exact"/>
        <w:jc w:val="center"/>
        <w:rPr>
          <w:rFonts w:ascii="宋体" w:hAnsi="宋体" w:eastAsia="宋体" w:cs="宋体"/>
          <w:b/>
          <w:sz w:val="28"/>
          <w:szCs w:val="28"/>
        </w:rPr>
      </w:pPr>
    </w:p>
    <w:p>
      <w:pPr>
        <w:widowControl/>
        <w:spacing w:line="440" w:lineRule="exact"/>
        <w:jc w:val="center"/>
        <w:rPr>
          <w:rFonts w:ascii="宋体" w:hAnsi="宋体" w:eastAsia="宋体" w:cs="宋体"/>
          <w:b/>
          <w:szCs w:val="32"/>
        </w:rPr>
      </w:pPr>
      <w:r>
        <w:rPr>
          <w:rFonts w:hint="eastAsia" w:ascii="宋体" w:hAnsi="宋体" w:eastAsia="宋体" w:cs="宋体"/>
          <w:b/>
          <w:szCs w:val="32"/>
        </w:rPr>
        <w:t>关于举办</w:t>
      </w:r>
      <w:r>
        <w:rPr>
          <w:rFonts w:hint="eastAsia" w:ascii="宋体" w:hAnsi="宋体" w:eastAsia="宋体" w:cs="宋体"/>
          <w:b/>
          <w:szCs w:val="32"/>
          <w:lang w:eastAsia="zh-Hans"/>
        </w:rPr>
        <w:t>“</w:t>
      </w:r>
      <w:r>
        <w:rPr>
          <w:rFonts w:hint="eastAsia" w:ascii="宋体" w:hAnsi="宋体" w:eastAsia="宋体" w:cs="宋体"/>
          <w:b/>
          <w:szCs w:val="32"/>
        </w:rPr>
        <w:t>新版《清单计价标准(征)》解读、造价精准管控、</w:t>
      </w:r>
      <w:r>
        <w:rPr>
          <w:rFonts w:hint="eastAsia" w:ascii="宋体" w:hAnsi="宋体" w:eastAsia="宋体" w:cs="宋体"/>
          <w:b/>
          <w:szCs w:val="32"/>
          <w:lang w:eastAsia="zh-Hans"/>
        </w:rPr>
        <w:t>结算</w:t>
      </w:r>
      <w:r>
        <w:rPr>
          <w:rFonts w:hint="eastAsia" w:ascii="宋体" w:hAnsi="宋体" w:eastAsia="宋体" w:cs="宋体"/>
          <w:b/>
          <w:szCs w:val="32"/>
        </w:rPr>
        <w:t>痛点</w:t>
      </w:r>
      <w:r>
        <w:rPr>
          <w:rFonts w:hint="eastAsia" w:ascii="宋体" w:hAnsi="宋体" w:eastAsia="宋体" w:cs="宋体"/>
          <w:b/>
          <w:szCs w:val="32"/>
          <w:lang w:eastAsia="zh-Hans"/>
        </w:rPr>
        <w:t>管理</w:t>
      </w:r>
      <w:r>
        <w:rPr>
          <w:rFonts w:hint="eastAsia" w:ascii="宋体" w:hAnsi="宋体" w:eastAsia="宋体" w:cs="宋体"/>
          <w:b/>
          <w:szCs w:val="32"/>
        </w:rPr>
        <w:t>与EPC总承包全过程实战与风险防范管理及全过程咨询</w:t>
      </w:r>
      <w:r>
        <w:rPr>
          <w:rFonts w:hint="eastAsia" w:ascii="宋体" w:hAnsi="宋体" w:eastAsia="宋体" w:cs="宋体"/>
          <w:b/>
          <w:szCs w:val="32"/>
          <w:lang w:eastAsia="zh-Hans"/>
        </w:rPr>
        <w:t>”高级培训班</w:t>
      </w:r>
      <w:r>
        <w:rPr>
          <w:rFonts w:hint="eastAsia" w:ascii="宋体" w:hAnsi="宋体" w:eastAsia="宋体" w:cs="宋体"/>
          <w:b/>
          <w:szCs w:val="32"/>
        </w:rPr>
        <w:t>的通知</w:t>
      </w:r>
    </w:p>
    <w:p>
      <w:pPr>
        <w:widowControl/>
        <w:spacing w:line="320" w:lineRule="exact"/>
        <w:rPr>
          <w:rFonts w:ascii="仿宋" w:hAnsi="仿宋" w:cs="仿宋"/>
          <w:b/>
          <w:sz w:val="28"/>
          <w:szCs w:val="28"/>
        </w:rPr>
      </w:pPr>
      <w:r>
        <w:rPr>
          <w:rFonts w:hint="eastAsia" w:ascii="仿宋" w:hAnsi="仿宋" w:cs="仿宋"/>
          <w:b/>
          <w:sz w:val="28"/>
          <w:szCs w:val="28"/>
        </w:rPr>
        <w:t>各有关单位：</w:t>
      </w:r>
    </w:p>
    <w:p>
      <w:pPr>
        <w:widowControl/>
        <w:spacing w:line="340" w:lineRule="exact"/>
        <w:ind w:firstLine="600" w:firstLineChars="200"/>
        <w:jc w:val="left"/>
        <w:rPr>
          <w:bCs/>
          <w:sz w:val="28"/>
          <w:szCs w:val="28"/>
        </w:rPr>
      </w:pPr>
      <w:r>
        <w:rPr>
          <w:rFonts w:hint="eastAsia" w:ascii="仿宋" w:hAnsi="仿宋" w:cs="仿宋"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  <w:t>住建部出台的《工程总承包管理办法》和新版《合同（示范文本）》对EPC项目招投标提出新的要求，对风险分担进行了详细规定。建设项目投资融资体制改革、如何科学实施EPC项目工程总承包以及计量计价、优化标前设计、提高清单编制严谨与准确性，同时，对工程合同履行阶段风险的把控管理、工程造价编制阶段各个环节可能存在的纠纷隐患点、涉法行政诉讼案件如何应对，“1+N+X”模型新工程咨询、大数据、人工智能、BIM 等技术与新基建、新咨询、新金融的深度与广度战略融合，以达到提升企业项目投资管控能力，适应新工程咨询的发展需求。</w:t>
      </w:r>
    </w:p>
    <w:p>
      <w:pPr>
        <w:widowControl/>
        <w:spacing w:line="340" w:lineRule="exact"/>
        <w:ind w:firstLine="560" w:firstLineChars="200"/>
        <w:jc w:val="left"/>
        <w:rPr>
          <w:rFonts w:ascii="仿宋" w:hAnsi="仿宋" w:cs="宋体"/>
          <w:sz w:val="28"/>
          <w:szCs w:val="28"/>
        </w:rPr>
      </w:pPr>
      <w:r>
        <w:rPr>
          <w:rFonts w:hint="eastAsia" w:ascii="仿宋" w:hAnsi="仿宋" w:cs="宋体"/>
          <w:sz w:val="28"/>
          <w:szCs w:val="28"/>
        </w:rPr>
        <w:t>当前，在推行工程总承包的过程中都不同程度面临着法律法规、操作实施的困惑及管理与技术的难点，包括：如何进行EPC项目的整体策划，项目前期如何规划EPC的实施，如何编制合理的EPC招标文件，如何进行前瞻性的合同谈判，以及EPC项目全过程履约管理与风险防控，这些必将成为工程项目总承包的关键性工作。</w:t>
      </w:r>
    </w:p>
    <w:p>
      <w:pPr>
        <w:widowControl/>
        <w:spacing w:line="340" w:lineRule="exact"/>
        <w:ind w:firstLine="640" w:firstLineChars="200"/>
        <w:jc w:val="left"/>
        <w:rPr>
          <w:rFonts w:ascii="仿宋" w:hAnsi="仿宋" w:cs="宋体"/>
          <w:sz w:val="28"/>
          <w:szCs w:val="28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1443990</wp:posOffset>
            </wp:positionV>
            <wp:extent cx="2735580" cy="1491615"/>
            <wp:effectExtent l="0" t="0" r="762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cs="宋体"/>
          <w:sz w:val="28"/>
          <w:szCs w:val="28"/>
        </w:rPr>
        <w:t>为帮助政府职能部门、协会、建设单位、设计单位、施工单位、监理单位、全过程项目咨询单位等相关人员学习理解计价、总包和咨询领域系列规范、行业新政策和管控方法，全面提高项目管理水平，厘清实务中重点难点、疑点、焦点等专业共性问题，实质性地提高专业素养和能力。中国投资协会项目投融资专业委员会决定举办</w:t>
      </w:r>
      <w:r>
        <w:rPr>
          <w:rFonts w:hint="eastAsia" w:ascii="仿宋" w:hAnsi="仿宋" w:cs="宋体"/>
          <w:sz w:val="28"/>
          <w:szCs w:val="28"/>
          <w:lang w:eastAsia="zh-Hans"/>
        </w:rPr>
        <w:t>“</w:t>
      </w:r>
      <w:r>
        <w:rPr>
          <w:rFonts w:hint="eastAsia" w:ascii="仿宋" w:hAnsi="仿宋" w:cs="宋体"/>
          <w:sz w:val="28"/>
          <w:szCs w:val="28"/>
        </w:rPr>
        <w:t>新版《清单计价标准(征)》解读、造价精准管控、</w:t>
      </w:r>
      <w:r>
        <w:rPr>
          <w:rFonts w:hint="eastAsia" w:ascii="仿宋" w:hAnsi="仿宋" w:cs="宋体"/>
          <w:sz w:val="28"/>
          <w:szCs w:val="28"/>
          <w:lang w:eastAsia="zh-Hans"/>
        </w:rPr>
        <w:t>结算</w:t>
      </w:r>
      <w:r>
        <w:rPr>
          <w:rFonts w:hint="eastAsia" w:ascii="仿宋" w:hAnsi="仿宋" w:cs="宋体"/>
          <w:sz w:val="28"/>
          <w:szCs w:val="28"/>
        </w:rPr>
        <w:t>痛点</w:t>
      </w:r>
      <w:r>
        <w:rPr>
          <w:rFonts w:hint="eastAsia" w:ascii="仿宋" w:hAnsi="仿宋" w:cs="宋体"/>
          <w:sz w:val="28"/>
          <w:szCs w:val="28"/>
          <w:lang w:eastAsia="zh-Hans"/>
        </w:rPr>
        <w:t>管理</w:t>
      </w:r>
      <w:r>
        <w:rPr>
          <w:rFonts w:hint="eastAsia" w:ascii="仿宋" w:hAnsi="仿宋" w:cs="宋体"/>
          <w:sz w:val="28"/>
          <w:szCs w:val="28"/>
        </w:rPr>
        <w:t>与EPC总承包全过程实战与风险防管理及全过程咨询</w:t>
      </w:r>
      <w:r>
        <w:rPr>
          <w:rFonts w:hint="eastAsia" w:ascii="仿宋" w:hAnsi="仿宋" w:cs="宋体"/>
          <w:sz w:val="28"/>
          <w:szCs w:val="28"/>
          <w:lang w:eastAsia="zh-Hans"/>
        </w:rPr>
        <w:t>”高级培训班</w:t>
      </w:r>
      <w:r>
        <w:rPr>
          <w:rFonts w:hint="eastAsia" w:ascii="仿宋" w:hAnsi="仿宋" w:cs="宋体"/>
          <w:sz w:val="28"/>
          <w:szCs w:val="28"/>
        </w:rPr>
        <w:t>。请各单位积极组织本单位及下属单位相关人员参加。</w:t>
      </w:r>
    </w:p>
    <w:p>
      <w:pPr>
        <w:widowControl/>
        <w:spacing w:line="400" w:lineRule="exact"/>
        <w:ind w:firstLine="560" w:firstLineChars="200"/>
        <w:jc w:val="left"/>
        <w:rPr>
          <w:rFonts w:ascii="仿宋" w:hAnsi="仿宋" w:cs="宋体"/>
          <w:sz w:val="28"/>
          <w:szCs w:val="28"/>
        </w:rPr>
      </w:pPr>
      <w:r>
        <w:rPr>
          <w:rFonts w:hint="eastAsia" w:ascii="仿宋" w:hAnsi="仿宋" w:cs="宋体"/>
          <w:sz w:val="28"/>
          <w:szCs w:val="28"/>
        </w:rPr>
        <w:t>附件一、培训内容</w:t>
      </w:r>
    </w:p>
    <w:p>
      <w:pPr>
        <w:widowControl/>
        <w:spacing w:line="400" w:lineRule="exact"/>
        <w:ind w:firstLine="560" w:firstLineChars="200"/>
        <w:jc w:val="left"/>
        <w:rPr>
          <w:rFonts w:ascii="仿宋" w:hAnsi="仿宋" w:cs="宋体"/>
          <w:sz w:val="28"/>
          <w:szCs w:val="28"/>
        </w:rPr>
      </w:pPr>
      <w:r>
        <w:rPr>
          <w:rFonts w:hint="eastAsia" w:ascii="仿宋" w:hAnsi="仿宋" w:cs="宋体"/>
          <w:sz w:val="28"/>
          <w:szCs w:val="28"/>
        </w:rPr>
        <w:t>附件二、报名表</w:t>
      </w:r>
    </w:p>
    <w:p>
      <w:pPr>
        <w:pStyle w:val="2"/>
        <w:ind w:firstLine="480"/>
        <w:rPr>
          <w:rFonts w:hint="eastAsia"/>
        </w:rPr>
      </w:pPr>
    </w:p>
    <w:p>
      <w:pPr>
        <w:spacing w:line="400" w:lineRule="exact"/>
        <w:rPr>
          <w:rFonts w:ascii="仿宋" w:hAnsi="仿宋" w:cs="宋体"/>
          <w:b/>
          <w:snapToGrid w:val="0"/>
          <w:kern w:val="20"/>
          <w:position w:val="-4"/>
          <w:sz w:val="28"/>
          <w:szCs w:val="28"/>
        </w:rPr>
      </w:pPr>
      <w:r>
        <w:rPr>
          <w:rFonts w:hint="eastAsia" w:ascii="仿宋" w:hAnsi="仿宋" w:cs="宋体"/>
          <w:b/>
          <w:snapToGrid w:val="0"/>
          <w:kern w:val="20"/>
          <w:position w:val="-4"/>
          <w:sz w:val="28"/>
          <w:szCs w:val="28"/>
        </w:rPr>
        <w:t>附件一：培训内容</w:t>
      </w:r>
    </w:p>
    <w:p>
      <w:pPr>
        <w:widowControl/>
        <w:spacing w:line="400" w:lineRule="exact"/>
        <w:jc w:val="left"/>
        <w:rPr>
          <w:rFonts w:ascii="仿宋" w:hAnsi="仿宋" w:cs="宋体"/>
          <w:sz w:val="28"/>
          <w:szCs w:val="28"/>
        </w:rPr>
      </w:pPr>
      <w:r>
        <w:rPr>
          <w:rFonts w:hint="eastAsia" w:ascii="仿宋" w:hAnsi="仿宋" w:cs="宋体"/>
          <w:b/>
          <w:bCs/>
          <w:sz w:val="28"/>
          <w:szCs w:val="28"/>
        </w:rPr>
        <w:t>第一部分：国务院、发改委、住建部及行业、地方发布的相关政策解读</w:t>
      </w:r>
    </w:p>
    <w:p>
      <w:pPr>
        <w:widowControl/>
        <w:numPr>
          <w:ilvl w:val="0"/>
          <w:numId w:val="1"/>
        </w:numPr>
        <w:spacing w:line="400" w:lineRule="exact"/>
        <w:rPr>
          <w:rFonts w:ascii="仿宋" w:hAnsi="仿宋" w:cs="宋体"/>
          <w:sz w:val="28"/>
          <w:szCs w:val="28"/>
        </w:rPr>
      </w:pPr>
      <w:r>
        <w:rPr>
          <w:rFonts w:ascii="仿宋" w:hAnsi="仿宋" w:cs="宋体"/>
          <w:sz w:val="28"/>
          <w:szCs w:val="28"/>
        </w:rPr>
        <w:t xml:space="preserve">《建设工程工程量清单计价标准(征)》(建司局函标〔2021〕144号) </w:t>
      </w:r>
    </w:p>
    <w:p>
      <w:pPr>
        <w:widowControl/>
        <w:numPr>
          <w:ilvl w:val="0"/>
          <w:numId w:val="1"/>
        </w:numPr>
        <w:spacing w:line="400" w:lineRule="exact"/>
        <w:rPr>
          <w:rFonts w:ascii="仿宋" w:hAnsi="仿宋" w:cs="宋体"/>
          <w:sz w:val="28"/>
          <w:szCs w:val="28"/>
        </w:rPr>
      </w:pPr>
      <w:r>
        <w:rPr>
          <w:rFonts w:hint="eastAsia" w:ascii="仿宋" w:hAnsi="仿宋" w:cs="宋体"/>
          <w:sz w:val="28"/>
          <w:szCs w:val="28"/>
        </w:rPr>
        <w:t>《建筑工程施工发包与承包计价管理办法(征)》(建司局函标〔2021〕153号)</w:t>
      </w:r>
    </w:p>
    <w:p>
      <w:pPr>
        <w:widowControl/>
        <w:spacing w:line="400" w:lineRule="exact"/>
        <w:ind w:left="560"/>
        <w:rPr>
          <w:rFonts w:ascii="仿宋" w:hAnsi="仿宋" w:cs="宋体"/>
          <w:sz w:val="28"/>
          <w:szCs w:val="28"/>
        </w:rPr>
      </w:pPr>
      <w:r>
        <w:rPr>
          <w:rFonts w:hint="eastAsia" w:ascii="仿宋" w:hAnsi="仿宋" w:cs="宋体"/>
          <w:sz w:val="28"/>
          <w:szCs w:val="28"/>
        </w:rPr>
        <w:t>3.《房屋建筑和市政基础设施项目工程总承包管理办法》(建市规〔2019〕12号)</w:t>
      </w:r>
    </w:p>
    <w:p>
      <w:pPr>
        <w:widowControl/>
        <w:spacing w:line="400" w:lineRule="exact"/>
        <w:ind w:left="560"/>
        <w:rPr>
          <w:rFonts w:ascii="仿宋" w:hAnsi="仿宋" w:cs="宋体"/>
          <w:sz w:val="28"/>
          <w:szCs w:val="28"/>
        </w:rPr>
      </w:pPr>
      <w:r>
        <w:rPr>
          <w:rFonts w:hint="eastAsia" w:ascii="仿宋" w:hAnsi="仿宋" w:cs="宋体"/>
          <w:sz w:val="28"/>
          <w:szCs w:val="28"/>
        </w:rPr>
        <w:t>4.《建设工程总承包计价规范(征)》(中价协〔2022〕1号)</w:t>
      </w:r>
    </w:p>
    <w:p>
      <w:pPr>
        <w:widowControl/>
        <w:spacing w:line="400" w:lineRule="exact"/>
        <w:ind w:left="560"/>
        <w:rPr>
          <w:rFonts w:ascii="仿宋" w:hAnsi="仿宋" w:cs="宋体"/>
          <w:sz w:val="28"/>
          <w:szCs w:val="28"/>
        </w:rPr>
      </w:pPr>
      <w:r>
        <w:rPr>
          <w:rFonts w:hint="eastAsia" w:ascii="仿宋" w:hAnsi="仿宋" w:cs="宋体"/>
          <w:sz w:val="28"/>
          <w:szCs w:val="28"/>
        </w:rPr>
        <w:t xml:space="preserve">5.《房屋建筑和市政基础设施项目工程总承包计价计量规范(征)》(建办标函〔2018〕726号) </w:t>
      </w:r>
    </w:p>
    <w:p>
      <w:pPr>
        <w:widowControl/>
        <w:spacing w:line="400" w:lineRule="exact"/>
        <w:ind w:left="560"/>
        <w:rPr>
          <w:rFonts w:ascii="仿宋" w:hAnsi="仿宋" w:cs="宋体"/>
          <w:sz w:val="28"/>
          <w:szCs w:val="28"/>
        </w:rPr>
      </w:pPr>
      <w:r>
        <w:rPr>
          <w:rFonts w:hint="eastAsia" w:ascii="仿宋" w:hAnsi="仿宋" w:cs="宋体"/>
          <w:sz w:val="28"/>
          <w:szCs w:val="28"/>
        </w:rPr>
        <w:t>6.《建设项目工程总承包合同示范文本</w:t>
      </w:r>
      <w:r>
        <w:rPr>
          <w:rFonts w:ascii="仿宋" w:hAnsi="仿宋" w:cs="宋体"/>
          <w:sz w:val="28"/>
          <w:szCs w:val="28"/>
        </w:rPr>
        <w:t>(</w:t>
      </w:r>
      <w:r>
        <w:rPr>
          <w:rFonts w:hint="eastAsia" w:ascii="仿宋" w:hAnsi="仿宋" w:cs="宋体"/>
          <w:sz w:val="28"/>
          <w:szCs w:val="28"/>
        </w:rPr>
        <w:t>GF-2020-0216</w:t>
      </w:r>
      <w:r>
        <w:rPr>
          <w:rFonts w:ascii="仿宋" w:hAnsi="仿宋" w:cs="宋体"/>
          <w:sz w:val="28"/>
          <w:szCs w:val="28"/>
        </w:rPr>
        <w:t>)</w:t>
      </w:r>
      <w:r>
        <w:rPr>
          <w:rFonts w:hint="eastAsia" w:ascii="仿宋" w:hAnsi="仿宋" w:cs="宋体"/>
          <w:sz w:val="28"/>
          <w:szCs w:val="28"/>
        </w:rPr>
        <w:t>》(建市〔2020〕96号</w:t>
      </w:r>
      <w:r>
        <w:rPr>
          <w:rFonts w:ascii="仿宋" w:hAnsi="仿宋" w:cs="宋体"/>
          <w:sz w:val="28"/>
          <w:szCs w:val="28"/>
        </w:rPr>
        <w:t>)</w:t>
      </w:r>
    </w:p>
    <w:p>
      <w:pPr>
        <w:widowControl/>
        <w:spacing w:line="400" w:lineRule="exact"/>
        <w:ind w:left="560"/>
        <w:rPr>
          <w:rFonts w:ascii="仿宋" w:hAnsi="仿宋" w:cs="宋体"/>
          <w:sz w:val="28"/>
          <w:szCs w:val="28"/>
        </w:rPr>
      </w:pPr>
      <w:r>
        <w:rPr>
          <w:rFonts w:hint="eastAsia" w:ascii="仿宋" w:hAnsi="仿宋" w:cs="宋体"/>
          <w:sz w:val="28"/>
          <w:szCs w:val="28"/>
        </w:rPr>
        <w:t>7.《建设项目工程总承包(EPC)费用项目组成</w:t>
      </w:r>
      <w:r>
        <w:rPr>
          <w:rFonts w:ascii="仿宋" w:hAnsi="仿宋" w:cs="宋体"/>
          <w:sz w:val="28"/>
          <w:szCs w:val="28"/>
        </w:rPr>
        <w:t>(征)</w:t>
      </w:r>
      <w:r>
        <w:rPr>
          <w:rFonts w:hint="eastAsia" w:ascii="仿宋" w:hAnsi="仿宋" w:cs="宋体"/>
          <w:sz w:val="28"/>
          <w:szCs w:val="28"/>
        </w:rPr>
        <w:t>》及《建设项目总投资费用项目组成</w:t>
      </w:r>
      <w:r>
        <w:rPr>
          <w:rFonts w:ascii="仿宋" w:hAnsi="仿宋" w:cs="宋体"/>
          <w:sz w:val="28"/>
          <w:szCs w:val="28"/>
        </w:rPr>
        <w:t>(征)</w:t>
      </w:r>
      <w:r>
        <w:rPr>
          <w:rFonts w:hint="eastAsia" w:ascii="仿宋" w:hAnsi="仿宋" w:cs="宋体"/>
          <w:sz w:val="28"/>
          <w:szCs w:val="28"/>
        </w:rPr>
        <w:t>》(建办标函〔2017〕612号</w:t>
      </w:r>
      <w:r>
        <w:rPr>
          <w:rFonts w:ascii="仿宋" w:hAnsi="仿宋" w:cs="宋体"/>
          <w:sz w:val="28"/>
          <w:szCs w:val="28"/>
        </w:rPr>
        <w:t>)</w:t>
      </w:r>
    </w:p>
    <w:p>
      <w:pPr>
        <w:widowControl/>
        <w:spacing w:line="400" w:lineRule="exact"/>
        <w:ind w:left="560"/>
        <w:rPr>
          <w:rFonts w:ascii="仿宋" w:hAnsi="仿宋" w:cs="宋体"/>
          <w:sz w:val="28"/>
          <w:szCs w:val="28"/>
        </w:rPr>
      </w:pPr>
      <w:r>
        <w:rPr>
          <w:rFonts w:hint="eastAsia" w:ascii="仿宋" w:hAnsi="仿宋" w:cs="宋体"/>
          <w:sz w:val="28"/>
          <w:szCs w:val="28"/>
        </w:rPr>
        <w:t>8.《关于推进全过程工程咨询服务发展的指导意见》(发改投资规〔2019〕515号)</w:t>
      </w:r>
    </w:p>
    <w:p>
      <w:pPr>
        <w:widowControl/>
        <w:spacing w:line="400" w:lineRule="exact"/>
        <w:ind w:left="560"/>
        <w:rPr>
          <w:rFonts w:ascii="仿宋" w:hAnsi="仿宋" w:cs="宋体"/>
          <w:sz w:val="28"/>
          <w:szCs w:val="28"/>
        </w:rPr>
      </w:pPr>
      <w:r>
        <w:rPr>
          <w:rFonts w:hint="eastAsia" w:ascii="仿宋" w:hAnsi="仿宋" w:cs="宋体"/>
          <w:sz w:val="28"/>
          <w:szCs w:val="28"/>
        </w:rPr>
        <w:t>9.《企业安全生产费用提取和使用管理办法》(财资〔</w:t>
      </w:r>
      <w:r>
        <w:rPr>
          <w:rFonts w:ascii="仿宋" w:hAnsi="仿宋" w:cs="宋体"/>
          <w:sz w:val="28"/>
          <w:szCs w:val="28"/>
        </w:rPr>
        <w:t>2022〕136号</w:t>
      </w:r>
      <w:r>
        <w:rPr>
          <w:rFonts w:hint="eastAsia" w:ascii="仿宋" w:hAnsi="仿宋" w:cs="宋体"/>
          <w:sz w:val="28"/>
          <w:szCs w:val="28"/>
        </w:rPr>
        <w:t xml:space="preserve">) </w:t>
      </w:r>
    </w:p>
    <w:p>
      <w:pPr>
        <w:widowControl/>
        <w:spacing w:line="400" w:lineRule="exact"/>
        <w:ind w:left="1405" w:hanging="1401" w:hangingChars="500"/>
        <w:jc w:val="left"/>
        <w:rPr>
          <w:rFonts w:ascii="仿宋" w:hAnsi="仿宋" w:cs="宋体"/>
          <w:b/>
          <w:bCs/>
          <w:sz w:val="28"/>
          <w:szCs w:val="28"/>
        </w:rPr>
      </w:pPr>
      <w:r>
        <w:rPr>
          <w:rFonts w:hint="eastAsia" w:ascii="仿宋" w:hAnsi="仿宋" w:cs="宋体"/>
          <w:b/>
          <w:bCs/>
          <w:sz w:val="28"/>
          <w:szCs w:val="28"/>
        </w:rPr>
        <w:t>第二部分：</w:t>
      </w:r>
      <w:r>
        <w:rPr>
          <w:rFonts w:ascii="仿宋" w:hAnsi="仿宋" w:cs="宋体"/>
          <w:b/>
          <w:bCs/>
          <w:sz w:val="28"/>
          <w:szCs w:val="28"/>
        </w:rPr>
        <w:t>《新清标(征)》</w:t>
      </w:r>
      <w:r>
        <w:rPr>
          <w:rFonts w:hint="eastAsia" w:ascii="仿宋" w:hAnsi="仿宋" w:cs="宋体"/>
          <w:b/>
          <w:bCs/>
          <w:sz w:val="28"/>
          <w:szCs w:val="28"/>
        </w:rPr>
        <w:t>关键条文解读、工程计价与结算管理、总承包(E</w:t>
      </w:r>
      <w:r>
        <w:rPr>
          <w:rFonts w:ascii="仿宋" w:hAnsi="仿宋" w:cs="宋体"/>
          <w:b/>
          <w:bCs/>
          <w:sz w:val="28"/>
          <w:szCs w:val="28"/>
        </w:rPr>
        <w:t>PC)</w:t>
      </w:r>
      <w:r>
        <w:rPr>
          <w:rFonts w:hint="eastAsia" w:ascii="仿宋" w:hAnsi="仿宋" w:cs="宋体"/>
          <w:b/>
          <w:bCs/>
          <w:sz w:val="28"/>
          <w:szCs w:val="28"/>
        </w:rPr>
        <w:t>计价典型案例分析及工程审计实务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spacing w:line="400" w:lineRule="exact"/>
        <w:ind w:left="918" w:hanging="357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工程计价内容的招标设计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spacing w:line="400" w:lineRule="exact"/>
        <w:ind w:left="918" w:hanging="357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工程费用性质分析：按实核定与包干固定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spacing w:line="400" w:lineRule="exact"/>
        <w:ind w:left="918" w:hanging="357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《新清标(征)》中关于合同形式的新规定及计价案例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spacing w:line="400" w:lineRule="exact"/>
        <w:ind w:left="918" w:hanging="357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措施项目清单缺漏项与包干计价分析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spacing w:line="400" w:lineRule="exact"/>
        <w:ind w:left="918" w:hanging="357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过程结算与过程支付的辨析与案例；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spacing w:line="400" w:lineRule="exact"/>
        <w:ind w:left="918" w:hanging="357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工程量增减与不平衡单价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spacing w:line="400" w:lineRule="exact"/>
        <w:ind w:left="918" w:hanging="357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材料单价不合理情形下变更置换计价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spacing w:line="400" w:lineRule="exact"/>
        <w:ind w:left="918" w:hanging="357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工程措施方案变更与优化的计价处理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spacing w:line="400" w:lineRule="exact"/>
        <w:ind w:left="918" w:hanging="357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材料设备认价性质界定与案例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spacing w:line="400" w:lineRule="exact"/>
        <w:ind w:left="918" w:hanging="357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暂估价项目及总承包服务费计价案例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spacing w:line="400" w:lineRule="exact"/>
        <w:ind w:left="918" w:hanging="357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总承包(EPC)计价构成分析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spacing w:line="400" w:lineRule="exact"/>
        <w:ind w:left="918" w:hanging="357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总承包(EPC)计价范围与计价机制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spacing w:line="400" w:lineRule="exact"/>
        <w:ind w:left="918" w:hanging="357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总承包(EPC)计价风险与价格调整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spacing w:line="400" w:lineRule="exact"/>
        <w:ind w:left="918" w:hanging="357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总承包(EPC)变更计价分析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spacing w:line="400" w:lineRule="exact"/>
        <w:ind w:left="918" w:hanging="357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营改增下工程计价与计税典型案例分析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spacing w:line="400" w:lineRule="exact"/>
        <w:ind w:left="918" w:hanging="357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工程结算审计实务及案例分析</w:t>
      </w:r>
    </w:p>
    <w:p>
      <w:pPr>
        <w:spacing w:line="400" w:lineRule="exact"/>
        <w:jc w:val="left"/>
        <w:rPr>
          <w:rFonts w:ascii="仿宋" w:hAnsi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第三部分：EPC 项目投资管控理论与实务及</w:t>
      </w:r>
      <w:r>
        <w:rPr>
          <w:rFonts w:hint="eastAsia" w:ascii="仿宋" w:hAnsi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全过程工程咨询管理实务</w:t>
      </w:r>
    </w:p>
    <w:p>
      <w:pPr>
        <w:spacing w:line="400" w:lineRule="exact"/>
        <w:ind w:firstLine="504" w:firstLineChars="200"/>
        <w:jc w:val="left"/>
        <w:outlineLvl w:val="0"/>
        <w:rPr>
          <w:rFonts w:ascii="仿宋" w:hAnsi="仿宋" w:cs="仿宋"/>
          <w:b/>
          <w:bCs/>
          <w:sz w:val="28"/>
          <w:szCs w:val="28"/>
        </w:rPr>
      </w:pPr>
      <w:r>
        <w:rPr>
          <w:rFonts w:hint="eastAsia" w:ascii="仿宋" w:hAnsi="仿宋" w:cs="仿宋"/>
          <w:b/>
          <w:bCs/>
          <w:spacing w:val="-14"/>
          <w:sz w:val="28"/>
          <w:szCs w:val="28"/>
        </w:rPr>
        <w:t>一、</w:t>
      </w:r>
      <w:r>
        <w:rPr>
          <w:rFonts w:hint="eastAsia" w:ascii="仿宋" w:hAnsi="仿宋" w:cs="仿宋"/>
          <w:b/>
          <w:bCs/>
          <w:spacing w:val="-7"/>
          <w:sz w:val="28"/>
          <w:szCs w:val="28"/>
        </w:rPr>
        <w:t>EPC 项目投资管控</w:t>
      </w:r>
    </w:p>
    <w:p>
      <w:pPr>
        <w:spacing w:line="400" w:lineRule="exact"/>
        <w:ind w:firstLine="524" w:firstLineChars="200"/>
        <w:jc w:val="left"/>
        <w:rPr>
          <w:rFonts w:ascii="仿宋" w:hAnsi="仿宋" w:cs="仿宋"/>
          <w:sz w:val="28"/>
          <w:szCs w:val="28"/>
        </w:rPr>
      </w:pPr>
      <w:r>
        <w:rPr>
          <w:rFonts w:hint="eastAsia" w:ascii="仿宋" w:hAnsi="仿宋" w:cs="仿宋"/>
          <w:spacing w:val="-9"/>
          <w:sz w:val="28"/>
          <w:szCs w:val="28"/>
        </w:rPr>
        <w:t>1.“发包人要求”配合总价合同；</w:t>
      </w:r>
    </w:p>
    <w:p>
      <w:pPr>
        <w:spacing w:line="400" w:lineRule="exact"/>
        <w:ind w:firstLine="552" w:firstLineChars="200"/>
        <w:jc w:val="left"/>
        <w:rPr>
          <w:rFonts w:ascii="仿宋" w:hAnsi="仿宋" w:cs="仿宋"/>
          <w:sz w:val="28"/>
          <w:szCs w:val="28"/>
        </w:rPr>
      </w:pPr>
      <w:r>
        <w:rPr>
          <w:rFonts w:hint="eastAsia" w:ascii="仿宋" w:hAnsi="仿宋" w:cs="仿宋"/>
          <w:spacing w:val="-2"/>
          <w:sz w:val="28"/>
          <w:szCs w:val="28"/>
        </w:rPr>
        <w:t>2.模拟工程量清单配合单价合同；</w:t>
      </w:r>
    </w:p>
    <w:p>
      <w:pPr>
        <w:spacing w:line="400" w:lineRule="exact"/>
        <w:ind w:firstLine="556" w:firstLineChars="200"/>
        <w:jc w:val="left"/>
        <w:rPr>
          <w:rFonts w:ascii="仿宋" w:hAnsi="仿宋" w:cs="仿宋"/>
          <w:sz w:val="28"/>
          <w:szCs w:val="28"/>
        </w:rPr>
      </w:pPr>
      <w:r>
        <w:rPr>
          <w:rFonts w:hint="eastAsia" w:ascii="仿宋" w:hAnsi="仿宋" w:cs="仿宋"/>
          <w:spacing w:val="-1"/>
          <w:sz w:val="28"/>
          <w:szCs w:val="28"/>
        </w:rPr>
        <w:t>3.总价合同采用里程碑支付、单价按里程碑从量支付；</w:t>
      </w:r>
    </w:p>
    <w:p>
      <w:pPr>
        <w:spacing w:line="400" w:lineRule="exact"/>
        <w:ind w:firstLine="540" w:firstLineChars="200"/>
        <w:jc w:val="left"/>
        <w:rPr>
          <w:rFonts w:ascii="仿宋" w:hAnsi="仿宋" w:cs="仿宋"/>
          <w:sz w:val="28"/>
          <w:szCs w:val="28"/>
        </w:rPr>
      </w:pPr>
      <w:r>
        <w:rPr>
          <w:rFonts w:hint="eastAsia" w:ascii="仿宋" w:hAnsi="仿宋" w:cs="仿宋"/>
          <w:spacing w:val="-5"/>
          <w:sz w:val="28"/>
          <w:szCs w:val="28"/>
        </w:rPr>
        <w:t>4.EPC 两段式设计：标前设计可变更，标后设计无变更；</w:t>
      </w:r>
    </w:p>
    <w:p>
      <w:pPr>
        <w:spacing w:line="400" w:lineRule="exact"/>
        <w:ind w:firstLine="552" w:firstLineChars="200"/>
        <w:jc w:val="left"/>
        <w:rPr>
          <w:rFonts w:ascii="仿宋" w:hAnsi="仿宋" w:cs="仿宋"/>
          <w:sz w:val="28"/>
          <w:szCs w:val="28"/>
        </w:rPr>
      </w:pPr>
      <w:r>
        <w:rPr>
          <w:rFonts w:hint="eastAsia" w:ascii="仿宋" w:hAnsi="仿宋" w:cs="仿宋"/>
          <w:spacing w:val="-2"/>
          <w:sz w:val="28"/>
          <w:szCs w:val="28"/>
        </w:rPr>
        <w:t>5.任</w:t>
      </w:r>
      <w:r>
        <w:rPr>
          <w:rFonts w:hint="eastAsia" w:ascii="仿宋" w:hAnsi="仿宋" w:cs="仿宋"/>
          <w:spacing w:val="-1"/>
          <w:sz w:val="28"/>
          <w:szCs w:val="28"/>
        </w:rPr>
        <w:t>何业主的改变均需向总承包商支付对价；</w:t>
      </w:r>
    </w:p>
    <w:p>
      <w:pPr>
        <w:spacing w:line="400" w:lineRule="exact"/>
        <w:ind w:left="426" w:leftChars="133" w:firstLine="139" w:firstLineChars="57"/>
        <w:jc w:val="left"/>
        <w:rPr>
          <w:rFonts w:ascii="仿宋" w:hAnsi="仿宋" w:cs="仿宋"/>
          <w:sz w:val="28"/>
          <w:szCs w:val="28"/>
        </w:rPr>
      </w:pPr>
      <w:r>
        <w:rPr>
          <w:rFonts w:hint="eastAsia" w:ascii="仿宋" w:hAnsi="仿宋" w:cs="仿宋"/>
          <w:spacing w:val="-18"/>
          <w:sz w:val="28"/>
          <w:szCs w:val="28"/>
        </w:rPr>
        <w:t>6.坚</w:t>
      </w:r>
      <w:r>
        <w:rPr>
          <w:rFonts w:hint="eastAsia" w:ascii="仿宋" w:hAnsi="仿宋" w:cs="仿宋"/>
          <w:spacing w:val="-10"/>
          <w:sz w:val="28"/>
          <w:szCs w:val="28"/>
        </w:rPr>
        <w:t>持标前下达设计限额， 鼓励标前设计优化， 限制标后设计优化， 未经批</w:t>
      </w:r>
      <w:r>
        <w:rPr>
          <w:rFonts w:hint="eastAsia" w:ascii="仿宋" w:hAnsi="仿宋" w:cs="仿宋"/>
          <w:spacing w:val="-1"/>
          <w:sz w:val="28"/>
          <w:szCs w:val="28"/>
        </w:rPr>
        <w:t>准的标后优化</w:t>
      </w:r>
      <w:r>
        <w:rPr>
          <w:rFonts w:hint="eastAsia" w:ascii="仿宋" w:hAnsi="仿宋" w:cs="仿宋"/>
          <w:sz w:val="28"/>
          <w:szCs w:val="28"/>
        </w:rPr>
        <w:t>均为违约行为；</w:t>
      </w:r>
    </w:p>
    <w:p>
      <w:pPr>
        <w:spacing w:line="400" w:lineRule="exact"/>
        <w:ind w:firstLine="556" w:firstLineChars="200"/>
        <w:jc w:val="left"/>
        <w:rPr>
          <w:rFonts w:ascii="仿宋" w:hAnsi="仿宋" w:cs="仿宋"/>
          <w:sz w:val="28"/>
          <w:szCs w:val="28"/>
        </w:rPr>
      </w:pPr>
      <w:r>
        <w:rPr>
          <w:rFonts w:hint="eastAsia" w:ascii="仿宋" w:hAnsi="仿宋" w:cs="仿宋"/>
          <w:spacing w:val="-1"/>
          <w:sz w:val="28"/>
          <w:szCs w:val="28"/>
        </w:rPr>
        <w:t>7.总价无审核但应交付合格功能后支付，单价</w:t>
      </w:r>
      <w:r>
        <w:rPr>
          <w:rFonts w:hint="eastAsia" w:ascii="仿宋" w:hAnsi="仿宋" w:cs="仿宋"/>
          <w:sz w:val="28"/>
          <w:szCs w:val="28"/>
        </w:rPr>
        <w:t>按周期从量支付；</w:t>
      </w:r>
    </w:p>
    <w:p>
      <w:pPr>
        <w:spacing w:line="400" w:lineRule="exact"/>
        <w:ind w:firstLine="540" w:firstLineChars="200"/>
        <w:jc w:val="left"/>
        <w:rPr>
          <w:rFonts w:ascii="仿宋" w:hAnsi="仿宋" w:cs="仿宋"/>
          <w:spacing w:val="-5"/>
          <w:sz w:val="28"/>
          <w:szCs w:val="28"/>
        </w:rPr>
      </w:pPr>
      <w:r>
        <w:rPr>
          <w:rFonts w:hint="eastAsia" w:ascii="仿宋" w:hAnsi="仿宋" w:cs="仿宋"/>
          <w:spacing w:val="-5"/>
          <w:sz w:val="28"/>
          <w:szCs w:val="28"/>
        </w:rPr>
        <w:t>8.EPC 模式价格清单投标人应在编制价格清单时确保准确完整。</w:t>
      </w:r>
    </w:p>
    <w:p>
      <w:pPr>
        <w:widowControl/>
        <w:spacing w:line="400" w:lineRule="exact"/>
        <w:jc w:val="left"/>
        <w:rPr>
          <w:rFonts w:ascii="仿宋" w:hAnsi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cs="仿宋"/>
          <w:b/>
          <w:bCs/>
          <w:color w:val="000000"/>
          <w:sz w:val="28"/>
          <w:szCs w:val="28"/>
        </w:rPr>
        <w:t>二、EPC工程总承包项目招投标策划与风险防范</w:t>
      </w:r>
    </w:p>
    <w:p>
      <w:pPr>
        <w:pStyle w:val="16"/>
        <w:widowControl/>
        <w:numPr>
          <w:ilvl w:val="255"/>
          <w:numId w:val="0"/>
        </w:numPr>
        <w:spacing w:line="400" w:lineRule="exact"/>
        <w:ind w:firstLine="560" w:firstLineChars="200"/>
        <w:jc w:val="left"/>
        <w:rPr>
          <w:rFonts w:ascii="仿宋" w:hAnsi="仿宋" w:cs="仿宋"/>
          <w:color w:val="000000"/>
          <w:sz w:val="28"/>
          <w:szCs w:val="28"/>
        </w:rPr>
      </w:pPr>
      <w:r>
        <w:rPr>
          <w:rFonts w:hint="eastAsia" w:ascii="仿宋" w:hAnsi="仿宋" w:cs="仿宋"/>
          <w:color w:val="000000"/>
          <w:sz w:val="28"/>
          <w:szCs w:val="28"/>
        </w:rPr>
        <w:t>1.EPC总承包、分包相关招投标政策解读；</w:t>
      </w:r>
    </w:p>
    <w:p>
      <w:pPr>
        <w:pStyle w:val="16"/>
        <w:widowControl/>
        <w:numPr>
          <w:ilvl w:val="255"/>
          <w:numId w:val="0"/>
        </w:numPr>
        <w:spacing w:line="400" w:lineRule="exact"/>
        <w:ind w:firstLine="560" w:firstLineChars="200"/>
        <w:jc w:val="left"/>
        <w:rPr>
          <w:rFonts w:ascii="仿宋" w:hAnsi="仿宋" w:cs="仿宋"/>
          <w:color w:val="000000"/>
          <w:sz w:val="28"/>
          <w:szCs w:val="28"/>
        </w:rPr>
      </w:pPr>
      <w:r>
        <w:rPr>
          <w:rFonts w:hint="eastAsia" w:ascii="仿宋" w:hAnsi="仿宋" w:cs="仿宋"/>
          <w:color w:val="000000"/>
          <w:sz w:val="28"/>
          <w:szCs w:val="28"/>
        </w:rPr>
        <w:t>2.EPC项目对甲乙双方固有风险及管理重点；</w:t>
      </w:r>
    </w:p>
    <w:p>
      <w:pPr>
        <w:pStyle w:val="16"/>
        <w:widowControl/>
        <w:numPr>
          <w:ilvl w:val="255"/>
          <w:numId w:val="0"/>
        </w:numPr>
        <w:spacing w:line="400" w:lineRule="exact"/>
        <w:ind w:firstLine="560" w:firstLineChars="200"/>
        <w:jc w:val="left"/>
        <w:rPr>
          <w:rFonts w:ascii="仿宋" w:hAnsi="仿宋" w:cs="仿宋"/>
          <w:color w:val="000000"/>
          <w:sz w:val="28"/>
          <w:szCs w:val="28"/>
        </w:rPr>
      </w:pPr>
      <w:r>
        <w:rPr>
          <w:rFonts w:hint="eastAsia" w:ascii="仿宋" w:hAnsi="仿宋" w:cs="仿宋"/>
          <w:color w:val="000000"/>
          <w:sz w:val="28"/>
          <w:szCs w:val="28"/>
        </w:rPr>
        <w:t>3.项目核心要求招标指标与系统招标要求的策划；</w:t>
      </w:r>
    </w:p>
    <w:p>
      <w:pPr>
        <w:pStyle w:val="16"/>
        <w:widowControl/>
        <w:numPr>
          <w:ilvl w:val="255"/>
          <w:numId w:val="0"/>
        </w:numPr>
        <w:spacing w:line="400" w:lineRule="exact"/>
        <w:ind w:firstLine="560" w:firstLineChars="200"/>
        <w:jc w:val="left"/>
        <w:rPr>
          <w:rFonts w:ascii="仿宋" w:hAnsi="仿宋" w:cs="仿宋"/>
          <w:color w:val="000000"/>
          <w:sz w:val="28"/>
          <w:szCs w:val="28"/>
        </w:rPr>
      </w:pPr>
      <w:r>
        <w:rPr>
          <w:rFonts w:hint="eastAsia" w:ascii="仿宋" w:hAnsi="仿宋" w:cs="仿宋"/>
          <w:color w:val="000000"/>
          <w:sz w:val="28"/>
          <w:szCs w:val="28"/>
        </w:rPr>
        <w:t>4.项目前期咨询与招标文件策划；</w:t>
      </w:r>
    </w:p>
    <w:p>
      <w:pPr>
        <w:pStyle w:val="16"/>
        <w:widowControl/>
        <w:numPr>
          <w:ilvl w:val="255"/>
          <w:numId w:val="0"/>
        </w:numPr>
        <w:spacing w:line="400" w:lineRule="exact"/>
        <w:ind w:firstLine="560" w:firstLineChars="200"/>
        <w:jc w:val="left"/>
        <w:rPr>
          <w:rFonts w:ascii="仿宋" w:hAnsi="仿宋" w:cs="仿宋"/>
          <w:color w:val="000000"/>
          <w:sz w:val="28"/>
          <w:szCs w:val="28"/>
        </w:rPr>
      </w:pPr>
      <w:r>
        <w:rPr>
          <w:rFonts w:hint="eastAsia" w:ascii="仿宋" w:hAnsi="仿宋" w:cs="仿宋"/>
          <w:color w:val="000000"/>
          <w:sz w:val="28"/>
          <w:szCs w:val="28"/>
        </w:rPr>
        <w:t>5.EPC总承包与施工总承包项目招标文件的异同；</w:t>
      </w:r>
    </w:p>
    <w:p>
      <w:pPr>
        <w:pStyle w:val="16"/>
        <w:widowControl/>
        <w:numPr>
          <w:ilvl w:val="255"/>
          <w:numId w:val="0"/>
        </w:numPr>
        <w:spacing w:line="400" w:lineRule="exact"/>
        <w:ind w:firstLine="560" w:firstLineChars="200"/>
        <w:jc w:val="left"/>
        <w:rPr>
          <w:rFonts w:ascii="仿宋" w:hAnsi="仿宋" w:cs="仿宋"/>
          <w:color w:val="000000"/>
          <w:sz w:val="28"/>
          <w:szCs w:val="28"/>
        </w:rPr>
      </w:pPr>
      <w:r>
        <w:rPr>
          <w:rFonts w:hint="eastAsia" w:ascii="仿宋" w:hAnsi="仿宋" w:cs="仿宋"/>
          <w:color w:val="000000"/>
          <w:sz w:val="28"/>
          <w:szCs w:val="28"/>
        </w:rPr>
        <w:t>6.EPC总承包与施工总承包项目不同合同模式的优缺点；</w:t>
      </w:r>
    </w:p>
    <w:p>
      <w:pPr>
        <w:pStyle w:val="16"/>
        <w:widowControl/>
        <w:numPr>
          <w:ilvl w:val="255"/>
          <w:numId w:val="0"/>
        </w:numPr>
        <w:spacing w:line="400" w:lineRule="exact"/>
        <w:ind w:firstLine="560" w:firstLineChars="200"/>
        <w:jc w:val="left"/>
        <w:rPr>
          <w:rFonts w:ascii="仿宋" w:hAnsi="仿宋" w:cs="仿宋"/>
          <w:color w:val="000000"/>
          <w:sz w:val="28"/>
          <w:szCs w:val="28"/>
        </w:rPr>
      </w:pPr>
      <w:r>
        <w:rPr>
          <w:rFonts w:hint="eastAsia" w:ascii="仿宋" w:hAnsi="仿宋" w:cs="仿宋"/>
          <w:color w:val="000000"/>
          <w:sz w:val="28"/>
          <w:szCs w:val="28"/>
        </w:rPr>
        <w:t>7.EPC总承包与施工总承包评标的要点及建议；</w:t>
      </w:r>
    </w:p>
    <w:p>
      <w:pPr>
        <w:pStyle w:val="16"/>
        <w:widowControl/>
        <w:numPr>
          <w:ilvl w:val="255"/>
          <w:numId w:val="0"/>
        </w:numPr>
        <w:spacing w:line="400" w:lineRule="exact"/>
        <w:ind w:firstLine="560" w:firstLineChars="200"/>
        <w:jc w:val="left"/>
        <w:rPr>
          <w:rFonts w:ascii="仿宋" w:hAnsi="仿宋" w:cs="仿宋"/>
          <w:color w:val="000000"/>
          <w:sz w:val="28"/>
          <w:szCs w:val="28"/>
        </w:rPr>
      </w:pPr>
      <w:r>
        <w:rPr>
          <w:rFonts w:hint="eastAsia" w:ascii="仿宋" w:hAnsi="仿宋" w:cs="仿宋"/>
          <w:color w:val="000000"/>
          <w:sz w:val="28"/>
          <w:szCs w:val="28"/>
        </w:rPr>
        <w:t>8.投标方案的确定与文件的编制注意事项；</w:t>
      </w:r>
    </w:p>
    <w:p>
      <w:pPr>
        <w:pStyle w:val="16"/>
        <w:widowControl/>
        <w:numPr>
          <w:ilvl w:val="255"/>
          <w:numId w:val="0"/>
        </w:numPr>
        <w:spacing w:line="400" w:lineRule="exact"/>
        <w:ind w:firstLine="560" w:firstLineChars="200"/>
        <w:jc w:val="left"/>
        <w:rPr>
          <w:rFonts w:ascii="仿宋" w:hAnsi="仿宋" w:cs="仿宋"/>
          <w:color w:val="000000"/>
          <w:sz w:val="28"/>
          <w:szCs w:val="28"/>
        </w:rPr>
      </w:pPr>
      <w:r>
        <w:rPr>
          <w:rFonts w:hint="eastAsia" w:ascii="仿宋" w:hAnsi="仿宋" w:cs="仿宋"/>
          <w:color w:val="000000"/>
          <w:sz w:val="28"/>
          <w:szCs w:val="28"/>
        </w:rPr>
        <w:t>9.合同包干模式招标策划；</w:t>
      </w:r>
    </w:p>
    <w:p>
      <w:pPr>
        <w:widowControl/>
        <w:spacing w:line="400" w:lineRule="exact"/>
        <w:ind w:firstLine="560" w:firstLineChars="200"/>
        <w:jc w:val="left"/>
        <w:rPr>
          <w:rFonts w:ascii="仿宋" w:hAnsi="仿宋" w:cs="仿宋"/>
          <w:color w:val="000000"/>
          <w:sz w:val="28"/>
          <w:szCs w:val="28"/>
        </w:rPr>
      </w:pPr>
      <w:r>
        <w:rPr>
          <w:rFonts w:hint="eastAsia" w:ascii="仿宋" w:hAnsi="仿宋" w:cs="仿宋"/>
          <w:color w:val="000000"/>
          <w:sz w:val="28"/>
          <w:szCs w:val="28"/>
        </w:rPr>
        <w:t>10.必须招标项目采用EPC总承包可否直接发包。</w:t>
      </w:r>
    </w:p>
    <w:p>
      <w:pPr>
        <w:widowControl/>
        <w:spacing w:line="400" w:lineRule="exact"/>
        <w:jc w:val="left"/>
        <w:rPr>
          <w:rFonts w:ascii="仿宋" w:hAnsi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cs="仿宋"/>
          <w:b/>
          <w:bCs/>
          <w:color w:val="000000"/>
          <w:sz w:val="28"/>
          <w:szCs w:val="28"/>
        </w:rPr>
        <w:t>三、EPC工程投资控制、结算与审计管理</w:t>
      </w:r>
    </w:p>
    <w:p>
      <w:pPr>
        <w:widowControl/>
        <w:spacing w:line="400" w:lineRule="exact"/>
        <w:ind w:firstLine="560" w:firstLineChars="200"/>
        <w:jc w:val="left"/>
        <w:rPr>
          <w:rFonts w:ascii="仿宋" w:hAnsi="仿宋" w:cs="仿宋"/>
          <w:color w:val="000000"/>
          <w:sz w:val="28"/>
          <w:szCs w:val="28"/>
        </w:rPr>
      </w:pPr>
      <w:r>
        <w:rPr>
          <w:rFonts w:hint="eastAsia" w:ascii="仿宋" w:hAnsi="仿宋" w:cs="仿宋"/>
          <w:color w:val="000000"/>
          <w:sz w:val="28"/>
          <w:szCs w:val="28"/>
        </w:rPr>
        <w:t>1.国家构建统一内部大循环市场背景下的投资策略；</w:t>
      </w:r>
    </w:p>
    <w:p>
      <w:pPr>
        <w:widowControl/>
        <w:spacing w:line="400" w:lineRule="exact"/>
        <w:ind w:firstLine="560" w:firstLineChars="200"/>
        <w:jc w:val="left"/>
        <w:rPr>
          <w:rFonts w:ascii="仿宋" w:hAnsi="仿宋" w:cs="仿宋"/>
          <w:color w:val="000000"/>
          <w:sz w:val="28"/>
          <w:szCs w:val="28"/>
        </w:rPr>
      </w:pPr>
      <w:r>
        <w:rPr>
          <w:rFonts w:hint="eastAsia" w:ascii="仿宋" w:hAnsi="仿宋" w:cs="仿宋"/>
          <w:color w:val="000000"/>
          <w:sz w:val="28"/>
          <w:szCs w:val="28"/>
        </w:rPr>
        <w:t>2.EPC工程范围确定依据计注意事项；</w:t>
      </w:r>
    </w:p>
    <w:p>
      <w:pPr>
        <w:widowControl/>
        <w:spacing w:line="400" w:lineRule="exact"/>
        <w:ind w:firstLine="560" w:firstLineChars="200"/>
        <w:jc w:val="left"/>
        <w:rPr>
          <w:rFonts w:ascii="仿宋" w:hAnsi="仿宋" w:cs="仿宋"/>
          <w:color w:val="000000"/>
          <w:sz w:val="28"/>
          <w:szCs w:val="28"/>
        </w:rPr>
      </w:pPr>
      <w:r>
        <w:rPr>
          <w:rFonts w:hint="eastAsia" w:ascii="仿宋" w:hAnsi="仿宋" w:cs="仿宋"/>
          <w:color w:val="000000"/>
          <w:sz w:val="28"/>
          <w:szCs w:val="28"/>
        </w:rPr>
        <w:t>3.EPC合同文件优先次序确定的重要性；</w:t>
      </w:r>
    </w:p>
    <w:p>
      <w:pPr>
        <w:widowControl/>
        <w:spacing w:line="400" w:lineRule="exact"/>
        <w:ind w:firstLine="560" w:firstLineChars="200"/>
        <w:jc w:val="left"/>
        <w:rPr>
          <w:rFonts w:ascii="仿宋" w:hAnsi="仿宋" w:cs="仿宋"/>
          <w:color w:val="000000"/>
          <w:sz w:val="28"/>
          <w:szCs w:val="28"/>
        </w:rPr>
      </w:pPr>
      <w:r>
        <w:rPr>
          <w:rFonts w:hint="eastAsia" w:ascii="仿宋" w:hAnsi="仿宋" w:cs="仿宋"/>
          <w:color w:val="000000"/>
          <w:sz w:val="28"/>
          <w:szCs w:val="28"/>
        </w:rPr>
        <w:t>4.EPC合同定价、执行与结算管理；</w:t>
      </w:r>
    </w:p>
    <w:p>
      <w:pPr>
        <w:widowControl/>
        <w:spacing w:line="400" w:lineRule="exact"/>
        <w:ind w:firstLine="560" w:firstLineChars="200"/>
        <w:jc w:val="left"/>
        <w:rPr>
          <w:rFonts w:ascii="仿宋" w:hAnsi="仿宋" w:cs="仿宋"/>
          <w:color w:val="000000"/>
          <w:sz w:val="28"/>
          <w:szCs w:val="28"/>
        </w:rPr>
      </w:pPr>
      <w:r>
        <w:rPr>
          <w:rFonts w:hint="eastAsia" w:ascii="仿宋" w:hAnsi="仿宋" w:cs="仿宋"/>
          <w:color w:val="000000"/>
          <w:sz w:val="28"/>
          <w:szCs w:val="28"/>
        </w:rPr>
        <w:t>5.合同包干模式下的工程造价管理；</w:t>
      </w:r>
    </w:p>
    <w:p>
      <w:pPr>
        <w:widowControl/>
        <w:spacing w:line="400" w:lineRule="exact"/>
        <w:ind w:firstLine="560" w:firstLineChars="200"/>
        <w:jc w:val="left"/>
        <w:rPr>
          <w:rFonts w:ascii="仿宋" w:hAnsi="仿宋" w:cs="仿宋"/>
          <w:color w:val="000000"/>
          <w:sz w:val="28"/>
          <w:szCs w:val="28"/>
        </w:rPr>
      </w:pPr>
      <w:r>
        <w:rPr>
          <w:rFonts w:hint="eastAsia" w:ascii="仿宋" w:hAnsi="仿宋" w:cs="仿宋"/>
          <w:color w:val="000000"/>
          <w:sz w:val="28"/>
          <w:szCs w:val="28"/>
        </w:rPr>
        <w:t>6.合同可调模式下的工程造价管理；</w:t>
      </w:r>
    </w:p>
    <w:p>
      <w:pPr>
        <w:widowControl/>
        <w:spacing w:line="400" w:lineRule="exact"/>
        <w:ind w:firstLine="560" w:firstLineChars="200"/>
        <w:jc w:val="left"/>
        <w:rPr>
          <w:rFonts w:ascii="仿宋" w:hAnsi="仿宋" w:cs="仿宋"/>
          <w:color w:val="000000"/>
          <w:sz w:val="28"/>
          <w:szCs w:val="28"/>
        </w:rPr>
      </w:pPr>
      <w:r>
        <w:rPr>
          <w:rFonts w:hint="eastAsia" w:ascii="仿宋" w:hAnsi="仿宋" w:cs="仿宋"/>
          <w:color w:val="000000"/>
          <w:sz w:val="28"/>
          <w:szCs w:val="28"/>
        </w:rPr>
        <w:t>7.工程变更与EPC合同价的调整；</w:t>
      </w:r>
    </w:p>
    <w:p>
      <w:pPr>
        <w:widowControl/>
        <w:spacing w:line="400" w:lineRule="exact"/>
        <w:ind w:firstLine="560" w:firstLineChars="200"/>
        <w:jc w:val="left"/>
        <w:rPr>
          <w:rFonts w:ascii="仿宋" w:hAnsi="仿宋" w:cs="仿宋"/>
          <w:color w:val="000000"/>
          <w:sz w:val="28"/>
          <w:szCs w:val="28"/>
        </w:rPr>
      </w:pPr>
      <w:r>
        <w:rPr>
          <w:rFonts w:hint="eastAsia" w:ascii="仿宋" w:hAnsi="仿宋" w:cs="仿宋"/>
          <w:color w:val="000000"/>
          <w:sz w:val="28"/>
          <w:szCs w:val="28"/>
        </w:rPr>
        <w:t>8.EPC工程移交及审计。</w:t>
      </w:r>
    </w:p>
    <w:p>
      <w:pPr>
        <w:pStyle w:val="9"/>
        <w:shd w:val="clear" w:color="auto" w:fill="FFFFFF"/>
        <w:spacing w:before="0" w:beforeAutospacing="0" w:after="0" w:afterAutospacing="0" w:line="400" w:lineRule="exact"/>
        <w:rPr>
          <w:rFonts w:ascii="仿宋" w:hAnsi="仿宋" w:eastAsia="仿宋" w:cs="仿宋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四、全过程工程咨询公司管理EPC的组织、管理、法律、经济及技术理论实务</w:t>
      </w:r>
    </w:p>
    <w:p>
      <w:pPr>
        <w:pStyle w:val="9"/>
        <w:shd w:val="clear" w:color="auto" w:fill="FFFFFF"/>
        <w:spacing w:before="0" w:beforeAutospacing="0" w:after="0" w:afterAutospacing="0" w:line="40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1.全过程工程咨询负责人领导力、组织机构和团队建设（做法和案例）；</w:t>
      </w:r>
    </w:p>
    <w:p>
      <w:pPr>
        <w:pStyle w:val="9"/>
        <w:shd w:val="clear" w:color="auto" w:fill="FFFFFF"/>
        <w:spacing w:before="0" w:beforeAutospacing="0" w:after="0" w:afterAutospacing="0" w:line="40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2.全过程工程咨询组织协调中对于EPC质量进度成本管理的整合管理和范围管理（做法和案例）；</w:t>
      </w:r>
    </w:p>
    <w:p>
      <w:pPr>
        <w:pStyle w:val="9"/>
        <w:shd w:val="clear" w:color="auto" w:fill="FFFFFF"/>
        <w:spacing w:before="0" w:beforeAutospacing="0" w:after="0" w:afterAutospacing="0" w:line="40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3.全过程工程咨询公司对于EPC项目中与相关人的沟通管理（做法和案例）；</w:t>
      </w:r>
    </w:p>
    <w:p>
      <w:pPr>
        <w:pStyle w:val="9"/>
        <w:shd w:val="clear" w:color="auto" w:fill="FFFFFF"/>
        <w:spacing w:before="0" w:beforeAutospacing="0" w:after="0" w:afterAutospacing="0" w:line="40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4.EPC项目的冲突管理特点及争端解决、商务谈判、突发事故处理以及公关危机处理（做法和案例）；</w:t>
      </w:r>
    </w:p>
    <w:p>
      <w:pPr>
        <w:pStyle w:val="9"/>
        <w:shd w:val="clear" w:color="auto" w:fill="FFFFFF"/>
        <w:spacing w:before="0" w:beforeAutospacing="0" w:after="0" w:afterAutospacing="0" w:line="40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5.EPC项目特有的设计施工深度融合、平行搭接下的价值工程分析和风险管理（做法和案例）；</w:t>
      </w:r>
    </w:p>
    <w:p>
      <w:pPr>
        <w:pStyle w:val="9"/>
        <w:shd w:val="clear" w:color="auto" w:fill="FFFFFF"/>
        <w:spacing w:before="0" w:beforeAutospacing="0" w:after="0" w:afterAutospacing="0" w:line="40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6.全过程工程咨询中当前困惑的如何处理最新版EPC合同管理（解读和案例）。</w:t>
      </w:r>
    </w:p>
    <w:p>
      <w:pPr>
        <w:pStyle w:val="9"/>
        <w:shd w:val="clear" w:color="auto" w:fill="FFFFFF"/>
        <w:spacing w:before="0" w:beforeAutospacing="0" w:after="0" w:afterAutospacing="0" w:line="400" w:lineRule="exact"/>
        <w:ind w:firstLine="560" w:firstLineChars="200"/>
        <w:rPr>
          <w:rFonts w:ascii="仿宋" w:hAnsi="仿宋" w:eastAsia="仿宋" w:cs="仿宋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五、建筑师主导的全过程工程咨询管理实务</w:t>
      </w:r>
    </w:p>
    <w:p>
      <w:pPr>
        <w:pStyle w:val="9"/>
        <w:shd w:val="clear" w:color="auto" w:fill="FFFFFF"/>
        <w:spacing w:before="0" w:beforeAutospacing="0" w:after="0" w:afterAutospacing="0" w:line="40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1.发改委、住建部最新515号文关于建筑师负责制的规定；</w:t>
      </w:r>
    </w:p>
    <w:p>
      <w:pPr>
        <w:pStyle w:val="9"/>
        <w:shd w:val="clear" w:color="auto" w:fill="FFFFFF"/>
        <w:spacing w:before="0" w:beforeAutospacing="0" w:after="0" w:afterAutospacing="0" w:line="40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2.住建部关于建筑师负责制的7阶段实操；</w:t>
      </w:r>
    </w:p>
    <w:p>
      <w:pPr>
        <w:pStyle w:val="9"/>
        <w:shd w:val="clear" w:color="auto" w:fill="FFFFFF"/>
        <w:spacing w:before="0" w:beforeAutospacing="0" w:after="0" w:afterAutospacing="0" w:line="40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国内部分城市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各地试点情况；</w:t>
      </w:r>
    </w:p>
    <w:p>
      <w:pPr>
        <w:pStyle w:val="9"/>
        <w:shd w:val="clear" w:color="auto" w:fill="FFFFFF"/>
        <w:spacing w:before="0" w:beforeAutospacing="0" w:after="0" w:afterAutospacing="0" w:line="40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4.将来的趋势。</w:t>
      </w:r>
    </w:p>
    <w:p>
      <w:pPr>
        <w:widowControl/>
        <w:spacing w:line="400" w:lineRule="exact"/>
        <w:jc w:val="left"/>
        <w:rPr>
          <w:rFonts w:ascii="仿宋" w:hAnsi="仿宋" w:cs="仿宋"/>
          <w:b/>
          <w:sz w:val="28"/>
          <w:szCs w:val="28"/>
        </w:rPr>
      </w:pPr>
      <w:r>
        <w:rPr>
          <w:rFonts w:hint="eastAsia" w:ascii="仿宋" w:hAnsi="仿宋" w:cs="仿宋"/>
          <w:b/>
          <w:sz w:val="28"/>
          <w:szCs w:val="28"/>
        </w:rPr>
        <w:t>三、培训对象</w:t>
      </w:r>
    </w:p>
    <w:p>
      <w:pPr>
        <w:widowControl/>
        <w:spacing w:line="400" w:lineRule="exact"/>
        <w:ind w:firstLine="560" w:firstLineChars="200"/>
        <w:jc w:val="left"/>
        <w:rPr>
          <w:rFonts w:ascii="仿宋" w:hAnsi="仿宋" w:cs="宋体"/>
          <w:sz w:val="28"/>
          <w:szCs w:val="28"/>
        </w:rPr>
      </w:pPr>
      <w:r>
        <w:rPr>
          <w:rFonts w:hint="eastAsia" w:ascii="仿宋" w:hAnsi="仿宋" w:cs="宋体"/>
          <w:sz w:val="28"/>
          <w:szCs w:val="28"/>
        </w:rPr>
        <w:t>各地政府建设项目监管部门、工程交易中心、投资项目评审中心；各业主单位从事项目管理、合同管理、工程项目建设、开发、审计等相关部门人员；各建筑施工企业、工程公司、总承包公司、设计院、成套设备公司、设备材料供应商、国际招标公司、律师事务所及各公司的总经理、副总经理、部门经理、项目经理、市场开发、法务专员等相关部门负责人、中高等院校、医院及科研机构、参与EPC项目管理的所有管理者。</w:t>
      </w:r>
    </w:p>
    <w:p>
      <w:pPr>
        <w:widowControl/>
        <w:spacing w:line="400" w:lineRule="exact"/>
        <w:jc w:val="left"/>
        <w:rPr>
          <w:rFonts w:ascii="仿宋" w:hAnsi="仿宋" w:cs="宋体"/>
          <w:b/>
          <w:bCs/>
          <w:sz w:val="28"/>
          <w:szCs w:val="28"/>
        </w:rPr>
      </w:pPr>
      <w:r>
        <w:rPr>
          <w:rFonts w:hint="eastAsia" w:ascii="仿宋" w:hAnsi="仿宋" w:cs="宋体"/>
          <w:b/>
          <w:bCs/>
          <w:sz w:val="28"/>
          <w:szCs w:val="28"/>
        </w:rPr>
        <w:t>四、拟邀专家</w:t>
      </w:r>
    </w:p>
    <w:p>
      <w:pPr>
        <w:widowControl/>
        <w:spacing w:line="400" w:lineRule="exact"/>
        <w:ind w:firstLine="560" w:firstLineChars="200"/>
        <w:jc w:val="left"/>
        <w:rPr>
          <w:rFonts w:ascii="仿宋" w:hAnsi="仿宋" w:cs="宋体"/>
          <w:sz w:val="28"/>
          <w:szCs w:val="28"/>
        </w:rPr>
      </w:pPr>
      <w:r>
        <w:rPr>
          <w:rFonts w:hint="eastAsia" w:ascii="仿宋" w:hAnsi="仿宋" w:cs="宋体"/>
          <w:sz w:val="28"/>
          <w:szCs w:val="28"/>
        </w:rPr>
        <w:t>国家发改委、住建部、</w:t>
      </w:r>
      <w:r>
        <w:rPr>
          <w:rFonts w:hint="eastAsia" w:ascii="仿宋" w:hAnsi="仿宋"/>
          <w:sz w:val="28"/>
          <w:szCs w:val="28"/>
          <w:lang w:val="zh-CN"/>
        </w:rPr>
        <w:t>行业协会、参与新规范编写的有关专家</w:t>
      </w:r>
      <w:r>
        <w:rPr>
          <w:rFonts w:hint="eastAsia" w:ascii="仿宋" w:hAnsi="仿宋" w:cs="宋体"/>
          <w:sz w:val="28"/>
          <w:szCs w:val="28"/>
        </w:rPr>
        <w:t>和国内一流EPC总承包项目管理丰富经验的实战专家现场授课，结合经典实例分析，并进行现场答疑和互动交流。</w:t>
      </w:r>
    </w:p>
    <w:p>
      <w:pPr>
        <w:widowControl/>
        <w:spacing w:line="400" w:lineRule="exact"/>
        <w:jc w:val="left"/>
        <w:rPr>
          <w:rFonts w:ascii="仿宋" w:hAnsi="仿宋" w:cs="宋体"/>
          <w:b/>
          <w:bCs/>
          <w:sz w:val="28"/>
          <w:szCs w:val="28"/>
        </w:rPr>
      </w:pPr>
      <w:r>
        <w:rPr>
          <w:rFonts w:hint="eastAsia" w:ascii="仿宋" w:hAnsi="仿宋" w:cs="宋体"/>
          <w:b/>
          <w:bCs/>
          <w:sz w:val="28"/>
          <w:szCs w:val="28"/>
        </w:rPr>
        <w:t>五、培训时间和地点</w:t>
      </w:r>
    </w:p>
    <w:p>
      <w:pPr>
        <w:pStyle w:val="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2023年03月23日-27日(23日全天报到)  地点: 杭州市</w:t>
      </w:r>
    </w:p>
    <w:p>
      <w:pPr>
        <w:pStyle w:val="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2023年04月19日-23日(19日全天报到)  地点: 长沙市</w:t>
      </w:r>
    </w:p>
    <w:p>
      <w:pPr>
        <w:pStyle w:val="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2023年05月25日-29日（25日全天报到）地点：成都市</w:t>
      </w:r>
    </w:p>
    <w:p>
      <w:pPr>
        <w:pStyle w:val="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2023年6月15日-19 日（15日全天报到）地点：乌鲁木齐市</w:t>
      </w:r>
    </w:p>
    <w:p>
      <w:pPr>
        <w:widowControl/>
        <w:spacing w:line="400" w:lineRule="exact"/>
        <w:jc w:val="left"/>
        <w:rPr>
          <w:rFonts w:ascii="仿宋" w:hAnsi="仿宋" w:cs="宋体"/>
          <w:b/>
          <w:bCs/>
          <w:sz w:val="28"/>
          <w:szCs w:val="28"/>
        </w:rPr>
      </w:pPr>
      <w:r>
        <w:rPr>
          <w:rFonts w:hint="eastAsia" w:ascii="仿宋" w:hAnsi="仿宋" w:cs="宋体"/>
          <w:b/>
          <w:bCs/>
          <w:sz w:val="28"/>
          <w:szCs w:val="28"/>
        </w:rPr>
        <w:t>六、收费标准</w:t>
      </w:r>
    </w:p>
    <w:p>
      <w:pPr>
        <w:widowControl/>
        <w:spacing w:line="400" w:lineRule="exact"/>
        <w:ind w:firstLine="560" w:firstLineChars="200"/>
        <w:jc w:val="left"/>
        <w:rPr>
          <w:rFonts w:ascii="仿宋" w:hAnsi="仿宋" w:cs="宋体"/>
          <w:sz w:val="28"/>
          <w:szCs w:val="28"/>
        </w:rPr>
      </w:pPr>
      <w:r>
        <w:rPr>
          <w:rFonts w:hint="eastAsia" w:ascii="仿宋" w:hAnsi="仿宋" w:cs="宋体"/>
          <w:b/>
          <w:bCs/>
          <w:sz w:val="28"/>
          <w:szCs w:val="28"/>
        </w:rPr>
        <w:t>标准</w:t>
      </w:r>
      <w:r>
        <w:rPr>
          <w:rFonts w:hint="eastAsia" w:ascii="仿宋" w:hAnsi="仿宋" w:cs="宋体"/>
          <w:sz w:val="28"/>
          <w:szCs w:val="28"/>
        </w:rPr>
        <w:t>：</w:t>
      </w:r>
      <w:r>
        <w:rPr>
          <w:rFonts w:ascii="仿宋" w:hAnsi="仿宋" w:cs="宋体"/>
          <w:sz w:val="28"/>
          <w:szCs w:val="28"/>
        </w:rPr>
        <w:t>3600</w:t>
      </w:r>
      <w:r>
        <w:rPr>
          <w:rFonts w:hint="eastAsia" w:ascii="仿宋" w:hAnsi="仿宋" w:cs="宋体"/>
          <w:sz w:val="28"/>
          <w:szCs w:val="28"/>
        </w:rPr>
        <w:t>元/人（含培训、资料、课件、场地、午餐费、专家等），住宿会务组统一安排，费用自理。</w:t>
      </w:r>
    </w:p>
    <w:p>
      <w:pPr>
        <w:widowControl/>
        <w:spacing w:line="400" w:lineRule="exact"/>
        <w:jc w:val="left"/>
        <w:rPr>
          <w:rFonts w:ascii="仿宋" w:hAnsi="仿宋" w:cs="宋体"/>
          <w:b/>
          <w:bCs/>
          <w:sz w:val="28"/>
          <w:szCs w:val="28"/>
        </w:rPr>
      </w:pPr>
      <w:r>
        <w:rPr>
          <w:rFonts w:hint="eastAsia" w:ascii="仿宋" w:hAnsi="仿宋" w:cs="宋体"/>
          <w:b/>
          <w:bCs/>
          <w:sz w:val="28"/>
          <w:szCs w:val="28"/>
        </w:rPr>
        <w:t>七、联系方式</w:t>
      </w:r>
    </w:p>
    <w:p>
      <w:pPr>
        <w:widowControl/>
        <w:spacing w:line="320" w:lineRule="exact"/>
        <w:jc w:val="left"/>
        <w:rPr>
          <w:rFonts w:hint="eastAsia" w:ascii="仿宋" w:hAnsi="仿宋" w:cs="宋体"/>
          <w:sz w:val="28"/>
          <w:szCs w:val="28"/>
        </w:rPr>
      </w:pPr>
      <w:r>
        <w:rPr>
          <w:rFonts w:hint="eastAsia" w:ascii="仿宋" w:hAnsi="仿宋" w:cs="宋体"/>
          <w:sz w:val="28"/>
          <w:szCs w:val="28"/>
        </w:rPr>
        <w:t xml:space="preserve">报名负责人：聂红军 主任18211071700（微信）   </w:t>
      </w:r>
    </w:p>
    <w:p>
      <w:pPr>
        <w:widowControl/>
        <w:spacing w:line="320" w:lineRule="exact"/>
        <w:jc w:val="left"/>
        <w:rPr>
          <w:rFonts w:hint="eastAsia" w:ascii="仿宋" w:hAnsi="仿宋" w:cs="宋体"/>
          <w:sz w:val="28"/>
          <w:szCs w:val="28"/>
        </w:rPr>
      </w:pPr>
      <w:r>
        <w:rPr>
          <w:rFonts w:hint="eastAsia" w:ascii="仿宋" w:hAnsi="仿宋" w:cs="宋体"/>
          <w:sz w:val="28"/>
          <w:szCs w:val="28"/>
        </w:rPr>
        <w:t xml:space="preserve">电  </w:t>
      </w:r>
      <w:r>
        <w:rPr>
          <w:rFonts w:hint="eastAsia" w:ascii="仿宋" w:hAnsi="仿宋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cs="宋体"/>
          <w:sz w:val="28"/>
          <w:szCs w:val="28"/>
        </w:rPr>
        <w:t xml:space="preserve">话：010-87697580      邮    箱：zqgphwz@126.com  </w:t>
      </w:r>
    </w:p>
    <w:p>
      <w:pPr>
        <w:widowControl/>
        <w:spacing w:line="320" w:lineRule="exact"/>
        <w:jc w:val="left"/>
        <w:rPr>
          <w:rFonts w:ascii="仿宋" w:hAnsi="仿宋" w:cs="仿宋"/>
          <w:b/>
          <w:sz w:val="28"/>
          <w:szCs w:val="28"/>
        </w:rPr>
      </w:pPr>
      <w:r>
        <w:rPr>
          <w:rFonts w:hint="eastAsia" w:ascii="仿宋" w:hAnsi="仿宋" w:cs="宋体"/>
          <w:sz w:val="28"/>
          <w:szCs w:val="28"/>
        </w:rPr>
        <w:t>qq咨询：3177524020        网址查询：http://www.zqgpchina.cn</w:t>
      </w:r>
    </w:p>
    <w:p>
      <w:pPr>
        <w:widowControl/>
        <w:spacing w:line="320" w:lineRule="exact"/>
        <w:jc w:val="left"/>
        <w:rPr>
          <w:rFonts w:ascii="仿宋" w:hAnsi="仿宋" w:cs="仿宋"/>
          <w:b/>
          <w:sz w:val="28"/>
          <w:szCs w:val="28"/>
        </w:rPr>
      </w:pPr>
    </w:p>
    <w:p>
      <w:pPr>
        <w:widowControl/>
        <w:spacing w:line="320" w:lineRule="exact"/>
        <w:jc w:val="left"/>
        <w:rPr>
          <w:rFonts w:hint="eastAsia" w:ascii="仿宋" w:hAnsi="仿宋" w:cs="仿宋"/>
          <w:b/>
          <w:sz w:val="28"/>
          <w:szCs w:val="28"/>
        </w:rPr>
      </w:pPr>
    </w:p>
    <w:p>
      <w:pPr>
        <w:widowControl/>
        <w:spacing w:line="320" w:lineRule="exact"/>
        <w:jc w:val="left"/>
        <w:rPr>
          <w:rFonts w:hint="eastAsia" w:ascii="仿宋" w:hAnsi="仿宋" w:cs="仿宋"/>
          <w:b/>
          <w:sz w:val="28"/>
          <w:szCs w:val="28"/>
        </w:rPr>
      </w:pPr>
    </w:p>
    <w:p>
      <w:pPr>
        <w:widowControl/>
        <w:spacing w:line="320" w:lineRule="exact"/>
        <w:jc w:val="left"/>
        <w:rPr>
          <w:rFonts w:hint="eastAsia" w:ascii="仿宋" w:hAnsi="仿宋" w:cs="仿宋"/>
          <w:b/>
          <w:sz w:val="28"/>
          <w:szCs w:val="28"/>
        </w:rPr>
      </w:pPr>
    </w:p>
    <w:p>
      <w:pPr>
        <w:widowControl/>
        <w:spacing w:line="320" w:lineRule="exact"/>
        <w:jc w:val="left"/>
        <w:rPr>
          <w:rFonts w:ascii="仿宋" w:hAnsi="仿宋" w:cs="仿宋"/>
          <w:b/>
          <w:sz w:val="28"/>
          <w:szCs w:val="28"/>
        </w:rPr>
      </w:pPr>
      <w:r>
        <w:rPr>
          <w:rFonts w:hint="eastAsia" w:ascii="仿宋" w:hAnsi="仿宋" w:cs="仿宋"/>
          <w:b/>
          <w:sz w:val="28"/>
          <w:szCs w:val="28"/>
        </w:rPr>
        <w:t>附件二：</w:t>
      </w:r>
    </w:p>
    <w:p>
      <w:pPr>
        <w:widowControl/>
        <w:spacing w:line="320" w:lineRule="exact"/>
        <w:ind w:firstLine="560" w:firstLineChars="200"/>
        <w:jc w:val="center"/>
        <w:rPr>
          <w:rFonts w:ascii="仿宋" w:hAnsi="仿宋" w:cs="仿宋"/>
          <w:b/>
          <w:sz w:val="28"/>
          <w:szCs w:val="28"/>
        </w:rPr>
      </w:pPr>
      <w:r>
        <w:rPr>
          <w:rFonts w:hint="eastAsia" w:ascii="仿宋" w:hAnsi="仿宋" w:cs="仿宋"/>
          <w:b/>
          <w:sz w:val="28"/>
          <w:szCs w:val="28"/>
        </w:rPr>
        <w:t>“</w:t>
      </w:r>
      <w:r>
        <w:rPr>
          <w:rFonts w:hint="eastAsia" w:ascii="仿宋" w:hAnsi="仿宋" w:cs="宋体"/>
          <w:sz w:val="28"/>
          <w:szCs w:val="28"/>
        </w:rPr>
        <w:t>新版《清单计价标准(征)》解读、造价精准管控、</w:t>
      </w:r>
      <w:r>
        <w:rPr>
          <w:rFonts w:hint="eastAsia" w:ascii="仿宋" w:hAnsi="仿宋" w:cs="宋体"/>
          <w:sz w:val="28"/>
          <w:szCs w:val="28"/>
          <w:lang w:eastAsia="zh-Hans"/>
        </w:rPr>
        <w:t>结算</w:t>
      </w:r>
      <w:r>
        <w:rPr>
          <w:rFonts w:hint="eastAsia" w:ascii="仿宋" w:hAnsi="仿宋" w:cs="宋体"/>
          <w:sz w:val="28"/>
          <w:szCs w:val="28"/>
        </w:rPr>
        <w:t>痛点</w:t>
      </w:r>
      <w:r>
        <w:rPr>
          <w:rFonts w:hint="eastAsia" w:ascii="仿宋" w:hAnsi="仿宋" w:cs="宋体"/>
          <w:sz w:val="28"/>
          <w:szCs w:val="28"/>
          <w:lang w:eastAsia="zh-Hans"/>
        </w:rPr>
        <w:t>管理</w:t>
      </w:r>
      <w:r>
        <w:rPr>
          <w:rFonts w:hint="eastAsia" w:ascii="仿宋" w:hAnsi="仿宋" w:cs="宋体"/>
          <w:sz w:val="28"/>
          <w:szCs w:val="28"/>
        </w:rPr>
        <w:t>与EPC总承包全过程实战与风险防管理及全过程咨询</w:t>
      </w:r>
      <w:r>
        <w:rPr>
          <w:rFonts w:hint="eastAsia" w:ascii="仿宋" w:hAnsi="仿宋" w:cs="宋体"/>
          <w:sz w:val="28"/>
          <w:szCs w:val="28"/>
          <w:lang w:eastAsia="zh-Hans"/>
        </w:rPr>
        <w:t>高级培训班”</w:t>
      </w:r>
      <w:r>
        <w:rPr>
          <w:rFonts w:hint="eastAsia" w:ascii="仿宋" w:hAnsi="仿宋" w:cs="仿宋"/>
          <w:bCs/>
          <w:sz w:val="28"/>
          <w:szCs w:val="28"/>
        </w:rPr>
        <w:t>报名回执表</w:t>
      </w:r>
    </w:p>
    <w:tbl>
      <w:tblPr>
        <w:tblStyle w:val="10"/>
        <w:tblpPr w:leftFromText="180" w:rightFromText="180" w:vertAnchor="text" w:horzAnchor="margin" w:tblpXSpec="center" w:tblpY="70"/>
        <w:tblW w:w="10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8"/>
        <w:gridCol w:w="760"/>
        <w:gridCol w:w="2100"/>
        <w:gridCol w:w="1620"/>
        <w:gridCol w:w="127"/>
        <w:gridCol w:w="1260"/>
        <w:gridCol w:w="197"/>
        <w:gridCol w:w="220"/>
        <w:gridCol w:w="296"/>
        <w:gridCol w:w="682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hint="eastAsia" w:ascii="仿宋" w:hAnsi="仿宋" w:cs="宋体"/>
                <w:sz w:val="28"/>
                <w:szCs w:val="28"/>
              </w:rPr>
              <w:t>（开票单位）</w:t>
            </w:r>
          </w:p>
        </w:tc>
        <w:tc>
          <w:tcPr>
            <w:tcW w:w="6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hint="eastAsia" w:ascii="仿宋" w:hAnsi="仿宋" w:cs="宋体"/>
                <w:sz w:val="28"/>
                <w:szCs w:val="28"/>
              </w:rPr>
              <w:t>邮  编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jc w:val="left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hint="eastAsia" w:ascii="仿宋" w:hAnsi="仿宋" w:cs="宋体"/>
                <w:sz w:val="28"/>
                <w:szCs w:val="28"/>
              </w:rPr>
              <w:t>通讯地址</w:t>
            </w:r>
          </w:p>
        </w:tc>
        <w:tc>
          <w:tcPr>
            <w:tcW w:w="85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jc w:val="left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hint="eastAsia" w:ascii="仿宋" w:hAnsi="仿宋" w:cs="宋体"/>
                <w:sz w:val="28"/>
                <w:szCs w:val="28"/>
              </w:rPr>
              <w:t>联 系 人</w:t>
            </w:r>
          </w:p>
        </w:tc>
        <w:tc>
          <w:tcPr>
            <w:tcW w:w="4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hint="eastAsia" w:ascii="仿宋" w:hAnsi="仿宋" w:cs="宋体"/>
                <w:sz w:val="28"/>
                <w:szCs w:val="28"/>
              </w:rPr>
              <w:t>E-mail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jc w:val="left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hint="eastAsia" w:ascii="仿宋" w:hAnsi="仿宋" w:cs="宋体"/>
                <w:sz w:val="28"/>
                <w:szCs w:val="28"/>
              </w:rPr>
              <w:t>电    话</w:t>
            </w:r>
          </w:p>
        </w:tc>
        <w:tc>
          <w:tcPr>
            <w:tcW w:w="4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hint="eastAsia" w:ascii="仿宋" w:hAnsi="仿宋" w:cs="宋体"/>
                <w:sz w:val="28"/>
                <w:szCs w:val="28"/>
              </w:rPr>
              <w:t>传  真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jc w:val="left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hint="eastAsia" w:ascii="仿宋" w:hAnsi="仿宋" w:cs="宋体"/>
                <w:sz w:val="28"/>
                <w:szCs w:val="28"/>
              </w:rPr>
              <w:t>姓    名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hint="eastAsia" w:ascii="仿宋" w:hAnsi="仿宋" w:cs="宋体"/>
                <w:sz w:val="28"/>
                <w:szCs w:val="28"/>
              </w:rPr>
              <w:t>性 别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hint="eastAsia" w:ascii="仿宋" w:hAnsi="仿宋" w:cs="宋体"/>
                <w:sz w:val="28"/>
                <w:szCs w:val="28"/>
              </w:rPr>
              <w:t>部  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jc w:val="left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hint="eastAsia" w:ascii="仿宋" w:hAnsi="仿宋" w:cs="宋体"/>
                <w:sz w:val="28"/>
                <w:szCs w:val="28"/>
              </w:rPr>
              <w:t>职  务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hint="eastAsia" w:ascii="仿宋" w:hAnsi="仿宋" w:cs="宋体"/>
                <w:sz w:val="28"/>
                <w:szCs w:val="28"/>
              </w:rPr>
              <w:t>手 机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hint="eastAsia" w:ascii="仿宋" w:hAnsi="仿宋" w:cs="宋体"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jc w:val="left"/>
              <w:rPr>
                <w:rFonts w:ascii="仿宋" w:hAnsi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cs="宋体"/>
                <w:sz w:val="28"/>
                <w:szCs w:val="28"/>
                <w:lang w:val="zh-CN"/>
              </w:rPr>
              <w:t>是否住宿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hint="eastAsia" w:ascii="仿宋" w:hAnsi="仿宋" w:cs="宋体"/>
                <w:sz w:val="28"/>
                <w:szCs w:val="28"/>
              </w:rPr>
              <w:t>□是     □否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hint="eastAsia" w:ascii="仿宋" w:hAnsi="仿宋" w:cs="宋体"/>
                <w:sz w:val="28"/>
                <w:szCs w:val="28"/>
              </w:rPr>
              <w:t>住宿要求</w:t>
            </w:r>
          </w:p>
        </w:tc>
        <w:tc>
          <w:tcPr>
            <w:tcW w:w="4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jc w:val="left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hint="eastAsia" w:ascii="仿宋" w:hAnsi="仿宋" w:cs="宋体"/>
                <w:sz w:val="28"/>
                <w:szCs w:val="28"/>
              </w:rPr>
              <w:t>□单住(需另补床位费) 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jc w:val="left"/>
              <w:rPr>
                <w:rFonts w:ascii="仿宋" w:hAnsi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cs="宋体"/>
                <w:sz w:val="28"/>
                <w:szCs w:val="28"/>
                <w:lang w:val="zh-CN"/>
              </w:rPr>
              <w:t>参会地点</w:t>
            </w:r>
          </w:p>
        </w:tc>
        <w:tc>
          <w:tcPr>
            <w:tcW w:w="85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jc w:val="left"/>
              <w:rPr>
                <w:rFonts w:ascii="仿宋" w:hAnsi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cs="宋体"/>
                <w:sz w:val="28"/>
                <w:szCs w:val="28"/>
                <w:lang w:val="zh-CN"/>
              </w:rPr>
              <w:t>付款方式</w:t>
            </w:r>
          </w:p>
        </w:tc>
        <w:tc>
          <w:tcPr>
            <w:tcW w:w="4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hint="eastAsia" w:ascii="仿宋" w:hAnsi="仿宋" w:cs="宋体"/>
                <w:sz w:val="28"/>
                <w:szCs w:val="28"/>
              </w:rPr>
              <w:t>□通过银行  □微信或支付宝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hint="eastAsia" w:ascii="仿宋" w:hAnsi="仿宋" w:cs="宋体"/>
                <w:sz w:val="28"/>
                <w:szCs w:val="28"/>
              </w:rPr>
              <w:t>金额 额</w:t>
            </w:r>
          </w:p>
        </w:tc>
        <w:tc>
          <w:tcPr>
            <w:tcW w:w="2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jc w:val="left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hint="eastAsia" w:ascii="仿宋" w:hAnsi="仿宋" w:cs="宋体"/>
                <w:sz w:val="28"/>
                <w:szCs w:val="28"/>
              </w:rPr>
              <w:t>开票信息</w:t>
            </w:r>
          </w:p>
        </w:tc>
        <w:tc>
          <w:tcPr>
            <w:tcW w:w="85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hint="eastAsia" w:ascii="仿宋" w:hAnsi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cs="宋体"/>
                <w:sz w:val="28"/>
                <w:szCs w:val="28"/>
                <w:lang w:val="zh-CN"/>
              </w:rPr>
              <w:t>增值税专用发票</w:t>
            </w:r>
            <w:r>
              <w:rPr>
                <w:rFonts w:hint="eastAsia" w:ascii="仿宋" w:hAnsi="仿宋" w:cs="宋体"/>
                <w:sz w:val="28"/>
                <w:szCs w:val="28"/>
              </w:rPr>
              <w:t xml:space="preserve">         □增值税普票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jc w:val="left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hint="eastAsia" w:ascii="仿宋" w:hAnsi="仿宋" w:cs="宋体"/>
                <w:sz w:val="28"/>
                <w:szCs w:val="28"/>
              </w:rPr>
              <w:t>开票信息</w:t>
            </w:r>
          </w:p>
        </w:tc>
        <w:tc>
          <w:tcPr>
            <w:tcW w:w="85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jc w:val="left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hint="eastAsia" w:ascii="仿宋" w:hAnsi="仿宋" w:cs="宋体"/>
                <w:sz w:val="28"/>
                <w:szCs w:val="28"/>
              </w:rPr>
              <w:t>收款账户</w:t>
            </w:r>
          </w:p>
        </w:tc>
        <w:tc>
          <w:tcPr>
            <w:tcW w:w="85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cs="宋体"/>
                <w:sz w:val="28"/>
                <w:szCs w:val="28"/>
                <w:lang w:val="en-GB"/>
              </w:rPr>
            </w:pPr>
            <w:r>
              <w:rPr>
                <w:rFonts w:hint="eastAsia" w:ascii="仿宋" w:hAnsi="仿宋" w:cs="宋体"/>
                <w:sz w:val="28"/>
                <w:szCs w:val="28"/>
                <w:lang w:val="en-GB"/>
              </w:rPr>
              <w:t>单位名称：北京众兴企培咨询有限公司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仿宋" w:hAnsi="仿宋" w:cs="宋体"/>
                <w:sz w:val="28"/>
                <w:szCs w:val="28"/>
                <w:lang w:val="en-GB"/>
              </w:rPr>
            </w:pPr>
            <w:r>
              <w:rPr>
                <w:rFonts w:hint="eastAsia" w:ascii="仿宋" w:hAnsi="仿宋" w:cs="宋体"/>
                <w:sz w:val="28"/>
                <w:szCs w:val="28"/>
                <w:lang w:val="en-GB"/>
              </w:rPr>
              <w:t>开户行：中国工商银行股份有限公司北京龙泉支行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cs="宋体"/>
                <w:sz w:val="28"/>
                <w:szCs w:val="28"/>
                <w:lang w:val="en-GB"/>
              </w:rPr>
              <w:t>账号：0200002009200234085（行号：102100000208）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exac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hint="eastAsia" w:ascii="仿宋" w:hAnsi="仿宋" w:cs="宋体"/>
                <w:sz w:val="28"/>
                <w:szCs w:val="28"/>
              </w:rPr>
              <w:t>备注</w:t>
            </w:r>
          </w:p>
        </w:tc>
        <w:tc>
          <w:tcPr>
            <w:tcW w:w="60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cs="宋体"/>
                <w:sz w:val="28"/>
                <w:szCs w:val="28"/>
                <w:lang w:val="zh-CN"/>
              </w:rPr>
              <w:t>请将参会回执回传或E-mail至会务组，在报名</w:t>
            </w:r>
            <w:r>
              <w:rPr>
                <w:rFonts w:hint="eastAsia" w:ascii="仿宋" w:hAnsi="仿宋" w:cs="宋体"/>
                <w:sz w:val="28"/>
                <w:szCs w:val="28"/>
              </w:rPr>
              <w:t>3</w:t>
            </w:r>
            <w:r>
              <w:rPr>
                <w:rFonts w:hint="eastAsia" w:ascii="仿宋" w:hAnsi="仿宋" w:cs="宋体"/>
                <w:sz w:val="28"/>
                <w:szCs w:val="28"/>
                <w:lang w:val="zh-CN"/>
              </w:rPr>
              <w:t>日内将培训费通过银行或邮局等方式付款，会务组确认到款后即发《参会凭证》，其中将详细注明报到时间、地点、</w:t>
            </w:r>
            <w:r>
              <w:rPr>
                <w:rFonts w:hint="eastAsia" w:ascii="仿宋" w:hAnsi="仿宋" w:cs="宋体"/>
                <w:sz w:val="28"/>
                <w:szCs w:val="28"/>
              </w:rPr>
              <w:t>等</w:t>
            </w:r>
            <w:r>
              <w:rPr>
                <w:rFonts w:hint="eastAsia" w:ascii="仿宋" w:hAnsi="仿宋" w:cs="宋体"/>
                <w:sz w:val="28"/>
                <w:szCs w:val="28"/>
                <w:lang w:val="zh-CN"/>
              </w:rPr>
              <w:t>具体安排事项。</w:t>
            </w: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jc w:val="left"/>
              <w:rPr>
                <w:rFonts w:ascii="仿宋" w:hAnsi="仿宋" w:cs="宋体"/>
                <w:sz w:val="28"/>
                <w:szCs w:val="28"/>
                <w:lang w:val="zh-CN"/>
              </w:rPr>
            </w:pPr>
          </w:p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cs="宋体"/>
                <w:sz w:val="28"/>
                <w:szCs w:val="28"/>
                <w:lang w:val="zh-CN"/>
              </w:rPr>
              <w:t>单位印章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cs="宋体"/>
                <w:sz w:val="28"/>
                <w:szCs w:val="28"/>
                <w:lang w:val="zh-CN"/>
              </w:rPr>
              <w:t>二零二</w:t>
            </w:r>
            <w:r>
              <w:rPr>
                <w:rFonts w:hint="eastAsia" w:ascii="仿宋" w:hAnsi="仿宋" w:cs="宋体"/>
                <w:sz w:val="28"/>
                <w:szCs w:val="28"/>
              </w:rPr>
              <w:t>三</w:t>
            </w:r>
            <w:r>
              <w:rPr>
                <w:rFonts w:hint="eastAsia" w:ascii="仿宋" w:hAnsi="仿宋" w:cs="宋体"/>
                <w:sz w:val="28"/>
                <w:szCs w:val="28"/>
                <w:lang w:val="zh-CN"/>
              </w:rPr>
              <w:t>年 月 日</w:t>
            </w:r>
          </w:p>
        </w:tc>
      </w:tr>
    </w:tbl>
    <w:p>
      <w:pPr>
        <w:widowControl/>
        <w:spacing w:line="380" w:lineRule="exact"/>
        <w:jc w:val="left"/>
        <w:rPr>
          <w:rFonts w:ascii="仿宋" w:hAnsi="仿宋" w:cs="宋体"/>
          <w:sz w:val="28"/>
          <w:szCs w:val="28"/>
          <w:lang w:val="zh-CN"/>
        </w:rPr>
      </w:pPr>
      <w:r>
        <w:rPr>
          <w:rFonts w:hint="eastAsia" w:ascii="仿宋" w:hAnsi="仿宋" w:cs="宋体"/>
          <w:sz w:val="28"/>
          <w:szCs w:val="28"/>
          <w:lang w:val="zh-CN"/>
        </w:rPr>
        <w:t>注：1</w:t>
      </w:r>
      <w:r>
        <w:rPr>
          <w:rFonts w:hint="eastAsia" w:ascii="仿宋" w:hAnsi="仿宋" w:cs="宋体"/>
          <w:sz w:val="28"/>
          <w:szCs w:val="28"/>
        </w:rPr>
        <w:t>.</w:t>
      </w:r>
      <w:r>
        <w:rPr>
          <w:rFonts w:hint="eastAsia" w:ascii="仿宋" w:hAnsi="仿宋" w:cs="宋体"/>
          <w:sz w:val="28"/>
          <w:szCs w:val="28"/>
          <w:lang w:val="zh-CN"/>
        </w:rPr>
        <w:t>本次培训内容及建筑口相关管理培训均可赴企业提供内训</w:t>
      </w:r>
      <w:r>
        <w:rPr>
          <w:rFonts w:hint="eastAsia" w:ascii="仿宋" w:hAnsi="仿宋" w:cs="宋体"/>
          <w:sz w:val="28"/>
          <w:szCs w:val="28"/>
        </w:rPr>
        <w:t>;</w:t>
      </w:r>
    </w:p>
    <w:p>
      <w:pPr>
        <w:widowControl/>
        <w:spacing w:line="380" w:lineRule="exact"/>
        <w:ind w:firstLine="560" w:firstLineChars="200"/>
        <w:jc w:val="left"/>
        <w:rPr>
          <w:rFonts w:ascii="仿宋" w:hAnsi="仿宋" w:cs="宋体"/>
          <w:sz w:val="28"/>
          <w:szCs w:val="28"/>
          <w:lang w:val="zh-CN"/>
        </w:rPr>
      </w:pPr>
      <w:r>
        <w:rPr>
          <w:rFonts w:hint="eastAsia" w:ascii="仿宋" w:hAnsi="仿宋" w:cs="宋体"/>
          <w:sz w:val="28"/>
          <w:szCs w:val="28"/>
          <w:lang w:val="zh-CN"/>
        </w:rPr>
        <w:t>2</w:t>
      </w:r>
      <w:r>
        <w:rPr>
          <w:rFonts w:ascii="仿宋" w:hAnsi="仿宋" w:cs="宋体"/>
          <w:sz w:val="28"/>
          <w:szCs w:val="28"/>
          <w:lang w:val="zh-CN"/>
        </w:rPr>
        <w:t>.</w:t>
      </w:r>
      <w:r>
        <w:rPr>
          <w:rFonts w:hint="eastAsia" w:ascii="仿宋" w:hAnsi="仿宋" w:cs="宋体"/>
          <w:sz w:val="28"/>
          <w:szCs w:val="28"/>
          <w:lang w:val="zh-CN"/>
        </w:rPr>
        <w:t>欢迎与会代表携带相关资料和案例赴会与专家进行交流</w:t>
      </w:r>
    </w:p>
    <w:p>
      <w:pPr>
        <w:widowControl/>
        <w:spacing w:line="380" w:lineRule="exact"/>
        <w:ind w:firstLine="560" w:firstLineChars="200"/>
        <w:jc w:val="left"/>
        <w:rPr>
          <w:rFonts w:hint="eastAsia" w:ascii="仿宋" w:hAnsi="仿宋" w:cs="宋体"/>
          <w:sz w:val="28"/>
          <w:szCs w:val="28"/>
          <w:lang w:val="zh-CN"/>
        </w:rPr>
      </w:pPr>
      <w:r>
        <w:rPr>
          <w:rFonts w:hint="eastAsia" w:ascii="仿宋" w:hAnsi="仿宋" w:cs="宋体"/>
          <w:sz w:val="28"/>
          <w:szCs w:val="28"/>
          <w:lang w:val="zh-CN"/>
        </w:rPr>
        <w:t>3</w:t>
      </w:r>
      <w:r>
        <w:rPr>
          <w:rFonts w:ascii="仿宋" w:hAnsi="仿宋" w:cs="宋体"/>
          <w:sz w:val="28"/>
          <w:szCs w:val="28"/>
          <w:lang w:val="zh-CN"/>
        </w:rPr>
        <w:t>.</w:t>
      </w:r>
      <w:r>
        <w:rPr>
          <w:rFonts w:hint="eastAsia" w:ascii="仿宋" w:hAnsi="仿宋" w:cs="宋体"/>
          <w:sz w:val="28"/>
          <w:szCs w:val="28"/>
          <w:lang w:val="zh-CN"/>
        </w:rPr>
        <w:t xml:space="preserve">报名负责人：聂红军 主任18211071700（微信）   </w:t>
      </w:r>
    </w:p>
    <w:p>
      <w:pPr>
        <w:widowControl/>
        <w:spacing w:line="380" w:lineRule="exact"/>
        <w:ind w:firstLine="560" w:firstLineChars="200"/>
        <w:jc w:val="left"/>
        <w:rPr>
          <w:rFonts w:hint="eastAsia" w:ascii="仿宋" w:hAnsi="仿宋" w:cs="宋体"/>
          <w:sz w:val="28"/>
          <w:szCs w:val="28"/>
          <w:lang w:val="zh-CN"/>
        </w:rPr>
      </w:pPr>
      <w:r>
        <w:rPr>
          <w:rFonts w:hint="eastAsia" w:ascii="仿宋" w:hAnsi="仿宋" w:cs="宋体"/>
          <w:sz w:val="28"/>
          <w:szCs w:val="28"/>
          <w:lang w:val="zh-CN"/>
        </w:rPr>
        <w:t xml:space="preserve">电  话：010-87697580      邮    箱：zqgphwz@126.com  </w:t>
      </w:r>
    </w:p>
    <w:p>
      <w:pPr>
        <w:widowControl/>
        <w:spacing w:line="380" w:lineRule="exact"/>
        <w:ind w:firstLine="560" w:firstLineChars="200"/>
        <w:jc w:val="left"/>
        <w:rPr>
          <w:rFonts w:ascii="仿宋" w:hAnsi="仿宋" w:cs="宋体"/>
          <w:sz w:val="28"/>
          <w:szCs w:val="28"/>
        </w:rPr>
      </w:pPr>
      <w:r>
        <w:rPr>
          <w:rFonts w:hint="eastAsia" w:ascii="仿宋" w:hAnsi="仿宋" w:cs="宋体"/>
          <w:sz w:val="28"/>
          <w:szCs w:val="28"/>
          <w:lang w:val="zh-CN"/>
        </w:rPr>
        <w:t>qq咨询：3177524020        网址查询：http://www.zqgpchina.cn</w:t>
      </w:r>
      <w:bookmarkStart w:id="0" w:name="_GoBack"/>
      <w:bookmarkEnd w:id="0"/>
    </w:p>
    <w:sectPr>
      <w:footerReference r:id="rId3" w:type="default"/>
      <w:pgSz w:w="11906" w:h="16838"/>
      <w:pgMar w:top="851" w:right="1274" w:bottom="1134" w:left="851" w:header="567" w:footer="340" w:gutter="0"/>
      <w:cols w:space="0" w:num="1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sz w:val="15"/>
        <w:szCs w:val="15"/>
      </w:rPr>
    </w:pPr>
    <w:r>
      <w:rPr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50290" cy="1809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0290" cy="180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22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0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22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0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2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2"/>
                              <w:szCs w:val="20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0"/>
                            </w:rPr>
                            <w:t>2</w:t>
                          </w:r>
                          <w:r>
                            <w:rPr>
                              <w:sz w:val="22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2"/>
                              <w:szCs w:val="20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.25pt;width:82.7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DUAmmdMAAAAEAQAADwAAAAAAAAABACAAAAAiAAAAZHJzL2Rvd25yZXYueG1sUEsBAhQA&#10;FAAAAAgAh07iQBeJrqIwAgAAVAQAAA4AAAAAAAAAAQAgAAAAIg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 w:val="22"/>
                        <w:szCs w:val="20"/>
                      </w:rPr>
                    </w:pPr>
                    <w:r>
                      <w:rPr>
                        <w:rFonts w:hint="eastAsia"/>
                        <w:sz w:val="22"/>
                        <w:szCs w:val="20"/>
                      </w:rPr>
                      <w:t xml:space="preserve">第 </w:t>
                    </w:r>
                    <w:r>
                      <w:rPr>
                        <w:rFonts w:hint="eastAsia"/>
                        <w:sz w:val="22"/>
                        <w:szCs w:val="20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0"/>
                      </w:rPr>
                      <w:fldChar w:fldCharType="separate"/>
                    </w:r>
                    <w:r>
                      <w:rPr>
                        <w:sz w:val="22"/>
                        <w:szCs w:val="20"/>
                      </w:rPr>
                      <w:t>2</w:t>
                    </w:r>
                    <w:r>
                      <w:rPr>
                        <w:rFonts w:hint="eastAsia"/>
                        <w:sz w:val="22"/>
                        <w:szCs w:val="20"/>
                      </w:rPr>
                      <w:fldChar w:fldCharType="end"/>
                    </w:r>
                    <w:r>
                      <w:rPr>
                        <w:rFonts w:hint="eastAsia"/>
                        <w:sz w:val="22"/>
                        <w:szCs w:val="20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0"/>
                      </w:rPr>
                      <w:t>2</w:t>
                    </w:r>
                    <w:r>
                      <w:rPr>
                        <w:sz w:val="22"/>
                        <w:szCs w:val="20"/>
                      </w:rPr>
                      <w:fldChar w:fldCharType="end"/>
                    </w:r>
                    <w:r>
                      <w:rPr>
                        <w:rFonts w:hint="eastAsia"/>
                        <w:sz w:val="22"/>
                        <w:szCs w:val="20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rPr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94ABB"/>
    <w:multiLevelType w:val="multilevel"/>
    <w:tmpl w:val="46794ABB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82737E8"/>
    <w:multiLevelType w:val="multilevel"/>
    <w:tmpl w:val="482737E8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51"/>
  <w:drawingGridHorizontalSpacing w:val="160"/>
  <w:drawingGridVerticalSpacing w:val="21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zY2NlNjZjOWY0N2EwZjc1NTYwNGUwZWJkMmY1ZDQifQ=="/>
  </w:docVars>
  <w:rsids>
    <w:rsidRoot w:val="00104116"/>
    <w:rsid w:val="00077FA0"/>
    <w:rsid w:val="000A357C"/>
    <w:rsid w:val="000D593A"/>
    <w:rsid w:val="000D68C5"/>
    <w:rsid w:val="00104116"/>
    <w:rsid w:val="0016255A"/>
    <w:rsid w:val="001A0600"/>
    <w:rsid w:val="001A604D"/>
    <w:rsid w:val="001F1AA9"/>
    <w:rsid w:val="001F60EE"/>
    <w:rsid w:val="001F6A6F"/>
    <w:rsid w:val="0023068F"/>
    <w:rsid w:val="002778B6"/>
    <w:rsid w:val="002E0120"/>
    <w:rsid w:val="002F1A44"/>
    <w:rsid w:val="00307D60"/>
    <w:rsid w:val="003475C4"/>
    <w:rsid w:val="003646D3"/>
    <w:rsid w:val="00390B55"/>
    <w:rsid w:val="0039517B"/>
    <w:rsid w:val="003A26AB"/>
    <w:rsid w:val="003A7C6A"/>
    <w:rsid w:val="003C5E34"/>
    <w:rsid w:val="003E351D"/>
    <w:rsid w:val="0044265B"/>
    <w:rsid w:val="00456B37"/>
    <w:rsid w:val="00482A73"/>
    <w:rsid w:val="00487911"/>
    <w:rsid w:val="004C1D95"/>
    <w:rsid w:val="004D4220"/>
    <w:rsid w:val="004D652E"/>
    <w:rsid w:val="004E5ADF"/>
    <w:rsid w:val="00501D1E"/>
    <w:rsid w:val="00516031"/>
    <w:rsid w:val="00532CED"/>
    <w:rsid w:val="00584CFB"/>
    <w:rsid w:val="0058576B"/>
    <w:rsid w:val="005A006F"/>
    <w:rsid w:val="005A6003"/>
    <w:rsid w:val="005E08B9"/>
    <w:rsid w:val="006718C1"/>
    <w:rsid w:val="0067346A"/>
    <w:rsid w:val="006D4726"/>
    <w:rsid w:val="006F3EB7"/>
    <w:rsid w:val="00723EEB"/>
    <w:rsid w:val="007A2B02"/>
    <w:rsid w:val="00803581"/>
    <w:rsid w:val="00823877"/>
    <w:rsid w:val="00826ED5"/>
    <w:rsid w:val="0084210F"/>
    <w:rsid w:val="008729F5"/>
    <w:rsid w:val="00925BF7"/>
    <w:rsid w:val="00937E48"/>
    <w:rsid w:val="00942684"/>
    <w:rsid w:val="00950CD2"/>
    <w:rsid w:val="009824A8"/>
    <w:rsid w:val="00986224"/>
    <w:rsid w:val="009A12EE"/>
    <w:rsid w:val="009B06B4"/>
    <w:rsid w:val="009C1B43"/>
    <w:rsid w:val="00A149C9"/>
    <w:rsid w:val="00A35070"/>
    <w:rsid w:val="00A359D3"/>
    <w:rsid w:val="00A70FF0"/>
    <w:rsid w:val="00A8158D"/>
    <w:rsid w:val="00AB2F0E"/>
    <w:rsid w:val="00AB66AC"/>
    <w:rsid w:val="00B20C27"/>
    <w:rsid w:val="00B214F8"/>
    <w:rsid w:val="00B46958"/>
    <w:rsid w:val="00B73A5D"/>
    <w:rsid w:val="00B73FA4"/>
    <w:rsid w:val="00B80C06"/>
    <w:rsid w:val="00BB302A"/>
    <w:rsid w:val="00BB4C09"/>
    <w:rsid w:val="00C743FE"/>
    <w:rsid w:val="00CC0FCD"/>
    <w:rsid w:val="00CD4FCB"/>
    <w:rsid w:val="00DA63F4"/>
    <w:rsid w:val="00DF22FA"/>
    <w:rsid w:val="00E34019"/>
    <w:rsid w:val="00E70C8A"/>
    <w:rsid w:val="00E835FF"/>
    <w:rsid w:val="00F41B25"/>
    <w:rsid w:val="00F52D29"/>
    <w:rsid w:val="00F735CC"/>
    <w:rsid w:val="00F81A29"/>
    <w:rsid w:val="00F9231C"/>
    <w:rsid w:val="00F97467"/>
    <w:rsid w:val="00FA316C"/>
    <w:rsid w:val="00FE2864"/>
    <w:rsid w:val="00FE65D9"/>
    <w:rsid w:val="0146180C"/>
    <w:rsid w:val="015B6FB4"/>
    <w:rsid w:val="02BD7E0E"/>
    <w:rsid w:val="05625FDD"/>
    <w:rsid w:val="06280608"/>
    <w:rsid w:val="072A037D"/>
    <w:rsid w:val="08F26D0A"/>
    <w:rsid w:val="09081396"/>
    <w:rsid w:val="099F77E2"/>
    <w:rsid w:val="09B859B5"/>
    <w:rsid w:val="09F91BAB"/>
    <w:rsid w:val="0A3D43A5"/>
    <w:rsid w:val="0A456EFE"/>
    <w:rsid w:val="0B872906"/>
    <w:rsid w:val="0BB87C7F"/>
    <w:rsid w:val="0C1A0844"/>
    <w:rsid w:val="0D083ABC"/>
    <w:rsid w:val="0D4228C7"/>
    <w:rsid w:val="0D7C3DC2"/>
    <w:rsid w:val="0D9865FC"/>
    <w:rsid w:val="0E2C1557"/>
    <w:rsid w:val="0E6B7334"/>
    <w:rsid w:val="0FE23E49"/>
    <w:rsid w:val="0FF90BF3"/>
    <w:rsid w:val="11A84636"/>
    <w:rsid w:val="12DA00C2"/>
    <w:rsid w:val="143164B1"/>
    <w:rsid w:val="14A44E78"/>
    <w:rsid w:val="152E0316"/>
    <w:rsid w:val="15BF0E17"/>
    <w:rsid w:val="16CC5F90"/>
    <w:rsid w:val="16D10BD4"/>
    <w:rsid w:val="188450D8"/>
    <w:rsid w:val="192E5F9E"/>
    <w:rsid w:val="1969038D"/>
    <w:rsid w:val="1AA82C03"/>
    <w:rsid w:val="1AC67D54"/>
    <w:rsid w:val="1BFC72B7"/>
    <w:rsid w:val="1C9512F2"/>
    <w:rsid w:val="1CAB4025"/>
    <w:rsid w:val="1D8B27BD"/>
    <w:rsid w:val="21122AA5"/>
    <w:rsid w:val="213D0C0E"/>
    <w:rsid w:val="21FB58E1"/>
    <w:rsid w:val="24D2203D"/>
    <w:rsid w:val="2879565F"/>
    <w:rsid w:val="299C1DE3"/>
    <w:rsid w:val="2CE10526"/>
    <w:rsid w:val="2E47155F"/>
    <w:rsid w:val="2E6C61D6"/>
    <w:rsid w:val="2EF0593A"/>
    <w:rsid w:val="2F104C27"/>
    <w:rsid w:val="30500B1B"/>
    <w:rsid w:val="33CE5FC6"/>
    <w:rsid w:val="35380332"/>
    <w:rsid w:val="36502B15"/>
    <w:rsid w:val="37D4471E"/>
    <w:rsid w:val="38C45E61"/>
    <w:rsid w:val="39413D39"/>
    <w:rsid w:val="3983669A"/>
    <w:rsid w:val="3AD7752D"/>
    <w:rsid w:val="3AF93D9D"/>
    <w:rsid w:val="3B2767A2"/>
    <w:rsid w:val="3B8A5345"/>
    <w:rsid w:val="3C934241"/>
    <w:rsid w:val="3FA63751"/>
    <w:rsid w:val="40892A09"/>
    <w:rsid w:val="40E32157"/>
    <w:rsid w:val="41853E5F"/>
    <w:rsid w:val="439C3174"/>
    <w:rsid w:val="43C5315B"/>
    <w:rsid w:val="4575522F"/>
    <w:rsid w:val="45FE3E19"/>
    <w:rsid w:val="465B6280"/>
    <w:rsid w:val="48253196"/>
    <w:rsid w:val="488B1E6F"/>
    <w:rsid w:val="48DC3E4B"/>
    <w:rsid w:val="4A137AC1"/>
    <w:rsid w:val="4B760144"/>
    <w:rsid w:val="4B996CE5"/>
    <w:rsid w:val="4C7735DF"/>
    <w:rsid w:val="4CF611AA"/>
    <w:rsid w:val="4D560E3E"/>
    <w:rsid w:val="4D6F0292"/>
    <w:rsid w:val="4DC4550D"/>
    <w:rsid w:val="4DC517A7"/>
    <w:rsid w:val="4E335488"/>
    <w:rsid w:val="4FDF74A1"/>
    <w:rsid w:val="51A079E4"/>
    <w:rsid w:val="51E640CB"/>
    <w:rsid w:val="51E83378"/>
    <w:rsid w:val="53020004"/>
    <w:rsid w:val="53AD7931"/>
    <w:rsid w:val="550C6C72"/>
    <w:rsid w:val="565224C8"/>
    <w:rsid w:val="569F3A0E"/>
    <w:rsid w:val="56A908E0"/>
    <w:rsid w:val="570C1C25"/>
    <w:rsid w:val="57923EA3"/>
    <w:rsid w:val="586A1D02"/>
    <w:rsid w:val="591F50BD"/>
    <w:rsid w:val="59301FAD"/>
    <w:rsid w:val="595D44DE"/>
    <w:rsid w:val="5AF2451D"/>
    <w:rsid w:val="5D697C40"/>
    <w:rsid w:val="5F4C73B7"/>
    <w:rsid w:val="5F7321BE"/>
    <w:rsid w:val="5FEB39BB"/>
    <w:rsid w:val="5FF90D6B"/>
    <w:rsid w:val="612629E6"/>
    <w:rsid w:val="61C92EBA"/>
    <w:rsid w:val="6215091F"/>
    <w:rsid w:val="622206F9"/>
    <w:rsid w:val="62F9311B"/>
    <w:rsid w:val="636E3700"/>
    <w:rsid w:val="6409668F"/>
    <w:rsid w:val="662C2D59"/>
    <w:rsid w:val="66B13B90"/>
    <w:rsid w:val="66EC0607"/>
    <w:rsid w:val="672B59EC"/>
    <w:rsid w:val="67797F96"/>
    <w:rsid w:val="677F1C0D"/>
    <w:rsid w:val="68E93F5E"/>
    <w:rsid w:val="690A751F"/>
    <w:rsid w:val="69F3103A"/>
    <w:rsid w:val="6CC50FE7"/>
    <w:rsid w:val="6CE231BD"/>
    <w:rsid w:val="6DEB7F14"/>
    <w:rsid w:val="70EE338F"/>
    <w:rsid w:val="71DD178E"/>
    <w:rsid w:val="72347373"/>
    <w:rsid w:val="7670078A"/>
    <w:rsid w:val="76AF35BA"/>
    <w:rsid w:val="787E2D2B"/>
    <w:rsid w:val="7A362513"/>
    <w:rsid w:val="7AB72B1C"/>
    <w:rsid w:val="7AC11B5D"/>
    <w:rsid w:val="7C161AFA"/>
    <w:rsid w:val="7E2B0087"/>
    <w:rsid w:val="7E2B4D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</w:rPr>
  </w:style>
  <w:style w:type="paragraph" w:styleId="6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-1440"/>
      </w:tabs>
      <w:spacing w:after="0" w:line="360" w:lineRule="auto"/>
      <w:ind w:left="176" w:leftChars="0" w:firstLine="420" w:firstLineChars="200"/>
    </w:pPr>
    <w:rPr>
      <w:rFonts w:ascii="仿宋" w:hAnsi="Times New Roman"/>
      <w:sz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2">
    <w:name w:val="Strong"/>
    <w:basedOn w:val="11"/>
    <w:qFormat/>
    <w:uiPriority w:val="0"/>
    <w:rPr>
      <w:rFonts w:ascii="Times New Roman" w:hAnsi="Times New Roman" w:eastAsia="宋体" w:cs="Times New Roman"/>
      <w:b/>
      <w:bCs/>
    </w:rPr>
  </w:style>
  <w:style w:type="character" w:customStyle="1" w:styleId="13">
    <w:name w:val="页眉 字符"/>
    <w:basedOn w:val="11"/>
    <w:link w:val="8"/>
    <w:qFormat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5">
    <w:name w:val="样式1"/>
    <w:basedOn w:val="11"/>
    <w:qFormat/>
    <w:uiPriority w:val="0"/>
    <w:rPr>
      <w:rFonts w:ascii="等线" w:hAnsi="等线" w:eastAsia="宋体"/>
      <w:b/>
      <w:sz w:val="72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标题 1 字符"/>
    <w:basedOn w:val="11"/>
    <w:link w:val="4"/>
    <w:uiPriority w:val="9"/>
    <w:rPr>
      <w:rFonts w:ascii="Calibri" w:hAnsi="Calibri" w:eastAsia="仿宋"/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73DD0C-BF1A-413E-9C6C-34BE0CBD96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3126</Words>
  <Characters>3472</Characters>
  <Lines>26</Lines>
  <Paragraphs>7</Paragraphs>
  <TotalTime>3</TotalTime>
  <ScaleCrop>false</ScaleCrop>
  <LinksUpToDate>false</LinksUpToDate>
  <CharactersWithSpaces>3548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2021-06-03T04:24:00Z</dcterms:created>
  <dc:creator>田勇 田勇</dc:creator>
  <cp:lastModifiedBy>聂红军</cp:lastModifiedBy>
  <dcterms:modified xsi:type="dcterms:W3CDTF">2023-03-03T09:03:34Z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D6DE864ACD6D4685BBAC6A1D4530D641</vt:lpwstr>
  </property>
</Properties>
</file>