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" w:rightChars="38"/>
        <w:jc w:val="distribute"/>
        <w:rPr>
          <w:rFonts w:ascii="宋体" w:hAnsi="宋体" w:cs="宋体"/>
          <w:color w:val="FF0000"/>
          <w:spacing w:val="-11"/>
          <w:w w:val="90"/>
          <w:sz w:val="72"/>
          <w:szCs w:val="72"/>
        </w:rPr>
      </w:pPr>
      <w:r>
        <w:rPr>
          <w:rFonts w:hint="eastAsia" w:ascii="宋体" w:hAnsi="宋体" w:cs="宋体"/>
          <w:color w:val="FF0000"/>
          <w:spacing w:val="-73"/>
          <w:w w:val="90"/>
          <w:sz w:val="72"/>
          <w:szCs w:val="72"/>
        </w:rPr>
        <w:t>北</w:t>
      </w:r>
      <w:r>
        <w:rPr>
          <w:rFonts w:hint="eastAsia" w:ascii="宋体" w:hAnsi="宋体" w:cs="宋体"/>
          <w:color w:val="FF0000"/>
          <w:spacing w:val="-70"/>
          <w:w w:val="90"/>
          <w:sz w:val="72"/>
          <w:szCs w:val="72"/>
        </w:rPr>
        <w:t>京建</w:t>
      </w:r>
      <w:r>
        <w:rPr>
          <w:rFonts w:hint="eastAsia" w:ascii="宋体" w:hAnsi="宋体" w:cs="宋体"/>
          <w:color w:val="FF0000"/>
          <w:spacing w:val="-73"/>
          <w:w w:val="90"/>
          <w:sz w:val="72"/>
          <w:szCs w:val="72"/>
        </w:rPr>
        <w:t>术</w:t>
      </w:r>
      <w:r>
        <w:rPr>
          <w:rFonts w:hint="eastAsia" w:ascii="宋体" w:hAnsi="宋体" w:cs="宋体"/>
          <w:color w:val="FF0000"/>
          <w:spacing w:val="-70"/>
          <w:w w:val="90"/>
          <w:sz w:val="72"/>
          <w:szCs w:val="72"/>
        </w:rPr>
        <w:t>信息</w:t>
      </w:r>
      <w:r>
        <w:rPr>
          <w:rFonts w:hint="eastAsia" w:ascii="宋体" w:hAnsi="宋体" w:cs="宋体"/>
          <w:color w:val="FF0000"/>
          <w:spacing w:val="-73"/>
          <w:w w:val="90"/>
          <w:sz w:val="72"/>
          <w:szCs w:val="72"/>
        </w:rPr>
        <w:t>科</w:t>
      </w:r>
      <w:r>
        <w:rPr>
          <w:rFonts w:hint="eastAsia" w:ascii="宋体" w:hAnsi="宋体" w:cs="宋体"/>
          <w:color w:val="FF0000"/>
          <w:spacing w:val="-70"/>
          <w:w w:val="90"/>
          <w:sz w:val="72"/>
          <w:szCs w:val="72"/>
        </w:rPr>
        <w:t>技研</w:t>
      </w:r>
      <w:r>
        <w:rPr>
          <w:rFonts w:hint="eastAsia" w:ascii="宋体" w:hAnsi="宋体" w:cs="宋体"/>
          <w:color w:val="FF0000"/>
          <w:spacing w:val="-73"/>
          <w:w w:val="90"/>
          <w:sz w:val="72"/>
          <w:szCs w:val="72"/>
        </w:rPr>
        <w:t>究</w:t>
      </w:r>
      <w:r>
        <w:rPr>
          <w:rFonts w:hint="eastAsia" w:ascii="宋体" w:hAnsi="宋体" w:cs="宋体"/>
          <w:color w:val="FF0000"/>
          <w:spacing w:val="-70"/>
          <w:w w:val="90"/>
          <w:sz w:val="72"/>
          <w:szCs w:val="72"/>
        </w:rPr>
        <w:t>院有</w:t>
      </w:r>
      <w:r>
        <w:rPr>
          <w:rFonts w:hint="eastAsia" w:ascii="宋体" w:hAnsi="宋体" w:cs="宋体"/>
          <w:color w:val="FF0000"/>
          <w:spacing w:val="-73"/>
          <w:w w:val="90"/>
          <w:sz w:val="72"/>
          <w:szCs w:val="72"/>
        </w:rPr>
        <w:t>限</w:t>
      </w:r>
      <w:r>
        <w:rPr>
          <w:rFonts w:hint="eastAsia" w:ascii="宋体" w:hAnsi="宋体" w:cs="宋体"/>
          <w:color w:val="FF0000"/>
          <w:spacing w:val="-70"/>
          <w:w w:val="90"/>
          <w:sz w:val="72"/>
          <w:szCs w:val="72"/>
        </w:rPr>
        <w:t>公</w:t>
      </w:r>
      <w:r>
        <w:rPr>
          <w:rFonts w:hint="eastAsia" w:ascii="宋体" w:hAnsi="宋体" w:cs="宋体"/>
          <w:color w:val="FF0000"/>
          <w:spacing w:val="-11"/>
          <w:w w:val="90"/>
          <w:sz w:val="72"/>
          <w:szCs w:val="72"/>
        </w:rPr>
        <w:t>司</w:t>
      </w:r>
    </w:p>
    <w:p>
      <w:pPr>
        <w:ind w:right="84" w:rightChars="38"/>
        <w:jc w:val="center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408305</wp:posOffset>
                </wp:positionV>
                <wp:extent cx="5438140" cy="0"/>
                <wp:effectExtent l="0" t="19050" r="1016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1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4pt;margin-top:32.15pt;height:0pt;width:428.2pt;z-index:251659264;mso-width-relative:page;mso-height-relative:page;" filled="f" stroked="t" coordsize="21600,21600" o:allowincell="f" o:gfxdata="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+MqebXAAAACAEAAA8AAAAAAAAAAQAgAAAAIgAAAGRycy9kb3ducmV2LnhtbFBLAQIU&#10;ABQAAAAIAIdO4kBQo7Ti9AEAAOcDAAAOAAAAAAAAAAEAIAAAACYBAABkcnMvZTJvRG9jLnhtbFBL&#10;BQYAAAAABgAGAFkBAACM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建术</w:t>
      </w:r>
      <w:r>
        <w:rPr>
          <w:rFonts w:hint="eastAsia" w:ascii="仿宋" w:hAnsi="仿宋" w:eastAsia="宋体" w:cs="仿宋"/>
          <w:color w:val="000000"/>
          <w:spacing w:val="2"/>
          <w:sz w:val="28"/>
          <w:lang w:eastAsia="zh-CN"/>
        </w:rPr>
        <w:t>[202</w:t>
      </w:r>
      <w:r>
        <w:rPr>
          <w:rFonts w:hint="eastAsia" w:ascii="仿宋" w:hAnsi="仿宋" w:eastAsia="宋体" w:cs="仿宋"/>
          <w:color w:val="000000"/>
          <w:spacing w:val="2"/>
          <w:sz w:val="28"/>
          <w:lang w:val="en-US" w:eastAsia="zh-CN"/>
        </w:rPr>
        <w:t>3</w:t>
      </w:r>
      <w:r>
        <w:rPr>
          <w:rFonts w:hint="eastAsia" w:ascii="仿宋" w:hAnsi="仿宋" w:eastAsia="宋体" w:cs="仿宋"/>
          <w:color w:val="000000"/>
          <w:spacing w:val="2"/>
          <w:sz w:val="28"/>
          <w:lang w:eastAsia="zh-CN"/>
        </w:rPr>
        <w:t>]</w:t>
      </w:r>
      <w:r>
        <w:rPr>
          <w:rFonts w:hint="eastAsia" w:ascii="仿宋" w:hAnsi="仿宋" w:eastAsia="宋体" w:cs="仿宋"/>
          <w:color w:val="000000"/>
          <w:spacing w:val="2"/>
          <w:sz w:val="28"/>
          <w:lang w:val="en-US" w:eastAsia="zh-CN"/>
        </w:rPr>
        <w:t>18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号</w:t>
      </w:r>
    </w:p>
    <w:p>
      <w:pPr>
        <w:ind w:right="84" w:rightChars="38"/>
        <w:jc w:val="both"/>
        <w:rPr>
          <w:rFonts w:ascii="宋体" w:hAnsi="宋体" w:eastAsia="宋体" w:cs="宋体"/>
          <w:sz w:val="32"/>
          <w:szCs w:val="32"/>
        </w:rPr>
      </w:pPr>
    </w:p>
    <w:p>
      <w:pPr>
        <w:ind w:right="84" w:rightChars="38"/>
        <w:jc w:val="center"/>
        <w:rPr>
          <w:rFonts w:ascii="黑体" w:hAnsi="黑体" w:eastAsia="黑体" w:cs="宋体"/>
          <w:color w:val="000000"/>
          <w:spacing w:val="2"/>
          <w:sz w:val="28"/>
        </w:rPr>
      </w:pPr>
      <w:r>
        <w:rPr>
          <w:rFonts w:ascii="黑体" w:hAnsi="黑体" w:eastAsia="黑体" w:cs="宋体"/>
          <w:color w:val="000000"/>
          <w:spacing w:val="2"/>
          <w:sz w:val="28"/>
        </w:rPr>
        <w:t>关于举办EPC</w:t>
      </w:r>
      <w:r>
        <w:rPr>
          <w:rFonts w:hint="eastAsia" w:ascii="黑体" w:hAnsi="黑体" w:eastAsia="黑体" w:cs="宋体"/>
          <w:color w:val="000000"/>
          <w:spacing w:val="2"/>
          <w:sz w:val="28"/>
        </w:rPr>
        <w:t>工程总承包相关政策解析及项目</w:t>
      </w:r>
      <w:r>
        <w:rPr>
          <w:rFonts w:ascii="黑体" w:hAnsi="黑体" w:eastAsia="黑体" w:cs="宋体"/>
          <w:color w:val="000000"/>
          <w:spacing w:val="2"/>
          <w:sz w:val="28"/>
        </w:rPr>
        <w:t>招投标、</w:t>
      </w:r>
      <w:r>
        <w:rPr>
          <w:rFonts w:hint="eastAsia" w:ascii="黑体" w:hAnsi="黑体" w:eastAsia="黑体" w:cs="宋体"/>
          <w:color w:val="000000"/>
          <w:spacing w:val="2"/>
          <w:sz w:val="28"/>
        </w:rPr>
        <w:t>全过程</w:t>
      </w:r>
      <w:r>
        <w:rPr>
          <w:rFonts w:ascii="黑体" w:hAnsi="黑体" w:eastAsia="黑体" w:cs="宋体"/>
          <w:color w:val="000000"/>
          <w:spacing w:val="2"/>
          <w:sz w:val="28"/>
        </w:rPr>
        <w:t>造价</w:t>
      </w:r>
      <w:r>
        <w:rPr>
          <w:rFonts w:hint="eastAsia" w:ascii="黑体" w:hAnsi="黑体" w:eastAsia="黑体" w:cs="宋体"/>
          <w:color w:val="000000"/>
          <w:spacing w:val="2"/>
          <w:sz w:val="28"/>
        </w:rPr>
        <w:t>管理、合同</w:t>
      </w:r>
      <w:r>
        <w:rPr>
          <w:rFonts w:ascii="黑体" w:hAnsi="黑体" w:eastAsia="黑体" w:cs="宋体"/>
          <w:color w:val="000000"/>
          <w:spacing w:val="2"/>
          <w:sz w:val="28"/>
        </w:rPr>
        <w:t>实操要点</w:t>
      </w:r>
      <w:r>
        <w:rPr>
          <w:rFonts w:hint="eastAsia" w:ascii="黑体" w:hAnsi="黑体" w:eastAsia="黑体" w:cs="宋体"/>
          <w:color w:val="000000"/>
          <w:spacing w:val="2"/>
          <w:sz w:val="28"/>
        </w:rPr>
        <w:t>与典型案例解析</w:t>
      </w:r>
      <w:r>
        <w:rPr>
          <w:rFonts w:ascii="黑体" w:hAnsi="黑体" w:eastAsia="黑体" w:cs="宋体"/>
          <w:color w:val="000000"/>
          <w:spacing w:val="2"/>
          <w:sz w:val="28"/>
        </w:rPr>
        <w:t>培训班的通知</w:t>
      </w:r>
    </w:p>
    <w:p>
      <w:pPr>
        <w:spacing w:line="400" w:lineRule="exact"/>
        <w:ind w:right="84" w:rightChars="38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各同业单位：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2017年2月国务院办公厅下发的《关于促进建筑业持续健康发展的意见》，明确提出要加快推行工程总承包。随后，住建部对《建设项目工程总承包管理规范》进行了重新修订，于2018年1月开始执行。为进一步规范和推进工程总承包模式的发展，住房和城乡建设部、发改委联合发布了《房屋建筑和市政基础设施项目工程总承包管理办法》（建市[</w:t>
      </w:r>
      <w:r>
        <w:rPr>
          <w:rFonts w:ascii="仿宋" w:hAnsi="仿宋" w:eastAsia="Times New Roman" w:cs="仿宋"/>
          <w:color w:val="000000"/>
          <w:spacing w:val="2"/>
          <w:sz w:val="28"/>
        </w:rPr>
        <w:t>2019]12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号），并于2020年3月开始执行，同时，重新修订了《建设项目工程总承包合同示范文本》（GF-2020-0216），于2021年1月开始执行。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在工程承包模式革新与企业转型发展的关键时期，为帮助相关企业及从业人员深入理解</w:t>
      </w:r>
      <w:r>
        <w:rPr>
          <w:rFonts w:ascii="仿宋" w:hAnsi="仿宋" w:eastAsia="Times New Roman" w:cs="仿宋"/>
          <w:color w:val="000000"/>
          <w:spacing w:val="2"/>
          <w:sz w:val="28"/>
        </w:rPr>
        <w:t>EPC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项目招投标、全过程造价管理实操要点，发挥本单位行业主流对口领域趋势把握准、专家资源多、研究深度足等优势，我司决定举办本培训班。</w:t>
      </w:r>
    </w:p>
    <w:p>
      <w:pPr>
        <w:spacing w:line="400" w:lineRule="exact"/>
        <w:ind w:right="84" w:rightChars="38"/>
        <w:jc w:val="both"/>
        <w:rPr>
          <w:rFonts w:ascii="仿宋" w:hAnsi="仿宋" w:eastAsia="Times New Roman" w:cs="仿宋"/>
          <w:b/>
          <w:bCs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b/>
          <w:bCs/>
          <w:color w:val="000000"/>
          <w:spacing w:val="2"/>
          <w:sz w:val="28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pacing w:val="2"/>
          <w:sz w:val="28"/>
        </w:rPr>
        <w:t>主办单位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北京建术信息科技研究院有限公司</w:t>
      </w:r>
    </w:p>
    <w:p>
      <w:pPr>
        <w:spacing w:line="400" w:lineRule="exact"/>
        <w:ind w:right="84" w:rightChars="38"/>
        <w:jc w:val="both"/>
        <w:rPr>
          <w:rFonts w:ascii="宋体" w:hAnsi="宋体" w:eastAsia="宋体" w:cs="宋体"/>
          <w:b/>
          <w:bCs/>
          <w:color w:val="000000"/>
          <w:spacing w:val="2"/>
          <w:sz w:val="28"/>
        </w:rPr>
      </w:pPr>
      <w:r>
        <w:rPr>
          <w:rFonts w:hint="eastAsia" w:ascii="宋体" w:hAnsi="宋体" w:eastAsia="宋体" w:cs="宋体"/>
          <w:b/>
          <w:bCs/>
          <w:color w:val="000000"/>
          <w:spacing w:val="2"/>
          <w:sz w:val="28"/>
        </w:rPr>
        <w:t>二、培训对象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建设单位、施工企业、工程咨询企业董事长、总经理、总工程师及招标投标、造价管理、项目管理、法律合同等相关专业人员；高等院校从事基建管理、工程管理、工程财务、工程审计的相关工作、教学和科研人员。</w:t>
      </w:r>
    </w:p>
    <w:p>
      <w:pPr>
        <w:spacing w:line="400" w:lineRule="exact"/>
        <w:ind w:right="84" w:rightChars="38"/>
        <w:jc w:val="both"/>
        <w:rPr>
          <w:rFonts w:ascii="宋体" w:hAnsi="宋体" w:eastAsia="宋体" w:cs="宋体"/>
          <w:b/>
          <w:bCs/>
          <w:color w:val="000000"/>
          <w:spacing w:val="2"/>
          <w:sz w:val="28"/>
        </w:rPr>
      </w:pPr>
      <w:r>
        <w:rPr>
          <w:rFonts w:hint="eastAsia" w:ascii="宋体" w:hAnsi="宋体" w:eastAsia="宋体" w:cs="宋体"/>
          <w:b/>
          <w:bCs/>
          <w:color w:val="000000"/>
          <w:spacing w:val="2"/>
          <w:sz w:val="28"/>
        </w:rPr>
        <w:t>三、主要内容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b/>
          <w:bCs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b/>
          <w:bCs/>
          <w:color w:val="000000"/>
          <w:spacing w:val="2"/>
          <w:sz w:val="28"/>
        </w:rPr>
        <w:t>（一）</w:t>
      </w:r>
      <w:r>
        <w:rPr>
          <w:rFonts w:ascii="仿宋" w:hAnsi="仿宋" w:eastAsia="Times New Roman" w:cs="仿宋"/>
          <w:b/>
          <w:bCs/>
          <w:color w:val="000000"/>
          <w:spacing w:val="2"/>
          <w:sz w:val="28"/>
        </w:rPr>
        <w:t>EPC工程总承包</w:t>
      </w:r>
      <w:r>
        <w:rPr>
          <w:rFonts w:hint="eastAsia" w:ascii="仿宋" w:hAnsi="仿宋" w:eastAsia="Times New Roman" w:cs="仿宋"/>
          <w:b/>
          <w:bCs/>
          <w:color w:val="000000"/>
          <w:spacing w:val="2"/>
          <w:sz w:val="28"/>
        </w:rPr>
        <w:t>模式</w:t>
      </w:r>
      <w:r>
        <w:rPr>
          <w:rFonts w:ascii="仿宋" w:hAnsi="仿宋" w:eastAsia="Times New Roman" w:cs="仿宋"/>
          <w:b/>
          <w:bCs/>
          <w:color w:val="000000"/>
          <w:spacing w:val="2"/>
          <w:sz w:val="28"/>
        </w:rPr>
        <w:t>政策规定与实践分析、案例分享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1.工程总承包的核心优势所在。从行业发展、业主、承包商角度，对其特点进行分析；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2.什么样的项目适合采用工程总承包模式；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3.政府投资项目和非政府投资项目发包阶段和条件；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4.工程总承包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项目</w:t>
      </w:r>
      <w:r>
        <w:rPr>
          <w:rFonts w:ascii="仿宋" w:hAnsi="仿宋" w:eastAsia="Times New Roman" w:cs="仿宋"/>
          <w:color w:val="000000"/>
          <w:spacing w:val="2"/>
          <w:sz w:val="28"/>
        </w:rPr>
        <w:t>发包方式；招标方式、直接委托方式的适用条件；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5.招标文件的主要内容分析，与施工承包招标文件的对比分析；《发包人要求》与合同的关系，《发包人要求》与变更；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6.招标清单的应用，工程总承包招标清单编制规定、关注要点及案例分析，与施工总承包工程量清单的对比分析；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7.工程总承包投标人的资质要求、联合体、禁止投标单位；资质类型；专项设计/分包资质是否可以承接工程总承包项目及其政策依据；采用联合体模式需要关注的要点，联合体协议书、连带责任、设计责任、建设责任、激励机制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8.工程总承包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模式</w:t>
      </w:r>
      <w:r>
        <w:rPr>
          <w:rFonts w:ascii="仿宋" w:hAnsi="仿宋" w:eastAsia="Times New Roman" w:cs="仿宋"/>
          <w:color w:val="000000"/>
          <w:spacing w:val="2"/>
          <w:sz w:val="28"/>
        </w:rPr>
        <w:t>下风险分担的原则；从政策层面和合同角度分析，哪些是发包人的风险，哪些是承包人的风险；从承包商的角度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分析</w:t>
      </w:r>
      <w:r>
        <w:rPr>
          <w:rFonts w:ascii="仿宋" w:hAnsi="仿宋" w:eastAsia="Times New Roman" w:cs="仿宋"/>
          <w:color w:val="000000"/>
          <w:spacing w:val="2"/>
          <w:sz w:val="28"/>
        </w:rPr>
        <w:t>，投标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阶段</w:t>
      </w:r>
      <w:r>
        <w:rPr>
          <w:rFonts w:ascii="仿宋" w:hAnsi="仿宋" w:eastAsia="Times New Roman" w:cs="仿宋"/>
          <w:color w:val="000000"/>
          <w:spacing w:val="2"/>
          <w:sz w:val="28"/>
        </w:rPr>
        <w:t>和合同签订阶段如何规避风险；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 xml:space="preserve">9.工程总承包合同计价方式分析；国际工程总承包合同计价模式；国内工程总承包合同计价模式的政策规定（国家、地方），现实中的计价模式；对总价合同、费率合同、单价合同的适用性分析；总价合同与审计； 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10.工程总承包合同调价方式。信息价调价与权重法调价，适用的合同形式、合同文件约定、招标文件规定；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11.评标办法、投标时间、评委组成及人数等规定；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12.工程总承包项目的分包方式合规性分析。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b/>
          <w:bCs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b/>
          <w:bCs/>
          <w:color w:val="000000"/>
          <w:spacing w:val="2"/>
          <w:sz w:val="28"/>
        </w:rPr>
        <w:t>（二）工程建设项目招投标法律法规规定及案例分析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结合《招标投标法》及相关政策、《政府采购法》及相关政策、《机电产品国际招标投标实施办法（试行）》等，对工程建设项目涉及的招标采购规定予以归纳总结。具体包括：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1.必须招标的项目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类型、范围、规模标准；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2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.</w:t>
      </w:r>
      <w:r>
        <w:rPr>
          <w:rFonts w:ascii="仿宋" w:hAnsi="仿宋" w:eastAsia="Times New Roman" w:cs="仿宋"/>
          <w:color w:val="000000"/>
          <w:spacing w:val="2"/>
          <w:sz w:val="28"/>
        </w:rPr>
        <w:t>可以不招标的情形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3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.哪些情形下</w:t>
      </w:r>
      <w:r>
        <w:rPr>
          <w:rFonts w:ascii="仿宋" w:hAnsi="仿宋" w:eastAsia="Times New Roman" w:cs="仿宋"/>
          <w:color w:val="000000"/>
          <w:spacing w:val="2"/>
          <w:sz w:val="28"/>
        </w:rPr>
        <w:t>可以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采取</w:t>
      </w:r>
      <w:r>
        <w:rPr>
          <w:rFonts w:ascii="仿宋" w:hAnsi="仿宋" w:eastAsia="Times New Roman" w:cs="仿宋"/>
          <w:color w:val="000000"/>
          <w:spacing w:val="2"/>
          <w:sz w:val="28"/>
        </w:rPr>
        <w:t>邀请招标的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方式进行采购；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4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.在《招标投标法》体系下，</w:t>
      </w:r>
      <w:r>
        <w:rPr>
          <w:rFonts w:ascii="仿宋" w:hAnsi="仿宋" w:eastAsia="Times New Roman" w:cs="仿宋"/>
          <w:color w:val="000000"/>
          <w:spacing w:val="2"/>
          <w:sz w:val="28"/>
        </w:rPr>
        <w:t>自愿招标项目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与</w:t>
      </w:r>
      <w:r>
        <w:rPr>
          <w:rFonts w:ascii="仿宋" w:hAnsi="仿宋" w:eastAsia="Times New Roman" w:cs="仿宋"/>
          <w:color w:val="000000"/>
          <w:spacing w:val="2"/>
          <w:sz w:val="28"/>
        </w:rPr>
        <w:t>依法必招项目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存在哪些不同；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5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.</w:t>
      </w:r>
      <w:r>
        <w:rPr>
          <w:rFonts w:ascii="仿宋" w:hAnsi="仿宋" w:eastAsia="Times New Roman" w:cs="仿宋"/>
          <w:color w:val="000000"/>
          <w:spacing w:val="2"/>
          <w:sz w:val="28"/>
        </w:rPr>
        <w:t>国务院办公厅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工程项目招投标领域营商环境专项整治工作方案；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6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.结合住房和城乡建设部关于印发《建筑工程施工发包与承包违法行为认定查处管理办法》的通知（建市规〔</w:t>
      </w:r>
      <w:r>
        <w:rPr>
          <w:rFonts w:ascii="仿宋" w:hAnsi="仿宋" w:eastAsia="Times New Roman" w:cs="仿宋"/>
          <w:color w:val="000000"/>
          <w:spacing w:val="2"/>
          <w:sz w:val="28"/>
        </w:rPr>
        <w:t>2019〕1号）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，对四种违法行为的认定；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7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.一些</w:t>
      </w:r>
      <w:r>
        <w:rPr>
          <w:rFonts w:ascii="仿宋" w:hAnsi="仿宋" w:eastAsia="Times New Roman" w:cs="仿宋"/>
          <w:color w:val="000000"/>
          <w:spacing w:val="2"/>
          <w:sz w:val="28"/>
        </w:rPr>
        <w:t>常见招投标问题分析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8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.</w:t>
      </w:r>
      <w:r>
        <w:rPr>
          <w:rFonts w:ascii="仿宋" w:hAnsi="仿宋" w:eastAsia="Times New Roman" w:cs="仿宋"/>
          <w:color w:val="000000"/>
          <w:spacing w:val="2"/>
          <w:sz w:val="28"/>
        </w:rPr>
        <w:t>国家发展改革委集中解答招投标疑难问题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9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.工程建设项目验收发现的招投标问题及案例分析。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b/>
          <w:bCs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b/>
          <w:bCs/>
          <w:color w:val="000000"/>
          <w:spacing w:val="2"/>
          <w:sz w:val="28"/>
        </w:rPr>
        <w:t>（三）</w:t>
      </w:r>
      <w:r>
        <w:rPr>
          <w:rFonts w:ascii="仿宋" w:hAnsi="仿宋" w:eastAsia="Times New Roman" w:cs="仿宋"/>
          <w:b/>
          <w:bCs/>
          <w:color w:val="000000"/>
          <w:spacing w:val="2"/>
          <w:sz w:val="28"/>
        </w:rPr>
        <w:t>EPC 项目全过程造价管理与控制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1.EPC 项目全过程造价管控思路及架构；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2.EPC 项目成本控制总目标、分目标的制定及要点；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3.以“限额设计”为手段的设计阶段造价控制流程、控制方法与控制要点；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4.分包策划方案编制方法、合同计价方式选择及招标文件编制要点；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5.工程量清单编制要点与案例分析；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6.招标控制价编制要点与案例分析；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7.常见的投标报价问题、清标报告及清标发现问题的处理方案；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8.分包合同签订中的风险分担方式、关注重点及案例分析；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9.分包合同中安全文明施工费的处理原则及案例分析；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10.施工阶段“双向”变更洽商管理方法、流程及关注要点；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11.建设阶段施工方案对成本控制的影响分析及控制要点；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12.集中采购实施方案要点；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13.项目实施阶段的动态成本控制模型与应用要点；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14.EPC项目全过程造价管理与控制的信息化手段与实现；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ascii="仿宋" w:hAnsi="仿宋" w:eastAsia="Times New Roman" w:cs="仿宋"/>
          <w:color w:val="000000"/>
          <w:spacing w:val="2"/>
          <w:sz w:val="28"/>
        </w:rPr>
        <w:t>15.全过程造价管理与控制典型案例解析。</w:t>
      </w:r>
    </w:p>
    <w:p>
      <w:pPr>
        <w:spacing w:line="400" w:lineRule="exact"/>
        <w:ind w:right="84" w:rightChars="38"/>
        <w:jc w:val="both"/>
        <w:rPr>
          <w:rFonts w:ascii="宋体" w:hAnsi="宋体" w:eastAsia="宋体" w:cs="宋体"/>
          <w:b/>
          <w:bCs/>
          <w:color w:val="000000"/>
          <w:spacing w:val="2"/>
          <w:sz w:val="28"/>
        </w:rPr>
      </w:pPr>
      <w:r>
        <w:rPr>
          <w:rFonts w:hint="eastAsia" w:ascii="宋体" w:hAnsi="宋体" w:eastAsia="宋体" w:cs="宋体"/>
          <w:b/>
          <w:bCs/>
          <w:color w:val="000000"/>
          <w:spacing w:val="2"/>
          <w:sz w:val="28"/>
        </w:rPr>
        <w:t>四、地点时间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202</w:t>
      </w:r>
      <w:r>
        <w:rPr>
          <w:rFonts w:ascii="仿宋" w:hAnsi="仿宋" w:eastAsia="Times New Roman" w:cs="仿宋"/>
          <w:color w:val="000000"/>
          <w:spacing w:val="2"/>
          <w:sz w:val="28"/>
        </w:rPr>
        <w:t>3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年</w:t>
      </w:r>
      <w:r>
        <w:rPr>
          <w:rFonts w:ascii="仿宋" w:hAnsi="仿宋" w:eastAsia="Times New Roman" w:cs="仿宋"/>
          <w:color w:val="000000"/>
          <w:spacing w:val="2"/>
          <w:sz w:val="28"/>
        </w:rPr>
        <w:t>4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月</w:t>
      </w:r>
      <w:r>
        <w:rPr>
          <w:rFonts w:ascii="仿宋" w:hAnsi="仿宋" w:eastAsia="Times New Roman" w:cs="仿宋"/>
          <w:color w:val="000000"/>
          <w:spacing w:val="2"/>
          <w:sz w:val="28"/>
        </w:rPr>
        <w:t>2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1</w:t>
      </w:r>
      <w:r>
        <w:rPr>
          <w:rFonts w:ascii="仿宋" w:hAnsi="仿宋" w:eastAsia="Times New Roman" w:cs="仿宋"/>
          <w:color w:val="000000"/>
          <w:spacing w:val="2"/>
          <w:sz w:val="28"/>
        </w:rPr>
        <w:t>-2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3日（</w:t>
      </w:r>
      <w:r>
        <w:rPr>
          <w:rFonts w:ascii="仿宋" w:hAnsi="仿宋" w:eastAsia="Times New Roman" w:cs="仿宋"/>
          <w:color w:val="000000"/>
          <w:spacing w:val="2"/>
          <w:sz w:val="28"/>
        </w:rPr>
        <w:t>2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1日全天报到）</w:t>
      </w:r>
      <w:r>
        <w:rPr>
          <w:rFonts w:ascii="仿宋" w:hAnsi="仿宋" w:eastAsia="Times New Roman" w:cs="仿宋"/>
          <w:color w:val="000000"/>
          <w:spacing w:val="2"/>
          <w:sz w:val="28"/>
        </w:rPr>
        <w:t xml:space="preserve">   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太原</w:t>
      </w:r>
    </w:p>
    <w:p>
      <w:pPr>
        <w:spacing w:line="400" w:lineRule="exact"/>
        <w:ind w:right="84" w:rightChars="38" w:firstLine="568" w:firstLineChars="200"/>
        <w:jc w:val="both"/>
        <w:rPr>
          <w:rFonts w:hint="eastAsia"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2</w:t>
      </w:r>
      <w:r>
        <w:rPr>
          <w:rFonts w:ascii="仿宋" w:hAnsi="仿宋" w:eastAsia="Times New Roman" w:cs="仿宋"/>
          <w:color w:val="000000"/>
          <w:spacing w:val="2"/>
          <w:sz w:val="28"/>
        </w:rPr>
        <w:t>023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年5月1</w:t>
      </w:r>
      <w:r>
        <w:rPr>
          <w:rFonts w:ascii="仿宋" w:hAnsi="仿宋" w:eastAsia="Times New Roman" w:cs="仿宋"/>
          <w:color w:val="000000"/>
          <w:spacing w:val="2"/>
          <w:sz w:val="28"/>
        </w:rPr>
        <w:t>9-21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日（1</w:t>
      </w:r>
      <w:r>
        <w:rPr>
          <w:rFonts w:ascii="仿宋" w:hAnsi="仿宋" w:eastAsia="Times New Roman" w:cs="仿宋"/>
          <w:color w:val="000000"/>
          <w:spacing w:val="2"/>
          <w:sz w:val="28"/>
        </w:rPr>
        <w:t>9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 xml:space="preserve">日全天报到） </w:t>
      </w:r>
      <w:r>
        <w:rPr>
          <w:rFonts w:ascii="仿宋" w:hAnsi="仿宋" w:eastAsia="Times New Roman" w:cs="仿宋"/>
          <w:color w:val="000000"/>
          <w:spacing w:val="2"/>
          <w:sz w:val="28"/>
        </w:rPr>
        <w:t xml:space="preserve">  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贵阳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具体地点于开班前一周通知</w:t>
      </w:r>
    </w:p>
    <w:p>
      <w:pPr>
        <w:spacing w:line="400" w:lineRule="exact"/>
        <w:ind w:right="84" w:rightChars="38"/>
        <w:jc w:val="both"/>
        <w:rPr>
          <w:rFonts w:ascii="宋体" w:hAnsi="宋体" w:eastAsia="宋体" w:cs="宋体"/>
          <w:b/>
          <w:bCs/>
          <w:color w:val="000000"/>
          <w:spacing w:val="2"/>
          <w:sz w:val="28"/>
        </w:rPr>
      </w:pPr>
      <w:r>
        <w:rPr>
          <w:rFonts w:hint="eastAsia" w:ascii="宋体" w:hAnsi="宋体" w:eastAsia="宋体" w:cs="宋体"/>
          <w:b/>
          <w:bCs/>
          <w:color w:val="000000"/>
          <w:spacing w:val="2"/>
          <w:sz w:val="28"/>
        </w:rPr>
        <w:t>五、相关费用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A.3280元/人（含培训费、资料费、电子课件、场地、会议期间午餐），住宿统一安排，费用自理。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B.5680元/人（含全过程工程咨询师(高级、中级)证书及网上学习3天专业课程、资料费、电子课件、会议期间午餐），住宿统一安排，费用自理。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C</w:t>
      </w:r>
      <w:r>
        <w:rPr>
          <w:rFonts w:ascii="仿宋" w:hAnsi="仿宋" w:cs="仿宋"/>
          <w:color w:val="000000"/>
          <w:spacing w:val="2"/>
          <w:sz w:val="28"/>
        </w:rPr>
        <w:t>.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4800元/人网上学习（全过程工程咨询师(高级、中级)）3天课程。</w:t>
      </w:r>
    </w:p>
    <w:p>
      <w:pPr>
        <w:spacing w:line="400" w:lineRule="exact"/>
        <w:ind w:right="84" w:rightChars="38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备注：申报证书需提供报名表一份、2寸照电子照片（蓝底免冠彩照）、身份证复印件一份、学历证书复印件一份，在职单位证明（原件）一份，审核通过后出准考证，每个月最后一个周末为网上考试时间。</w:t>
      </w:r>
    </w:p>
    <w:p>
      <w:pPr>
        <w:spacing w:line="400" w:lineRule="exact"/>
        <w:ind w:right="84" w:rightChars="38"/>
        <w:jc w:val="both"/>
        <w:rPr>
          <w:rFonts w:ascii="仿宋" w:hAnsi="仿宋" w:eastAsia="Times New Roman" w:cs="仿宋"/>
          <w:b/>
          <w:bCs/>
          <w:color w:val="000000"/>
          <w:spacing w:val="2"/>
          <w:sz w:val="28"/>
          <w:lang w:eastAsia="en-US"/>
        </w:rPr>
      </w:pPr>
      <w:r>
        <w:rPr>
          <w:rFonts w:hint="eastAsia" w:ascii="仿宋" w:hAnsi="仿宋" w:eastAsia="Times New Roman" w:cs="仿宋"/>
          <w:b/>
          <w:bCs/>
          <w:color w:val="000000"/>
          <w:spacing w:val="2"/>
          <w:sz w:val="28"/>
          <w:lang w:eastAsia="en-US"/>
        </w:rPr>
        <w:t>颁证机构：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  <w:lang w:eastAsia="en-US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  <w:lang w:eastAsia="en-US"/>
        </w:rPr>
        <w:t>国家职业资格培训鉴定实验基地（http://www.nptb.org/）是人力资源和社会保障部在天津建立的综合性职业标准开发机构，主要承担国家新职业标准研发和推广任务，开展培训鉴定实验项目和课题研究，进行新职业教材和课程设计，建立新职业考核标准、考试题库。</w:t>
      </w:r>
    </w:p>
    <w:p>
      <w:pPr>
        <w:spacing w:line="400" w:lineRule="exact"/>
        <w:ind w:right="84" w:rightChars="38"/>
        <w:jc w:val="both"/>
        <w:rPr>
          <w:rFonts w:ascii="宋体" w:hAnsi="宋体" w:eastAsia="宋体" w:cs="宋体"/>
          <w:b/>
          <w:bCs/>
          <w:color w:val="000000"/>
          <w:spacing w:val="2"/>
          <w:sz w:val="28"/>
        </w:rPr>
      </w:pPr>
      <w:r>
        <w:rPr>
          <w:rFonts w:hint="eastAsia" w:ascii="宋体" w:hAnsi="宋体" w:eastAsia="宋体" w:cs="宋体"/>
          <w:b/>
          <w:bCs/>
          <w:color w:val="000000"/>
          <w:spacing w:val="2"/>
          <w:sz w:val="28"/>
        </w:rPr>
        <w:t>六、联系方式</w:t>
      </w:r>
    </w:p>
    <w:p>
      <w:pPr>
        <w:spacing w:line="400" w:lineRule="exact"/>
        <w:ind w:right="84" w:rightChars="38" w:firstLine="568" w:firstLineChars="200"/>
        <w:jc w:val="both"/>
        <w:rPr>
          <w:rFonts w:hint="eastAsia"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 xml:space="preserve">报名负责人：聂红军 主任18211071700（微信）   </w:t>
      </w:r>
    </w:p>
    <w:p>
      <w:pPr>
        <w:spacing w:line="400" w:lineRule="exact"/>
        <w:ind w:right="84" w:rightChars="38" w:firstLine="568" w:firstLineChars="200"/>
        <w:jc w:val="both"/>
        <w:rPr>
          <w:rFonts w:hint="eastAsia"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 xml:space="preserve">电  话：010-87697580     邮    箱：zqgphwz@126.com  </w:t>
      </w:r>
    </w:p>
    <w:p>
      <w:pPr>
        <w:spacing w:line="400" w:lineRule="exact"/>
        <w:ind w:right="84" w:rightChars="38" w:firstLine="568" w:firstLineChars="200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qq咨询：3177524020 网址查询：http://www.zqgpchina.cn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104775</wp:posOffset>
            </wp:positionV>
            <wp:extent cx="2679700" cy="1905000"/>
            <wp:effectExtent l="0" t="0" r="6350" b="0"/>
            <wp:wrapNone/>
            <wp:docPr id="3" name="图片 3" descr="建术公章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建术公章1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right="84" w:rightChars="38"/>
        <w:jc w:val="both"/>
        <w:rPr>
          <w:rFonts w:ascii="仿宋" w:hAnsi="仿宋" w:eastAsia="Times New Roman" w:cs="仿宋"/>
          <w:color w:val="000000"/>
          <w:spacing w:val="2"/>
          <w:sz w:val="28"/>
        </w:rPr>
      </w:pPr>
    </w:p>
    <w:p>
      <w:pPr>
        <w:ind w:right="84" w:rightChars="38"/>
        <w:jc w:val="right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北京建术信息科技研究院有限公司</w:t>
      </w:r>
    </w:p>
    <w:p>
      <w:pPr>
        <w:ind w:right="84" w:rightChars="38"/>
        <w:jc w:val="right"/>
        <w:rPr>
          <w:rFonts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202</w:t>
      </w:r>
      <w:r>
        <w:rPr>
          <w:rFonts w:ascii="仿宋" w:hAnsi="仿宋" w:eastAsia="Times New Roman" w:cs="仿宋"/>
          <w:color w:val="000000"/>
          <w:spacing w:val="2"/>
          <w:sz w:val="28"/>
        </w:rPr>
        <w:t>3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年</w:t>
      </w:r>
      <w:r>
        <w:rPr>
          <w:rFonts w:ascii="仿宋" w:hAnsi="仿宋" w:eastAsia="Times New Roman" w:cs="仿宋"/>
          <w:color w:val="000000"/>
          <w:spacing w:val="2"/>
          <w:sz w:val="28"/>
        </w:rPr>
        <w:t>3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月</w:t>
      </w:r>
      <w:r>
        <w:rPr>
          <w:rFonts w:ascii="仿宋" w:hAnsi="仿宋" w:eastAsia="Times New Roman" w:cs="仿宋"/>
          <w:color w:val="000000"/>
          <w:spacing w:val="2"/>
          <w:sz w:val="28"/>
        </w:rPr>
        <w:t>12</w:t>
      </w:r>
      <w:r>
        <w:rPr>
          <w:rFonts w:hint="eastAsia" w:ascii="仿宋" w:hAnsi="仿宋" w:eastAsia="Times New Roman" w:cs="仿宋"/>
          <w:color w:val="000000"/>
          <w:spacing w:val="2"/>
          <w:sz w:val="28"/>
        </w:rPr>
        <w:t>日</w:t>
      </w:r>
    </w:p>
    <w:p>
      <w:pPr>
        <w:spacing w:line="400" w:lineRule="exact"/>
        <w:ind w:right="84" w:rightChars="38"/>
        <w:jc w:val="both"/>
        <w:rPr>
          <w:rFonts w:ascii="仿宋" w:hAnsi="仿宋" w:eastAsia="Times New Roman" w:cs="仿宋"/>
          <w:b/>
          <w:spacing w:val="2"/>
        </w:rPr>
      </w:pPr>
    </w:p>
    <w:p>
      <w:pPr>
        <w:spacing w:line="400" w:lineRule="exact"/>
        <w:ind w:right="84" w:rightChars="38"/>
        <w:jc w:val="both"/>
        <w:rPr>
          <w:rFonts w:ascii="仿宋" w:hAnsi="仿宋" w:eastAsia="Times New Roman" w:cs="仿宋"/>
          <w:b/>
          <w:spacing w:val="2"/>
        </w:rPr>
      </w:pPr>
    </w:p>
    <w:p>
      <w:pPr>
        <w:spacing w:line="400" w:lineRule="exact"/>
        <w:ind w:right="84" w:rightChars="38"/>
        <w:jc w:val="both"/>
        <w:rPr>
          <w:rFonts w:ascii="仿宋" w:hAnsi="仿宋" w:eastAsia="Times New Roman" w:cs="仿宋"/>
          <w:b/>
          <w:spacing w:val="2"/>
        </w:rPr>
      </w:pPr>
    </w:p>
    <w:p>
      <w:pPr>
        <w:spacing w:line="400" w:lineRule="exact"/>
        <w:ind w:right="84" w:rightChars="38"/>
        <w:jc w:val="both"/>
        <w:rPr>
          <w:rFonts w:ascii="仿宋" w:hAnsi="仿宋" w:eastAsia="Times New Roman" w:cs="仿宋"/>
          <w:b/>
          <w:spacing w:val="2"/>
        </w:rPr>
      </w:pPr>
    </w:p>
    <w:p>
      <w:pPr>
        <w:spacing w:line="400" w:lineRule="exact"/>
        <w:ind w:right="84" w:rightChars="38"/>
        <w:jc w:val="both"/>
        <w:rPr>
          <w:rFonts w:ascii="仿宋" w:hAnsi="仿宋" w:eastAsia="Times New Roman" w:cs="仿宋"/>
          <w:b/>
          <w:spacing w:val="2"/>
        </w:rPr>
      </w:pPr>
    </w:p>
    <w:p>
      <w:pPr>
        <w:spacing w:line="400" w:lineRule="exact"/>
        <w:ind w:right="84" w:rightChars="38"/>
        <w:jc w:val="both"/>
        <w:rPr>
          <w:rFonts w:ascii="仿宋" w:hAnsi="仿宋" w:eastAsia="Times New Roman" w:cs="仿宋"/>
          <w:b/>
          <w:spacing w:val="2"/>
        </w:rPr>
      </w:pPr>
    </w:p>
    <w:p>
      <w:pPr>
        <w:spacing w:line="400" w:lineRule="exact"/>
        <w:ind w:right="84" w:rightChars="38"/>
        <w:jc w:val="both"/>
        <w:rPr>
          <w:rFonts w:ascii="仿宋" w:hAnsi="仿宋" w:eastAsia="Times New Roman" w:cs="仿宋"/>
          <w:b/>
          <w:spacing w:val="2"/>
        </w:rPr>
      </w:pPr>
    </w:p>
    <w:p>
      <w:pPr>
        <w:spacing w:line="400" w:lineRule="exact"/>
        <w:ind w:right="84" w:rightChars="38"/>
        <w:jc w:val="both"/>
        <w:rPr>
          <w:rFonts w:ascii="仿宋" w:hAnsi="仿宋" w:eastAsia="Times New Roman" w:cs="仿宋"/>
          <w:b/>
          <w:spacing w:val="2"/>
        </w:rPr>
      </w:pPr>
    </w:p>
    <w:p>
      <w:pPr>
        <w:spacing w:line="400" w:lineRule="exact"/>
        <w:ind w:right="84" w:rightChars="38"/>
        <w:jc w:val="both"/>
        <w:rPr>
          <w:rStyle w:val="8"/>
          <w:rFonts w:ascii="黑体" w:hAnsi="黑体" w:eastAsia="黑体" w:cs="宋体"/>
          <w:color w:val="000000"/>
          <w:sz w:val="28"/>
          <w:szCs w:val="28"/>
        </w:rPr>
      </w:pPr>
    </w:p>
    <w:p>
      <w:pPr>
        <w:spacing w:line="400" w:lineRule="exact"/>
        <w:ind w:right="84" w:rightChars="38"/>
        <w:jc w:val="both"/>
        <w:rPr>
          <w:rStyle w:val="8"/>
          <w:rFonts w:ascii="黑体" w:hAnsi="黑体" w:eastAsia="黑体" w:cs="宋体"/>
          <w:color w:val="000000"/>
          <w:sz w:val="28"/>
          <w:szCs w:val="28"/>
        </w:rPr>
      </w:pPr>
    </w:p>
    <w:p>
      <w:pPr>
        <w:spacing w:line="400" w:lineRule="exact"/>
        <w:ind w:right="84" w:rightChars="38"/>
        <w:jc w:val="both"/>
        <w:rPr>
          <w:rStyle w:val="8"/>
          <w:rFonts w:ascii="黑体" w:hAnsi="黑体" w:eastAsia="黑体" w:cs="宋体"/>
          <w:color w:val="000000"/>
          <w:sz w:val="28"/>
          <w:szCs w:val="28"/>
        </w:rPr>
      </w:pPr>
    </w:p>
    <w:p>
      <w:pPr>
        <w:spacing w:line="400" w:lineRule="exact"/>
        <w:ind w:right="84" w:rightChars="38"/>
        <w:jc w:val="both"/>
        <w:rPr>
          <w:rStyle w:val="8"/>
          <w:rFonts w:ascii="黑体" w:hAnsi="黑体" w:eastAsia="黑体" w:cs="宋体"/>
          <w:color w:val="000000"/>
          <w:sz w:val="28"/>
          <w:szCs w:val="28"/>
        </w:rPr>
      </w:pPr>
    </w:p>
    <w:p>
      <w:pPr>
        <w:spacing w:line="400" w:lineRule="exact"/>
        <w:ind w:right="84" w:rightChars="38"/>
        <w:jc w:val="both"/>
        <w:rPr>
          <w:rStyle w:val="8"/>
          <w:rFonts w:ascii="黑体" w:hAnsi="黑体" w:eastAsia="黑体" w:cs="宋体"/>
          <w:color w:val="000000"/>
          <w:sz w:val="28"/>
          <w:szCs w:val="28"/>
        </w:rPr>
      </w:pPr>
    </w:p>
    <w:p>
      <w:pPr>
        <w:spacing w:line="400" w:lineRule="exact"/>
        <w:ind w:right="84" w:rightChars="38"/>
        <w:jc w:val="both"/>
        <w:rPr>
          <w:rStyle w:val="8"/>
          <w:rFonts w:ascii="黑体" w:hAnsi="黑体" w:eastAsia="黑体" w:cs="宋体"/>
          <w:color w:val="000000"/>
          <w:sz w:val="28"/>
          <w:szCs w:val="28"/>
        </w:rPr>
      </w:pPr>
    </w:p>
    <w:p>
      <w:pPr>
        <w:spacing w:line="400" w:lineRule="exact"/>
        <w:ind w:right="84" w:rightChars="38"/>
        <w:jc w:val="both"/>
        <w:rPr>
          <w:rStyle w:val="8"/>
          <w:rFonts w:ascii="黑体" w:hAnsi="黑体" w:eastAsia="黑体" w:cs="宋体"/>
          <w:color w:val="000000"/>
          <w:sz w:val="28"/>
          <w:szCs w:val="28"/>
        </w:rPr>
      </w:pPr>
    </w:p>
    <w:p>
      <w:pPr>
        <w:spacing w:line="400" w:lineRule="exact"/>
        <w:ind w:right="84" w:rightChars="38"/>
        <w:jc w:val="both"/>
        <w:rPr>
          <w:rStyle w:val="8"/>
          <w:rFonts w:ascii="黑体" w:hAnsi="黑体" w:eastAsia="黑体" w:cs="宋体"/>
          <w:color w:val="000000"/>
          <w:sz w:val="28"/>
          <w:szCs w:val="28"/>
        </w:rPr>
      </w:pPr>
    </w:p>
    <w:p>
      <w:pPr>
        <w:spacing w:line="400" w:lineRule="exact"/>
        <w:ind w:right="84" w:rightChars="38"/>
        <w:jc w:val="both"/>
        <w:rPr>
          <w:rStyle w:val="8"/>
          <w:rFonts w:ascii="黑体" w:hAnsi="黑体" w:eastAsia="黑体" w:cs="宋体"/>
          <w:color w:val="000000"/>
          <w:sz w:val="28"/>
          <w:szCs w:val="28"/>
        </w:rPr>
      </w:pPr>
    </w:p>
    <w:p>
      <w:pPr>
        <w:spacing w:line="400" w:lineRule="exact"/>
        <w:ind w:right="84" w:rightChars="38"/>
        <w:jc w:val="both"/>
        <w:rPr>
          <w:rStyle w:val="8"/>
          <w:rFonts w:ascii="黑体" w:hAnsi="黑体" w:eastAsia="黑体" w:cs="宋体"/>
          <w:color w:val="000000"/>
          <w:sz w:val="28"/>
          <w:szCs w:val="28"/>
        </w:rPr>
      </w:pPr>
    </w:p>
    <w:p>
      <w:pPr>
        <w:spacing w:line="400" w:lineRule="exact"/>
        <w:ind w:right="84" w:rightChars="38"/>
        <w:jc w:val="both"/>
        <w:rPr>
          <w:rFonts w:ascii="黑体" w:hAnsi="黑体" w:eastAsia="黑体" w:cs="Arial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 w:cs="宋体"/>
          <w:color w:val="000000"/>
          <w:sz w:val="28"/>
          <w:szCs w:val="28"/>
        </w:rPr>
        <w:t>附件</w:t>
      </w:r>
      <w:r>
        <w:rPr>
          <w:rStyle w:val="8"/>
          <w:rFonts w:ascii="黑体" w:hAnsi="黑体" w:eastAsia="黑体" w:cs="宋体"/>
          <w:color w:val="000000"/>
          <w:sz w:val="28"/>
          <w:szCs w:val="28"/>
        </w:rPr>
        <w:t>2</w:t>
      </w:r>
      <w:r>
        <w:rPr>
          <w:rStyle w:val="8"/>
          <w:rFonts w:hint="eastAsia" w:ascii="黑体" w:hAnsi="黑体" w:eastAsia="黑体" w:cs="宋体"/>
          <w:color w:val="000000"/>
          <w:sz w:val="28"/>
          <w:szCs w:val="28"/>
        </w:rPr>
        <w:t>：</w:t>
      </w:r>
      <w:r>
        <w:rPr>
          <w:rStyle w:val="8"/>
          <w:rFonts w:ascii="黑体" w:hAnsi="黑体" w:eastAsia="黑体" w:cs="宋体"/>
          <w:color w:val="000000"/>
          <w:sz w:val="28"/>
          <w:szCs w:val="28"/>
        </w:rPr>
        <w:t xml:space="preserve">                   </w:t>
      </w:r>
      <w:r>
        <w:rPr>
          <w:rFonts w:hint="eastAsia" w:ascii="黑体" w:hAnsi="黑体" w:eastAsia="黑体" w:cs="Arial"/>
          <w:color w:val="000000"/>
          <w:sz w:val="32"/>
          <w:szCs w:val="32"/>
        </w:rPr>
        <w:t>报名回执表</w:t>
      </w:r>
    </w:p>
    <w:tbl>
      <w:tblPr>
        <w:tblStyle w:val="6"/>
        <w:tblpPr w:leftFromText="180" w:rightFromText="180" w:vertAnchor="text" w:horzAnchor="page" w:tblpXSpec="center" w:tblpY="187"/>
        <w:tblOverlap w:val="never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962"/>
        <w:gridCol w:w="1374"/>
        <w:gridCol w:w="1418"/>
        <w:gridCol w:w="802"/>
        <w:gridCol w:w="6"/>
        <w:gridCol w:w="1176"/>
        <w:gridCol w:w="498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单位名称</w:t>
            </w:r>
          </w:p>
        </w:tc>
        <w:tc>
          <w:tcPr>
            <w:tcW w:w="4562" w:type="dxa"/>
            <w:gridSpan w:val="5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邮编</w:t>
            </w:r>
          </w:p>
        </w:tc>
        <w:tc>
          <w:tcPr>
            <w:tcW w:w="1447" w:type="dxa"/>
            <w:gridSpan w:val="2"/>
            <w:noWrap/>
            <w:vAlign w:val="center"/>
          </w:tcPr>
          <w:p>
            <w:pPr>
              <w:spacing w:line="360" w:lineRule="exact"/>
              <w:ind w:left="149" w:right="84" w:rightChars="38" w:hanging="148" w:hangingChars="62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详细地址</w:t>
            </w:r>
          </w:p>
        </w:tc>
        <w:tc>
          <w:tcPr>
            <w:tcW w:w="7185" w:type="dxa"/>
            <w:gridSpan w:val="8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联系人</w:t>
            </w:r>
          </w:p>
        </w:tc>
        <w:tc>
          <w:tcPr>
            <w:tcW w:w="3754" w:type="dxa"/>
            <w:gridSpan w:val="3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>
            <w:pPr>
              <w:keepNext/>
              <w:spacing w:line="360" w:lineRule="exact"/>
              <w:ind w:right="84" w:rightChars="38"/>
              <w:jc w:val="both"/>
              <w:outlineLvl w:val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E-mail</w:t>
            </w:r>
          </w:p>
        </w:tc>
        <w:tc>
          <w:tcPr>
            <w:tcW w:w="1447" w:type="dxa"/>
            <w:gridSpan w:val="2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电话（区号）</w:t>
            </w:r>
          </w:p>
        </w:tc>
        <w:tc>
          <w:tcPr>
            <w:tcW w:w="3754" w:type="dxa"/>
            <w:gridSpan w:val="3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传真</w:t>
            </w:r>
          </w:p>
        </w:tc>
        <w:tc>
          <w:tcPr>
            <w:tcW w:w="1447" w:type="dxa"/>
            <w:gridSpan w:val="2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参班代表姓名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374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部门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职务</w:t>
            </w:r>
          </w:p>
        </w:tc>
        <w:tc>
          <w:tcPr>
            <w:tcW w:w="1984" w:type="dxa"/>
            <w:gridSpan w:val="3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手机</w:t>
            </w:r>
          </w:p>
        </w:tc>
        <w:tc>
          <w:tcPr>
            <w:tcW w:w="1447" w:type="dxa"/>
            <w:gridSpan w:val="2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62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47" w:type="dxa"/>
            <w:gridSpan w:val="2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62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47" w:type="dxa"/>
            <w:gridSpan w:val="2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62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47" w:type="dxa"/>
            <w:gridSpan w:val="2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62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47" w:type="dxa"/>
            <w:gridSpan w:val="2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62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47" w:type="dxa"/>
            <w:gridSpan w:val="2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62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47" w:type="dxa"/>
            <w:gridSpan w:val="2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62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47" w:type="dxa"/>
            <w:gridSpan w:val="2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</w:rPr>
              <w:t>住宿安排</w:t>
            </w:r>
          </w:p>
        </w:tc>
        <w:tc>
          <w:tcPr>
            <w:tcW w:w="7185" w:type="dxa"/>
            <w:gridSpan w:val="8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□单间     □标间   订房数量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间    □否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4"/>
              </w:rPr>
              <w:t>自行安排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参会地点</w:t>
            </w:r>
          </w:p>
        </w:tc>
        <w:tc>
          <w:tcPr>
            <w:tcW w:w="4556" w:type="dxa"/>
            <w:gridSpan w:val="4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太原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贵阳</w:t>
            </w:r>
          </w:p>
        </w:tc>
        <w:tc>
          <w:tcPr>
            <w:tcW w:w="1680" w:type="dxa"/>
            <w:gridSpan w:val="3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培训费用</w:t>
            </w:r>
          </w:p>
        </w:tc>
        <w:tc>
          <w:tcPr>
            <w:tcW w:w="949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付款方式</w:t>
            </w:r>
          </w:p>
        </w:tc>
        <w:tc>
          <w:tcPr>
            <w:tcW w:w="7185" w:type="dxa"/>
            <w:gridSpan w:val="8"/>
            <w:noWrap/>
            <w:vAlign w:val="center"/>
          </w:tcPr>
          <w:p>
            <w:pPr>
              <w:spacing w:line="360" w:lineRule="exact"/>
              <w:ind w:right="84" w:rightChars="38" w:firstLine="240" w:firstLineChars="100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□通过银行        □刷卡      □现金   □微信/支付宝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1741" w:type="dxa"/>
            <w:noWrap/>
            <w:vAlign w:val="center"/>
          </w:tcPr>
          <w:p>
            <w:pPr>
              <w:ind w:right="84" w:rightChars="38"/>
              <w:jc w:val="both"/>
              <w:rPr>
                <w:rFonts w:ascii="仿宋" w:hAnsi="仿宋" w:eastAsia="仿宋" w:cs="仿宋"/>
                <w:b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发票类别</w:t>
            </w:r>
          </w:p>
        </w:tc>
        <w:tc>
          <w:tcPr>
            <w:tcW w:w="7185" w:type="dxa"/>
            <w:gridSpan w:val="8"/>
            <w:noWrap/>
          </w:tcPr>
          <w:p>
            <w:pPr>
              <w:ind w:right="84" w:rightChars="38"/>
              <w:jc w:val="both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增值税（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普通□专用）发票,开票信息如下：</w:t>
            </w:r>
          </w:p>
          <w:p>
            <w:pPr>
              <w:ind w:right="84" w:rightChars="38"/>
              <w:jc w:val="both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 位 名 称：</w:t>
            </w:r>
          </w:p>
          <w:p>
            <w:pPr>
              <w:ind w:right="84" w:rightChars="38"/>
              <w:jc w:val="both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税       号：</w:t>
            </w:r>
          </w:p>
          <w:p>
            <w:pPr>
              <w:ind w:right="84" w:rightChars="38"/>
              <w:jc w:val="both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地址、 电话：</w:t>
            </w:r>
          </w:p>
          <w:p>
            <w:pPr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开户行、账号：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指定收款账户</w:t>
            </w:r>
          </w:p>
        </w:tc>
        <w:tc>
          <w:tcPr>
            <w:tcW w:w="7185" w:type="dxa"/>
            <w:gridSpan w:val="8"/>
            <w:noWrap/>
            <w:vAlign w:val="center"/>
          </w:tcPr>
          <w:p>
            <w:pPr>
              <w:spacing w:line="34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8"/>
                <w:szCs w:val="28"/>
                <w:lang w:val="ru-RU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ru-RU"/>
              </w:rPr>
              <w:t>户  名：北京建术信息科技研究院有限公司</w:t>
            </w:r>
          </w:p>
          <w:p>
            <w:pPr>
              <w:spacing w:line="34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8"/>
                <w:szCs w:val="28"/>
                <w:lang w:val="ru-RU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ru-RU"/>
              </w:rPr>
              <w:t>开户行：中国建设银行股份有限公司北京昌平小汤山支行</w:t>
            </w:r>
          </w:p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ru-RU"/>
              </w:rPr>
              <w:t>账  号：1105 0110 2401 0900 0164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41" w:type="dxa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参会方式</w:t>
            </w:r>
          </w:p>
        </w:tc>
        <w:tc>
          <w:tcPr>
            <w:tcW w:w="7185" w:type="dxa"/>
            <w:gridSpan w:val="8"/>
            <w:noWrap/>
            <w:vAlign w:val="center"/>
          </w:tcPr>
          <w:p>
            <w:pPr>
              <w:spacing w:line="360" w:lineRule="exact"/>
              <w:ind w:right="84" w:rightChars="38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请参会单位把参会回执回传至会务组，会务组确认后即发《参会凭证》，其中将详细注明报到时间、报到地点、食宿等具体安排事项。</w:t>
            </w:r>
          </w:p>
        </w:tc>
      </w:tr>
    </w:tbl>
    <w:p>
      <w:pPr>
        <w:spacing w:line="480" w:lineRule="exact"/>
        <w:ind w:right="84" w:rightChars="38"/>
        <w:jc w:val="both"/>
        <w:rPr>
          <w:rStyle w:val="8"/>
          <w:rFonts w:ascii="黑体" w:hAnsi="黑体" w:eastAsia="黑体" w:cs="宋体"/>
          <w:b w:val="0"/>
          <w:color w:val="000000"/>
          <w:sz w:val="28"/>
          <w:szCs w:val="28"/>
          <w:lang w:val="zh-CN"/>
        </w:rPr>
      </w:pPr>
      <w:r>
        <w:rPr>
          <w:rStyle w:val="8"/>
          <w:rFonts w:hint="eastAsia" w:ascii="黑体" w:hAnsi="黑体" w:eastAsia="黑体" w:cs="宋体"/>
          <w:color w:val="000000"/>
          <w:sz w:val="28"/>
          <w:szCs w:val="28"/>
        </w:rPr>
        <w:t>注：</w:t>
      </w:r>
      <w:r>
        <w:rPr>
          <w:rStyle w:val="8"/>
          <w:rFonts w:hint="eastAsia" w:ascii="黑体" w:hAnsi="黑体" w:eastAsia="黑体" w:cs="宋体"/>
          <w:color w:val="000000"/>
          <w:lang w:val="zh-CN"/>
        </w:rPr>
        <w:t>为保证培训质量，培训班名额有限，额满为止，请确定人员后及早报名。</w:t>
      </w:r>
    </w:p>
    <w:p>
      <w:pPr>
        <w:spacing w:line="400" w:lineRule="exact"/>
        <w:ind w:right="84" w:rightChars="38" w:firstLine="568" w:firstLineChars="200"/>
        <w:jc w:val="both"/>
        <w:rPr>
          <w:rFonts w:hint="eastAsia"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 xml:space="preserve">报名负责人：聂红军 主任18211071700（微信）   </w:t>
      </w:r>
    </w:p>
    <w:p>
      <w:pPr>
        <w:spacing w:line="400" w:lineRule="exact"/>
        <w:ind w:right="84" w:rightChars="38" w:firstLine="568" w:firstLineChars="200"/>
        <w:jc w:val="both"/>
        <w:rPr>
          <w:rFonts w:hint="eastAsia"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 xml:space="preserve">电  话：010-87697580     邮    箱：zqgphwz@126.com  </w:t>
      </w:r>
    </w:p>
    <w:p>
      <w:pPr>
        <w:spacing w:line="400" w:lineRule="exact"/>
        <w:ind w:right="84" w:rightChars="38" w:firstLine="568" w:firstLineChars="200"/>
        <w:jc w:val="both"/>
        <w:rPr>
          <w:rFonts w:hint="eastAsia" w:ascii="仿宋" w:hAnsi="仿宋" w:eastAsia="Times New Roman" w:cs="仿宋"/>
          <w:color w:val="000000"/>
          <w:spacing w:val="2"/>
          <w:sz w:val="28"/>
        </w:rPr>
      </w:pPr>
      <w:r>
        <w:rPr>
          <w:rFonts w:hint="eastAsia" w:ascii="仿宋" w:hAnsi="仿宋" w:eastAsia="Times New Roman" w:cs="仿宋"/>
          <w:color w:val="000000"/>
          <w:spacing w:val="2"/>
          <w:sz w:val="28"/>
        </w:rPr>
        <w:t>qq咨询：3177524020 网址查询：http://www.zqgpchina.cn</w:t>
      </w: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iMWU4NjE2ZThjZWFmNTIyNjY1N2Y2MGM4NGU0YzgifQ=="/>
  </w:docVars>
  <w:rsids>
    <w:rsidRoot w:val="15075E36"/>
    <w:rsid w:val="0003490D"/>
    <w:rsid w:val="000E3B96"/>
    <w:rsid w:val="000F464C"/>
    <w:rsid w:val="001A62F6"/>
    <w:rsid w:val="002369E5"/>
    <w:rsid w:val="003466A2"/>
    <w:rsid w:val="00382449"/>
    <w:rsid w:val="003D31D0"/>
    <w:rsid w:val="003D544B"/>
    <w:rsid w:val="004008EA"/>
    <w:rsid w:val="00452E60"/>
    <w:rsid w:val="004C1513"/>
    <w:rsid w:val="004C22D5"/>
    <w:rsid w:val="00502BBB"/>
    <w:rsid w:val="00577D53"/>
    <w:rsid w:val="00582154"/>
    <w:rsid w:val="00597346"/>
    <w:rsid w:val="006123D5"/>
    <w:rsid w:val="00621754"/>
    <w:rsid w:val="00653FBF"/>
    <w:rsid w:val="006E6366"/>
    <w:rsid w:val="007422CD"/>
    <w:rsid w:val="0075762C"/>
    <w:rsid w:val="007A3197"/>
    <w:rsid w:val="00847664"/>
    <w:rsid w:val="00880CC4"/>
    <w:rsid w:val="00985298"/>
    <w:rsid w:val="009B4F35"/>
    <w:rsid w:val="009B65E7"/>
    <w:rsid w:val="009F542B"/>
    <w:rsid w:val="00A122F3"/>
    <w:rsid w:val="00A45A86"/>
    <w:rsid w:val="00AD1216"/>
    <w:rsid w:val="00B53DDC"/>
    <w:rsid w:val="00B97382"/>
    <w:rsid w:val="00C50B76"/>
    <w:rsid w:val="00C63E8A"/>
    <w:rsid w:val="00C74478"/>
    <w:rsid w:val="00CA155F"/>
    <w:rsid w:val="00CA67F4"/>
    <w:rsid w:val="00CA6FB9"/>
    <w:rsid w:val="00CA719F"/>
    <w:rsid w:val="00CE10FB"/>
    <w:rsid w:val="00CE5D1C"/>
    <w:rsid w:val="00D036BE"/>
    <w:rsid w:val="00D10030"/>
    <w:rsid w:val="00D12ED5"/>
    <w:rsid w:val="00D76FF0"/>
    <w:rsid w:val="00DF568A"/>
    <w:rsid w:val="00E503CF"/>
    <w:rsid w:val="00E7631B"/>
    <w:rsid w:val="00F27530"/>
    <w:rsid w:val="00FE28E3"/>
    <w:rsid w:val="0D0D77EB"/>
    <w:rsid w:val="15075E36"/>
    <w:rsid w:val="1A7C7DE9"/>
    <w:rsid w:val="1C493A59"/>
    <w:rsid w:val="7DF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both"/>
      <w:outlineLvl w:val="0"/>
    </w:pPr>
    <w:rPr>
      <w:rFonts w:eastAsia="宋体" w:asciiTheme="minorHAnsi" w:hAnsiTheme="minorHAnsi" w:cstheme="minorBidi"/>
      <w:b/>
      <w:bCs/>
      <w:kern w:val="44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0"/>
    <w:rPr>
      <w:rFonts w:cs="Times New Roman"/>
      <w:b/>
    </w:rPr>
  </w:style>
  <w:style w:type="character" w:customStyle="1" w:styleId="9">
    <w:name w:val="页眉 字符"/>
    <w:basedOn w:val="7"/>
    <w:link w:val="4"/>
    <w:qFormat/>
    <w:uiPriority w:val="0"/>
    <w:rPr>
      <w:rFonts w:eastAsiaTheme="minorEastAsia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eastAsiaTheme="minorEastAsia"/>
      <w:sz w:val="18"/>
      <w:szCs w:val="18"/>
    </w:rPr>
  </w:style>
  <w:style w:type="character" w:customStyle="1" w:styleId="11">
    <w:name w:val="标题 1 字符"/>
    <w:basedOn w:val="7"/>
    <w:link w:val="2"/>
    <w:uiPriority w:val="9"/>
    <w:rPr>
      <w:rFonts w:asciiTheme="minorHAnsi" w:hAnsiTheme="minorHAnsi" w:cstheme="minorBidi"/>
      <w:b/>
      <w:bCs/>
      <w:kern w:val="44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476</Words>
  <Characters>2715</Characters>
  <Lines>22</Lines>
  <Paragraphs>6</Paragraphs>
  <TotalTime>3</TotalTime>
  <ScaleCrop>false</ScaleCrop>
  <LinksUpToDate>false</LinksUpToDate>
  <CharactersWithSpaces>3185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2023-03-16T05:54:00Z</dcterms:created>
  <dc:creator>KJ</dc:creator>
  <cp:lastModifiedBy>聂红军</cp:lastModifiedBy>
  <dcterms:modified xsi:type="dcterms:W3CDTF">2023-03-23T11:58:12Z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4B24995C9B3D48A88B12DDD3D94E2298</vt:lpwstr>
  </property>
</Properties>
</file>