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0" w:beforeAutospacing="0" w:after="0" w:afterAutospacing="0" w:line="240" w:lineRule="exact"/>
        <w:jc w:val="left"/>
        <w:rPr>
          <w:rFonts w:ascii="宋体" w:hAnsi="宋体" w:eastAsia="宋体" w:cs="宋体"/>
          <w:color w:val="000000"/>
          <w:kern w:val="0"/>
          <w:sz w:val="36"/>
          <w:szCs w:val="36"/>
          <w:lang w:val="en-US" w:eastAsia="zh-CN" w:bidi="ar-SA"/>
        </w:rPr>
      </w:pPr>
      <w:bookmarkStart w:id="0" w:name="_Hlk29466901"/>
    </w:p>
    <w:p>
      <w:pPr>
        <w:rPr>
          <w:rFonts w:ascii="Calibri" w:hAnsi="Calibri" w:eastAsia="宋体" w:cs="Times New Roman"/>
          <w:sz w:val="21"/>
          <w:szCs w:val="21"/>
        </w:rPr>
      </w:pPr>
    </w:p>
    <w:p>
      <w:pPr>
        <w:jc w:val="distribute"/>
        <w:rPr>
          <w:rFonts w:ascii="Calibri Light" w:hAnsi="Calibri Light" w:eastAsia="宋体" w:cs="Calibri Light"/>
          <w:b/>
          <w:sz w:val="72"/>
          <w:szCs w:val="72"/>
        </w:rPr>
      </w:pPr>
      <w:r>
        <w:rPr>
          <w:rFonts w:ascii="Calibri Light" w:hAnsi="Calibri Light" w:eastAsia="宋体" w:cs="Calibri Light"/>
          <w:b/>
          <w:color w:val="FF0000"/>
          <w:w w:val="90"/>
          <w:kern w:val="0"/>
          <w:sz w:val="72"/>
          <w:szCs w:val="72"/>
        </w:rPr>
        <w:t>中国招标投标公共服务平台</w:t>
      </w:r>
    </w:p>
    <w:p>
      <w:pPr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ascii="Calibri" w:hAnsi="Calibri" w:eastAsia="宋体" w:cs="Times New Roman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162560</wp:posOffset>
                </wp:positionV>
                <wp:extent cx="5567045" cy="45085"/>
                <wp:effectExtent l="0" t="0" r="0" b="0"/>
                <wp:wrapNone/>
                <wp:docPr id="1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5567045" cy="45085"/>
                        </a:xfrm>
                        <a:custGeom>
                          <a:avLst/>
                          <a:gdLst>
                            <a:gd name="T0" fmla="*/ 0 w 6176645"/>
                            <a:gd name="T1" fmla="*/ 6176645 w 6176645"/>
                            <a:gd name="T2" fmla="*/ 0 w 6176645"/>
                            <a:gd name="T3" fmla="*/ 6176645 w 617664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176645">
                              <a:moveTo>
                                <a:pt x="0" y="0"/>
                              </a:moveTo>
                              <a:lnTo>
                                <a:pt x="617664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5" o:spid="_x0000_s1026" o:spt="100" style="position:absolute;left:0pt;flip:y;margin-left:-5.5pt;margin-top:12.8pt;height:3.55pt;width:438.35pt;z-index:-251657216;mso-width-relative:page;mso-height-relative:page;" filled="f" stroked="t" coordsize="6176645,1" o:gfxdata="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FIfGm2QAAAAkBAAAPAAAAAAAAAAEAIAAAACIAAABkcnMvZG93bnJldi54bWxQSwECFAAU&#10;AAAACACHTuJAWyORspsCAADiBQAADgAAAAAAAAABACAAAAAoAQAAZHJzL2Uyb0RvYy54bWxQSwUG&#10;AAAAAAYABgBZAQAANQYAAAAA&#10;" path="m0,0l6176645,0e">
                <v:path o:connectlocs="0,0;5567045,0" o:connectangles="0,0"/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pacing w:line="480" w:lineRule="atLeast"/>
        <w:jc w:val="both"/>
        <w:rPr>
          <w:rFonts w:hint="eastAsia" w:eastAsia="方正小标宋简体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关于举办</w:t>
      </w:r>
      <w:bookmarkStart w:id="1" w:name="OLE_LINK1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“政府采购全流程实务解析与风险管控”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专题培训班</w:t>
      </w:r>
      <w:bookmarkEnd w:id="1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的通知</w:t>
      </w:r>
    </w:p>
    <w:p>
      <w:pPr>
        <w:spacing w:line="520" w:lineRule="exact"/>
        <w:jc w:val="center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各相关单位：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贯彻落实《深化政府采购制度改革方案》有关要求，实现政府采购项目绩效目标，财政部陆续发布了《政府采购需求管理办法》、《政府采购框架协议采购方式管理暂行办法》。一系列法律政策文件的酝酿出台，对于加快形成采购主体职责清晰、交易规则科学高效、监管机制健全、政策功能完备、法律制度完善、技术支撑先进的现代政府采购制度具有重要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为帮助政府采购从业人员及时掌握招标采购相关政策要点，降低招标采购风险，提高采购效能，中国招标投标公共服务平台拟定举办“政府采购全流程实务解析与风险管控”专题培训班。现将有关事项通知如下：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一、培训内容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1.政府采购理论基础与实务操作；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2.政府采购风险管控及相关采购政策解析；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3.如何识别和定义招标采购需求、评标办法与评标实务；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4.政府采购方式的选择与适用；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00" w:firstLine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5.政府采购关键程序和采购文件编制要点解读；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00" w:firstLine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6.政府采购质疑投诉处理与行政裁决指导性案例解析。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各地政府采购、招投标行政主管部门，各级公管办、行政服务中心、公共资源交易中心、政府采购中心的相关人员；高等院校、医疗系统等企事业单位的招标采购、合同管理、工程管理、法律事务、监察审计等相关人员；招标代理机构相关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三、授课师资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参与国家各部委、行业协会</w:t>
      </w:r>
      <w:r>
        <w:rPr>
          <w:rFonts w:hint="eastAsia" w:ascii="仿宋" w:hAnsi="仿宋" w:eastAsia="仿宋" w:cs="仿宋"/>
          <w:sz w:val="30"/>
          <w:szCs w:val="30"/>
        </w:rPr>
        <w:t>政策制定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及标准编制</w:t>
      </w:r>
      <w:r>
        <w:rPr>
          <w:rFonts w:hint="eastAsia" w:ascii="仿宋" w:hAnsi="仿宋" w:eastAsia="仿宋" w:cs="仿宋"/>
          <w:sz w:val="30"/>
          <w:szCs w:val="30"/>
        </w:rPr>
        <w:t>的专家；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来自机关、事业单位具有政府采购理论研究与操作实践的权威专家。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四、时间及地点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时间：202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sz w:val="30"/>
          <w:szCs w:val="30"/>
        </w:rPr>
        <w:t>日—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 w:cs="仿宋"/>
          <w:sz w:val="30"/>
          <w:szCs w:val="30"/>
        </w:rPr>
        <w:t>日（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sz w:val="30"/>
          <w:szCs w:val="30"/>
        </w:rPr>
        <w:t>日报到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)</w:t>
      </w:r>
      <w:r>
        <w:rPr>
          <w:rFonts w:hint="eastAsia" w:ascii="仿宋" w:hAnsi="仿宋" w:eastAsia="仿宋" w:cs="仿宋"/>
          <w:sz w:val="30"/>
          <w:szCs w:val="30"/>
        </w:rPr>
        <w:t>地点：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珠海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时间：202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sz w:val="30"/>
          <w:szCs w:val="30"/>
        </w:rPr>
        <w:t>日—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29</w:t>
      </w:r>
      <w:r>
        <w:rPr>
          <w:rFonts w:hint="eastAsia" w:ascii="仿宋" w:hAnsi="仿宋" w:eastAsia="仿宋" w:cs="仿宋"/>
          <w:sz w:val="30"/>
          <w:szCs w:val="30"/>
        </w:rPr>
        <w:t>日（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sz w:val="30"/>
          <w:szCs w:val="30"/>
        </w:rPr>
        <w:t>日报到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)</w:t>
      </w:r>
      <w:r>
        <w:rPr>
          <w:rFonts w:hint="eastAsia" w:ascii="仿宋" w:hAnsi="仿宋" w:eastAsia="仿宋" w:cs="仿宋"/>
          <w:sz w:val="30"/>
          <w:szCs w:val="30"/>
        </w:rPr>
        <w:t>地点：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昆明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时间：202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月2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日—2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</w:rPr>
        <w:t>日（2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日报到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)</w:t>
      </w:r>
      <w:r>
        <w:rPr>
          <w:rFonts w:hint="eastAsia" w:ascii="仿宋" w:hAnsi="仿宋" w:eastAsia="仿宋" w:cs="仿宋"/>
          <w:sz w:val="30"/>
          <w:szCs w:val="30"/>
        </w:rPr>
        <w:t>地点：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成都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00" w:leftChars="250" w:firstLine="0" w:firstLine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时间：202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 w:cs="仿宋"/>
          <w:sz w:val="30"/>
          <w:szCs w:val="30"/>
        </w:rPr>
        <w:t>日—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19</w:t>
      </w:r>
      <w:r>
        <w:rPr>
          <w:rFonts w:hint="eastAsia" w:ascii="仿宋" w:hAnsi="仿宋" w:eastAsia="仿宋" w:cs="仿宋"/>
          <w:sz w:val="30"/>
          <w:szCs w:val="30"/>
        </w:rPr>
        <w:t>日（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 w:cs="仿宋"/>
          <w:sz w:val="30"/>
          <w:szCs w:val="30"/>
        </w:rPr>
        <w:t>日报到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)</w:t>
      </w:r>
      <w:r>
        <w:rPr>
          <w:rFonts w:hint="eastAsia" w:ascii="仿宋" w:hAnsi="仿宋" w:eastAsia="仿宋" w:cs="仿宋"/>
          <w:sz w:val="30"/>
          <w:szCs w:val="30"/>
        </w:rPr>
        <w:t>地点：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青岛时间：2023年7月19日—24日（19日报到 )地点：贵阳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收费标准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1.培训费：3600元/人；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住宿统一安排，费用自理。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</w:rPr>
        <w:t>2.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统一</w:t>
      </w:r>
      <w:r>
        <w:rPr>
          <w:rFonts w:hint="eastAsia" w:ascii="仿宋" w:hAnsi="仿宋" w:eastAsia="仿宋" w:cs="仿宋"/>
          <w:sz w:val="30"/>
          <w:szCs w:val="30"/>
        </w:rPr>
        <w:t>颁发电子版结业证书，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可</w:t>
      </w:r>
      <w:r>
        <w:rPr>
          <w:rFonts w:hint="eastAsia" w:ascii="仿宋" w:hAnsi="仿宋" w:eastAsia="仿宋" w:cs="仿宋"/>
          <w:sz w:val="30"/>
          <w:szCs w:val="30"/>
        </w:rPr>
        <w:t>在中国招标投标公共服务平台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官网查询（首页</w:t>
      </w:r>
      <w:r>
        <w:rPr>
          <w:rFonts w:hint="default" w:ascii="Arial" w:hAnsi="Arial" w:eastAsia="仿宋" w:cs="Arial"/>
          <w:sz w:val="30"/>
          <w:szCs w:val="30"/>
          <w:lang w:val="en-US" w:eastAsia="zh-CN"/>
        </w:rPr>
        <w:t>→</w:t>
      </w:r>
      <w:r>
        <w:rPr>
          <w:rFonts w:hint="eastAsia" w:ascii="Arial" w:hAnsi="Arial" w:eastAsia="仿宋" w:cs="Arial"/>
          <w:sz w:val="30"/>
          <w:szCs w:val="30"/>
          <w:lang w:val="en-US" w:eastAsia="zh-CN"/>
        </w:rPr>
        <w:t>行业公示</w:t>
      </w:r>
      <w:r>
        <w:rPr>
          <w:rFonts w:hint="default" w:ascii="Arial" w:hAnsi="Arial" w:eastAsia="仿宋" w:cs="Arial"/>
          <w:sz w:val="30"/>
          <w:szCs w:val="30"/>
          <w:lang w:val="en-US" w:eastAsia="zh-CN"/>
        </w:rPr>
        <w:t>→</w:t>
      </w:r>
      <w:r>
        <w:rPr>
          <w:rFonts w:hint="eastAsia" w:ascii="Arial" w:hAnsi="Arial" w:eastAsia="仿宋" w:cs="Arial"/>
          <w:sz w:val="30"/>
          <w:szCs w:val="30"/>
          <w:lang w:val="en-US" w:eastAsia="zh-CN"/>
        </w:rPr>
        <w:t>行业人才信息</w:t>
      </w:r>
      <w:r>
        <w:rPr>
          <w:rFonts w:hint="default" w:ascii="Arial" w:hAnsi="Arial" w:eastAsia="仿宋" w:cs="Arial"/>
          <w:sz w:val="30"/>
          <w:szCs w:val="30"/>
          <w:lang w:val="en-US" w:eastAsia="zh-CN"/>
        </w:rPr>
        <w:t>→</w:t>
      </w:r>
      <w:r>
        <w:rPr>
          <w:rFonts w:hint="eastAsia" w:ascii="Arial" w:hAnsi="Arial" w:eastAsia="仿宋" w:cs="Arial"/>
          <w:sz w:val="30"/>
          <w:szCs w:val="30"/>
          <w:lang w:val="en-US" w:eastAsia="zh-CN"/>
        </w:rPr>
        <w:t>中国招投标公共服务平台）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附件：报名回执表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3453130</wp:posOffset>
            </wp:positionH>
            <wp:positionV relativeFrom="paragraph">
              <wp:posOffset>42545</wp:posOffset>
            </wp:positionV>
            <wp:extent cx="1490345" cy="1464945"/>
            <wp:effectExtent l="0" t="0" r="8255" b="8255"/>
            <wp:wrapNone/>
            <wp:docPr id="5" name="图片 5" descr="QQ图片2023021417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图片202302141700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0" w:firstLineChars="1200"/>
        <w:jc w:val="righ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中国招标投标公共服务平台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00" w:firstLineChars="150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sectPr>
          <w:footerReference r:id="rId3" w:type="default"/>
          <w:pgSz w:w="11900" w:h="16840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2023年3月30日</w:t>
      </w: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附件：</w:t>
      </w:r>
    </w:p>
    <w:bookmarkEnd w:id="0"/>
    <w:p>
      <w:pPr>
        <w:spacing w:line="560" w:lineRule="exact"/>
        <w:jc w:val="center"/>
        <w:rPr>
          <w:rFonts w:hint="eastAsia" w:ascii="仿宋" w:hAnsi="仿宋" w:eastAsia="仿宋" w:cs="仿宋"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“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  <w:t>政府采购全流程实务解析与风险管控</w:t>
      </w: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”</w:t>
      </w:r>
    </w:p>
    <w:p>
      <w:pPr>
        <w:spacing w:line="560" w:lineRule="exact"/>
        <w:jc w:val="center"/>
        <w:rPr>
          <w:rFonts w:hint="eastAsia" w:ascii="黑体" w:hAnsi="黑体" w:eastAsia="黑体" w:cs="宋体"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sz w:val="30"/>
          <w:szCs w:val="30"/>
        </w:rPr>
        <w:t>专题培训班报名回执表</w:t>
      </w:r>
    </w:p>
    <w:tbl>
      <w:tblPr>
        <w:tblStyle w:val="11"/>
        <w:tblpPr w:leftFromText="180" w:rightFromText="180" w:vertAnchor="text" w:horzAnchor="margin" w:tblpXSpec="center" w:tblpY="164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134"/>
        <w:gridCol w:w="1134"/>
        <w:gridCol w:w="1276"/>
        <w:gridCol w:w="1643"/>
        <w:gridCol w:w="6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邮 编</w:t>
            </w: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*职 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after="50" w:line="380" w:lineRule="exact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*手 机</w:t>
            </w: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after="50" w:line="380" w:lineRule="exact"/>
              <w:rPr>
                <w:rFonts w:hint="eastAsia" w:ascii="仿宋" w:hAnsi="仿宋" w:eastAsia="仿宋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 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*传 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after="50" w:line="380" w:lineRule="exact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*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E</w:t>
            </w:r>
            <w:r>
              <w:rPr>
                <w:rFonts w:hint="eastAsia" w:ascii="仿宋" w:hAnsi="仿宋" w:eastAsia="仿宋"/>
                <w:color w:val="000000"/>
                <w:szCs w:val="28"/>
              </w:rPr>
              <w:t>-mail</w:t>
            </w: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after="50" w:line="380" w:lineRule="exact"/>
              <w:rPr>
                <w:rFonts w:hint="eastAsia" w:ascii="仿宋" w:hAnsi="仿宋" w:eastAsia="仿宋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*性 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*部 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*职 务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*电 话</w:t>
            </w: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bookmarkStart w:id="2" w:name="_GoBack"/>
            <w:bookmarkEnd w:id="2"/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发票要求</w:t>
            </w:r>
          </w:p>
        </w:tc>
        <w:tc>
          <w:tcPr>
            <w:tcW w:w="7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□增值税普通发票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电子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□增值税普通发票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纸质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□增值税专用发票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发票信息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 xml:space="preserve">普票填写1-2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专票填写1-4</w:t>
            </w:r>
          </w:p>
        </w:tc>
        <w:tc>
          <w:tcPr>
            <w:tcW w:w="7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开票单位：</w:t>
            </w: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纳税人识别号：</w:t>
            </w: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地址、电话：</w:t>
            </w: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开户行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账号：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住宿安排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□单住  □合住  □自行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参会地点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付款方式</w:t>
            </w:r>
          </w:p>
        </w:tc>
        <w:tc>
          <w:tcPr>
            <w:tcW w:w="7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50" w:line="380" w:lineRule="exact"/>
              <w:ind w:firstLine="1120" w:firstLineChars="40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  <w:lang w:val="en-GB"/>
              </w:rPr>
              <w:t xml:space="preserve">□汇款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 w:val="28"/>
                <w:szCs w:val="28"/>
                <w:lang w:val="en-GB"/>
              </w:rPr>
              <w:t xml:space="preserve">  □现金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 w:val="28"/>
                <w:szCs w:val="28"/>
                <w:lang w:val="en-GB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8"/>
                <w:szCs w:val="28"/>
                <w:lang w:val="en-GB"/>
              </w:rPr>
              <w:t>□刷卡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汇款账户</w:t>
            </w:r>
          </w:p>
        </w:tc>
        <w:tc>
          <w:tcPr>
            <w:tcW w:w="7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GB"/>
              </w:rPr>
              <w:t>名  称：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GB" w:eastAsia="zh-CN"/>
              </w:rPr>
              <w:t>北京中建科信科技服务有限公司</w:t>
            </w:r>
          </w:p>
          <w:p>
            <w:pPr>
              <w:widowControl/>
              <w:spacing w:line="42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GB"/>
              </w:rPr>
              <w:t>银行账号：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GB" w:eastAsia="zh-CN"/>
              </w:rPr>
              <w:t>0200004609200585085</w:t>
            </w: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GB"/>
              </w:rPr>
              <w:t>开户行：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GB" w:eastAsia="zh-CN"/>
              </w:rPr>
              <w:t>中国工商银行股份有限公司北京公主坟支行</w:t>
            </w:r>
          </w:p>
        </w:tc>
      </w:tr>
    </w:tbl>
    <w:p>
      <w:pPr>
        <w:spacing w:line="380" w:lineRule="exact"/>
        <w:ind w:firstLine="280" w:firstLine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备注：</w:t>
      </w: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.</w:t>
      </w:r>
      <w:r>
        <w:rPr>
          <w:rFonts w:hint="eastAsia" w:ascii="仿宋" w:hAnsi="仿宋" w:eastAsia="仿宋"/>
          <w:b/>
          <w:sz w:val="28"/>
          <w:szCs w:val="28"/>
        </w:rPr>
        <w:t>此表可复制，汇总名单后发送至会务组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line="380" w:lineRule="exact"/>
        <w:ind w:firstLine="280" w:firstLineChars="1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2.以上课题可提供企业内训并提供企业制度优化咨询服务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widowControl/>
        <w:tabs>
          <w:tab w:val="center" w:pos="4766"/>
          <w:tab w:val="left" w:pos="6716"/>
        </w:tabs>
        <w:spacing w:line="480" w:lineRule="exact"/>
        <w:ind w:firstLine="1120" w:firstLineChars="4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.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报名负责人：聂红军 主任18211071700（微信）   </w:t>
      </w:r>
    </w:p>
    <w:p>
      <w:pPr>
        <w:widowControl/>
        <w:tabs>
          <w:tab w:val="center" w:pos="4766"/>
          <w:tab w:val="left" w:pos="6716"/>
        </w:tabs>
        <w:spacing w:line="480" w:lineRule="exact"/>
        <w:ind w:firstLine="1120" w:firstLineChars="4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电  话：010-87697580  邮    箱：zqgphwz@126.com  </w:t>
      </w:r>
    </w:p>
    <w:p>
      <w:pPr>
        <w:widowControl/>
        <w:tabs>
          <w:tab w:val="center" w:pos="4766"/>
          <w:tab w:val="left" w:pos="6716"/>
        </w:tabs>
        <w:spacing w:line="480" w:lineRule="exact"/>
        <w:ind w:firstLine="1120" w:firstLineChars="4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qq咨询：3177524020  网址：http://www.zqgpchina.cn</w:t>
      </w:r>
    </w:p>
    <w:p>
      <w:pPr>
        <w:pStyle w:val="2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widowControl/>
        <w:tabs>
          <w:tab w:val="center" w:pos="4766"/>
          <w:tab w:val="left" w:pos="6716"/>
        </w:tabs>
        <w:spacing w:line="520" w:lineRule="exact"/>
        <w:rPr>
          <w:rFonts w:ascii="Songti SC" w:hAnsi="Songti SC" w:eastAsia="Songti SC"/>
          <w:b/>
          <w:bCs/>
          <w:color w:val="000000"/>
          <w:sz w:val="30"/>
          <w:szCs w:val="30"/>
        </w:rPr>
      </w:pPr>
      <w:r>
        <w:rPr>
          <w:rFonts w:hint="eastAsia" w:ascii="Songti SC" w:hAnsi="Songti SC" w:eastAsia="Songti SC"/>
          <w:b/>
          <w:bCs/>
          <w:color w:val="000000"/>
          <w:sz w:val="30"/>
          <w:szCs w:val="30"/>
        </w:rPr>
        <w:t xml:space="preserve">附件二：               </w:t>
      </w:r>
    </w:p>
    <w:p>
      <w:pPr>
        <w:widowControl/>
        <w:tabs>
          <w:tab w:val="center" w:pos="4766"/>
          <w:tab w:val="left" w:pos="6716"/>
        </w:tabs>
        <w:spacing w:line="520" w:lineRule="exact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课程大纲</w:t>
      </w:r>
    </w:p>
    <w:p>
      <w:pPr>
        <w:pStyle w:val="2"/>
        <w:ind w:left="480" w:firstLine="480"/>
        <w:rPr>
          <w:rFonts w:hint="eastAsia" w:ascii="Calibri" w:hAnsi="Calibri" w:eastAsia="宋体"/>
        </w:rPr>
      </w:pPr>
    </w:p>
    <w:p>
      <w:pPr>
        <w:pStyle w:val="2"/>
        <w:spacing w:line="580" w:lineRule="exact"/>
        <w:ind w:left="0" w:leftChars="0" w:firstLine="0" w:firstLineChars="0"/>
        <w:rPr>
          <w:rFonts w:hint="eastAsia" w:hAnsi="仿宋" w:cs="仿宋"/>
          <w:color w:val="000000"/>
          <w:sz w:val="28"/>
          <w:szCs w:val="28"/>
        </w:rPr>
      </w:pPr>
      <w:r>
        <w:rPr>
          <w:rFonts w:hint="eastAsia" w:hAnsi="仿宋" w:cs="仿宋"/>
          <w:b/>
          <w:bCs/>
          <w:color w:val="000000"/>
          <w:sz w:val="28"/>
          <w:szCs w:val="28"/>
        </w:rPr>
        <w:t>一、政府采购实务操作与案例分析</w:t>
      </w:r>
    </w:p>
    <w:p>
      <w:pPr>
        <w:pStyle w:val="2"/>
        <w:spacing w:line="580" w:lineRule="exact"/>
        <w:ind w:left="0" w:leftChars="0" w:firstLine="560" w:firstLineChars="200"/>
        <w:rPr>
          <w:rFonts w:hint="eastAsia" w:hAnsi="仿宋" w:cs="仿宋"/>
          <w:color w:val="000000"/>
          <w:sz w:val="28"/>
          <w:szCs w:val="28"/>
        </w:rPr>
      </w:pPr>
      <w:r>
        <w:rPr>
          <w:rFonts w:hint="eastAsia" w:hAnsi="仿宋" w:cs="仿宋"/>
          <w:color w:val="000000"/>
          <w:sz w:val="28"/>
          <w:szCs w:val="28"/>
        </w:rPr>
        <w:t>1.政府采购法修法要点与方向分析；</w:t>
      </w:r>
    </w:p>
    <w:p>
      <w:pPr>
        <w:pStyle w:val="2"/>
        <w:spacing w:line="580" w:lineRule="exact"/>
        <w:ind w:left="0" w:leftChars="0" w:firstLine="560" w:firstLineChars="200"/>
        <w:rPr>
          <w:rFonts w:hint="eastAsia" w:hAnsi="仿宋" w:cs="仿宋"/>
          <w:color w:val="000000"/>
          <w:sz w:val="28"/>
          <w:szCs w:val="28"/>
        </w:rPr>
      </w:pPr>
      <w:r>
        <w:rPr>
          <w:rFonts w:hint="eastAsia" w:hAnsi="仿宋" w:cs="仿宋"/>
          <w:color w:val="000000"/>
          <w:sz w:val="28"/>
          <w:szCs w:val="28"/>
        </w:rPr>
        <w:t>2.政府采购相关法律法规解析及改善营商环境的相关规定；</w:t>
      </w:r>
    </w:p>
    <w:p>
      <w:pPr>
        <w:pStyle w:val="2"/>
        <w:spacing w:line="580" w:lineRule="exact"/>
        <w:ind w:left="0" w:leftChars="0" w:firstLine="560" w:firstLineChars="200"/>
        <w:rPr>
          <w:rFonts w:hint="eastAsia" w:hAnsi="仿宋" w:cs="仿宋"/>
          <w:color w:val="000000"/>
          <w:sz w:val="28"/>
          <w:szCs w:val="28"/>
        </w:rPr>
      </w:pPr>
      <w:r>
        <w:rPr>
          <w:rFonts w:hint="eastAsia" w:hAnsi="仿宋" w:cs="仿宋"/>
          <w:color w:val="000000"/>
          <w:sz w:val="28"/>
          <w:szCs w:val="28"/>
        </w:rPr>
        <w:t>3.政府采购必须公开招标的项目范围界定；</w:t>
      </w:r>
    </w:p>
    <w:p>
      <w:pPr>
        <w:pStyle w:val="2"/>
        <w:spacing w:line="580" w:lineRule="exact"/>
        <w:ind w:left="0" w:leftChars="0" w:firstLine="560" w:firstLineChars="200"/>
        <w:rPr>
          <w:rFonts w:hint="eastAsia" w:hAnsi="仿宋" w:cs="仿宋"/>
          <w:color w:val="000000"/>
          <w:sz w:val="28"/>
          <w:szCs w:val="28"/>
        </w:rPr>
      </w:pPr>
      <w:r>
        <w:rPr>
          <w:rFonts w:hint="eastAsia" w:hAnsi="仿宋" w:cs="仿宋"/>
          <w:color w:val="000000"/>
          <w:sz w:val="28"/>
          <w:szCs w:val="28"/>
        </w:rPr>
        <w:t>4.政府采购项目的采购方式选择以及法规与制度遵循；</w:t>
      </w:r>
    </w:p>
    <w:p>
      <w:pPr>
        <w:pStyle w:val="2"/>
        <w:spacing w:line="580" w:lineRule="exact"/>
        <w:ind w:left="0" w:leftChars="0" w:firstLine="560" w:firstLineChars="200"/>
        <w:rPr>
          <w:rFonts w:hint="eastAsia" w:hAnsi="仿宋" w:cs="仿宋"/>
          <w:color w:val="000000"/>
          <w:sz w:val="28"/>
          <w:szCs w:val="28"/>
        </w:rPr>
      </w:pPr>
      <w:r>
        <w:rPr>
          <w:rFonts w:hint="eastAsia" w:hAnsi="仿宋" w:cs="仿宋"/>
          <w:color w:val="000000"/>
          <w:sz w:val="28"/>
          <w:szCs w:val="28"/>
        </w:rPr>
        <w:t>5.各种采购方式招标（采购）文件编制要点(商务条款/技术参数科学合理设置)；</w:t>
      </w:r>
    </w:p>
    <w:p>
      <w:pPr>
        <w:pStyle w:val="2"/>
        <w:spacing w:line="580" w:lineRule="exact"/>
        <w:ind w:left="0" w:leftChars="0" w:firstLine="560" w:firstLineChars="200"/>
        <w:rPr>
          <w:rFonts w:hint="eastAsia" w:hAnsi="仿宋" w:cs="仿宋"/>
          <w:color w:val="000000"/>
          <w:sz w:val="28"/>
          <w:szCs w:val="28"/>
        </w:rPr>
      </w:pPr>
      <w:r>
        <w:rPr>
          <w:rFonts w:hint="eastAsia" w:hAnsi="仿宋" w:cs="仿宋"/>
          <w:color w:val="000000"/>
          <w:sz w:val="28"/>
          <w:szCs w:val="28"/>
        </w:rPr>
        <w:t>6.采购文件如何避免不合理和排他性条款；</w:t>
      </w:r>
    </w:p>
    <w:p>
      <w:pPr>
        <w:pStyle w:val="2"/>
        <w:spacing w:line="580" w:lineRule="exact"/>
        <w:ind w:left="0" w:leftChars="0" w:firstLine="560" w:firstLineChars="200"/>
        <w:rPr>
          <w:rFonts w:hint="eastAsia" w:hAnsi="仿宋" w:cs="仿宋"/>
          <w:color w:val="000000"/>
          <w:sz w:val="28"/>
          <w:szCs w:val="28"/>
        </w:rPr>
      </w:pPr>
      <w:r>
        <w:rPr>
          <w:rFonts w:hint="eastAsia" w:hAnsi="仿宋" w:cs="仿宋"/>
          <w:color w:val="000000"/>
          <w:sz w:val="28"/>
          <w:szCs w:val="28"/>
        </w:rPr>
        <w:t>7.《中共中央国务院加快建设全国统一大市场的意见》关于招标采购的要求；</w:t>
      </w:r>
    </w:p>
    <w:p>
      <w:pPr>
        <w:pStyle w:val="21"/>
        <w:spacing w:line="58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采购需求与政府采购需求管理</w:t>
      </w:r>
    </w:p>
    <w:p>
      <w:pPr>
        <w:pStyle w:val="21"/>
        <w:spacing w:line="5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1.确定采购需求是采购人的职责；</w:t>
      </w:r>
    </w:p>
    <w:p>
      <w:pPr>
        <w:pStyle w:val="21"/>
        <w:spacing w:line="580" w:lineRule="exact"/>
        <w:ind w:left="278" w:leftChars="116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2.确定采购需求是加强内控管理的重点环节；</w:t>
      </w:r>
    </w:p>
    <w:p>
      <w:pPr>
        <w:pStyle w:val="21"/>
        <w:spacing w:line="580" w:lineRule="exact"/>
        <w:ind w:left="278" w:leftChars="116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3.如何确定采购需求及注意事项；</w:t>
      </w:r>
    </w:p>
    <w:p>
      <w:pPr>
        <w:pStyle w:val="21"/>
        <w:spacing w:line="580" w:lineRule="exact"/>
        <w:ind w:left="278" w:leftChars="116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4.《政府采购需求管理办法》(财库[2021]22号)解读；</w:t>
      </w:r>
    </w:p>
    <w:p>
      <w:pPr>
        <w:pStyle w:val="21"/>
        <w:spacing w:line="580" w:lineRule="exact"/>
        <w:ind w:left="281" w:hanging="280" w:hangingChars="1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三、《政府采购框架协议采购方式管理暂行办法》解析</w:t>
      </w:r>
    </w:p>
    <w:p>
      <w:pPr>
        <w:pStyle w:val="21"/>
        <w:spacing w:line="580" w:lineRule="exact"/>
        <w:ind w:left="278" w:leftChars="116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1.框架协议采购方式适用范围、管理原则及主体责任；</w:t>
      </w:r>
    </w:p>
    <w:p>
      <w:pPr>
        <w:pStyle w:val="21"/>
        <w:spacing w:line="580" w:lineRule="exact"/>
        <w:ind w:left="278" w:leftChars="116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2.封闭式框架协议采购与开放式框架协议采购适用及区别？</w:t>
      </w:r>
    </w:p>
    <w:p>
      <w:pPr>
        <w:pStyle w:val="21"/>
        <w:spacing w:line="580" w:lineRule="exact"/>
        <w:ind w:left="278" w:leftChars="116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3.封闭式框架协议采购选择入围供应商的评审规则有哪些，在执</w:t>
      </w:r>
    </w:p>
    <w:p>
      <w:pPr>
        <w:pStyle w:val="21"/>
        <w:spacing w:line="58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行中需要注意什么？</w:t>
      </w:r>
    </w:p>
    <w:p>
      <w:pPr>
        <w:pStyle w:val="21"/>
        <w:spacing w:line="580" w:lineRule="exact"/>
        <w:ind w:left="278" w:leftChars="116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4.框架协议采购异议、投诉等相关违法行为如何处理？</w:t>
      </w:r>
    </w:p>
    <w:p>
      <w:pPr>
        <w:widowControl/>
        <w:tabs>
          <w:tab w:val="center" w:pos="4766"/>
          <w:tab w:val="left" w:pos="6716"/>
        </w:tabs>
        <w:spacing w:line="580" w:lineRule="exact"/>
        <w:rPr>
          <w:rFonts w:hint="eastAsia" w:ascii="Calibri" w:hAnsi="Calibri" w:eastAsia="宋体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四、工程建设项目招标采购流程关键环节解析与流程标准化</w:t>
      </w:r>
    </w:p>
    <w:p>
      <w:pPr>
        <w:pStyle w:val="21"/>
        <w:spacing w:line="580" w:lineRule="exact"/>
        <w:ind w:left="278" w:leftChars="116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1.采购策划的重点难点与解决思路；</w:t>
      </w:r>
    </w:p>
    <w:p>
      <w:pPr>
        <w:pStyle w:val="21"/>
        <w:spacing w:line="580" w:lineRule="exact"/>
        <w:ind w:left="278" w:leftChars="116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2.评标的基本原则及各类评标方法的适用范围、设计和评审步骤；</w:t>
      </w:r>
    </w:p>
    <w:p>
      <w:pPr>
        <w:pStyle w:val="21"/>
        <w:spacing w:line="580" w:lineRule="exact"/>
        <w:ind w:left="278" w:leftChars="116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3.投标文件受理、否决投标条件、围标、串标等违法行为认定；</w:t>
      </w:r>
    </w:p>
    <w:p>
      <w:pPr>
        <w:pStyle w:val="21"/>
        <w:spacing w:line="580" w:lineRule="exact"/>
        <w:ind w:left="278" w:leftChars="116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4.工程量清单计价模式下的招投标问题与对策；</w:t>
      </w:r>
    </w:p>
    <w:p>
      <w:pPr>
        <w:pStyle w:val="21"/>
        <w:spacing w:line="580" w:lineRule="exact"/>
        <w:ind w:left="278" w:leftChars="116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5.EPC工程总承包项目招投标策划与风险防范；</w:t>
      </w:r>
    </w:p>
    <w:p>
      <w:pPr>
        <w:pStyle w:val="21"/>
        <w:spacing w:line="580" w:lineRule="exact"/>
        <w:ind w:left="278" w:leftChars="116" w:firstLine="280" w:firstLineChars="1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6.合同签订、合同执行偏差、纠纷与索赔等注意事项及救济处理；</w:t>
      </w:r>
    </w:p>
    <w:p>
      <w:pPr>
        <w:pStyle w:val="21"/>
        <w:spacing w:line="580" w:lineRule="exact"/>
        <w:ind w:left="281" w:hanging="280" w:hangingChars="1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五、招标采购活动中质疑、投诉问题的应对策略</w:t>
      </w:r>
    </w:p>
    <w:p>
      <w:pPr>
        <w:pStyle w:val="21"/>
        <w:spacing w:line="580" w:lineRule="exact"/>
        <w:ind w:left="278" w:leftChars="116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1.质疑、投诉的流程及主体资格要求和文件格式要求；</w:t>
      </w:r>
    </w:p>
    <w:p>
      <w:pPr>
        <w:pStyle w:val="21"/>
        <w:spacing w:line="580" w:lineRule="exact"/>
        <w:ind w:left="278" w:leftChars="116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2.哪些投诉可以不予受理？哪些情形可以驳回投诉？</w:t>
      </w:r>
    </w:p>
    <w:p>
      <w:pPr>
        <w:pStyle w:val="21"/>
        <w:spacing w:line="580" w:lineRule="exact"/>
        <w:ind w:left="278" w:leftChars="116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3.质疑、投诉中的暂停和恢复暂停的规则有哪些?</w:t>
      </w:r>
    </w:p>
    <w:p>
      <w:pPr>
        <w:pStyle w:val="21"/>
        <w:spacing w:line="580" w:lineRule="exact"/>
        <w:ind w:left="278" w:leftChars="116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4.财政部门对投诉的书面审查、调查取证、质证、检验、鉴定；</w:t>
      </w:r>
    </w:p>
    <w:p>
      <w:pPr>
        <w:pStyle w:val="21"/>
        <w:spacing w:line="580" w:lineRule="exact"/>
        <w:ind w:left="278" w:leftChars="116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5.投诉处理决定书一般应当包含的内容及送达和公告；</w:t>
      </w:r>
    </w:p>
    <w:p>
      <w:pPr>
        <w:pStyle w:val="2"/>
        <w:ind w:left="0" w:leftChars="0" w:firstLine="560" w:firstLineChars="200"/>
      </w:pPr>
      <w:r>
        <w:rPr>
          <w:rFonts w:hint="eastAsia" w:hAnsi="仿宋" w:cs="仿宋"/>
          <w:sz w:val="28"/>
          <w:szCs w:val="28"/>
        </w:rPr>
        <w:t>6.招标采购争议中行政复议和行政诉讼区别与联系。</w:t>
      </w:r>
    </w:p>
    <w:p>
      <w:pPr>
        <w:pStyle w:val="2"/>
        <w:ind w:firstLine="480"/>
      </w:pPr>
    </w:p>
    <w:p>
      <w:pPr>
        <w:pStyle w:val="2"/>
        <w:rPr>
          <w:rFonts w:hint="eastAsia" w:ascii="仿宋" w:hAnsi="仿宋" w:eastAsia="仿宋"/>
          <w:color w:val="000000"/>
          <w:sz w:val="28"/>
          <w:szCs w:val="28"/>
        </w:rPr>
      </w:pPr>
    </w:p>
    <w:sectPr>
      <w:footerReference r:id="rId4" w:type="default"/>
      <w:pgSz w:w="11900" w:h="16840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libri Light">
    <w:altName w:val="PMingLiU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ongti SC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1YTllOTdlYzdkY2M0Zjk0NGM4M2ZmMDI0ZDQ0YTYifQ=="/>
  </w:docVars>
  <w:rsids>
    <w:rsidRoot w:val="008F0933"/>
    <w:rsid w:val="000035DE"/>
    <w:rsid w:val="0000425B"/>
    <w:rsid w:val="000073E1"/>
    <w:rsid w:val="000224B8"/>
    <w:rsid w:val="00024149"/>
    <w:rsid w:val="000242DC"/>
    <w:rsid w:val="000370E0"/>
    <w:rsid w:val="00041C2C"/>
    <w:rsid w:val="0004570B"/>
    <w:rsid w:val="0004593C"/>
    <w:rsid w:val="00050FFD"/>
    <w:rsid w:val="00066792"/>
    <w:rsid w:val="0007059C"/>
    <w:rsid w:val="00073740"/>
    <w:rsid w:val="00074A3E"/>
    <w:rsid w:val="00081969"/>
    <w:rsid w:val="00084B81"/>
    <w:rsid w:val="00091037"/>
    <w:rsid w:val="00094EEE"/>
    <w:rsid w:val="000A1DE1"/>
    <w:rsid w:val="000C0835"/>
    <w:rsid w:val="000C756C"/>
    <w:rsid w:val="000E1E2A"/>
    <w:rsid w:val="000E6FB0"/>
    <w:rsid w:val="000F1207"/>
    <w:rsid w:val="00100111"/>
    <w:rsid w:val="00102E25"/>
    <w:rsid w:val="00104C91"/>
    <w:rsid w:val="00116D3A"/>
    <w:rsid w:val="001230DB"/>
    <w:rsid w:val="001322CC"/>
    <w:rsid w:val="00133050"/>
    <w:rsid w:val="00143F97"/>
    <w:rsid w:val="00145451"/>
    <w:rsid w:val="00155382"/>
    <w:rsid w:val="00157968"/>
    <w:rsid w:val="00160190"/>
    <w:rsid w:val="00170E5C"/>
    <w:rsid w:val="00172BD7"/>
    <w:rsid w:val="00175C48"/>
    <w:rsid w:val="0018707A"/>
    <w:rsid w:val="00187DD1"/>
    <w:rsid w:val="00195DD7"/>
    <w:rsid w:val="00197FF2"/>
    <w:rsid w:val="001A58CE"/>
    <w:rsid w:val="001A7C8D"/>
    <w:rsid w:val="001B1B86"/>
    <w:rsid w:val="001C1FCC"/>
    <w:rsid w:val="001C38A4"/>
    <w:rsid w:val="001E0D88"/>
    <w:rsid w:val="001E157C"/>
    <w:rsid w:val="001E1C86"/>
    <w:rsid w:val="001E50BA"/>
    <w:rsid w:val="001F2E31"/>
    <w:rsid w:val="001F31BB"/>
    <w:rsid w:val="00201131"/>
    <w:rsid w:val="00204EC1"/>
    <w:rsid w:val="002106C3"/>
    <w:rsid w:val="0021598A"/>
    <w:rsid w:val="00216BAB"/>
    <w:rsid w:val="00223ED4"/>
    <w:rsid w:val="00224843"/>
    <w:rsid w:val="00245F9E"/>
    <w:rsid w:val="00253743"/>
    <w:rsid w:val="002539D4"/>
    <w:rsid w:val="00255AEB"/>
    <w:rsid w:val="00262B55"/>
    <w:rsid w:val="00266707"/>
    <w:rsid w:val="00266CC8"/>
    <w:rsid w:val="00272CAF"/>
    <w:rsid w:val="002755B9"/>
    <w:rsid w:val="00280EB1"/>
    <w:rsid w:val="00282BAC"/>
    <w:rsid w:val="002A1186"/>
    <w:rsid w:val="002A4713"/>
    <w:rsid w:val="002B063A"/>
    <w:rsid w:val="002B2646"/>
    <w:rsid w:val="002B7B35"/>
    <w:rsid w:val="002B7B85"/>
    <w:rsid w:val="002C0350"/>
    <w:rsid w:val="002C18DC"/>
    <w:rsid w:val="002C6102"/>
    <w:rsid w:val="002D0CEB"/>
    <w:rsid w:val="002D3E31"/>
    <w:rsid w:val="002D49C7"/>
    <w:rsid w:val="002E2930"/>
    <w:rsid w:val="002E3200"/>
    <w:rsid w:val="002E388D"/>
    <w:rsid w:val="002F0342"/>
    <w:rsid w:val="002F4FDF"/>
    <w:rsid w:val="002F7AF4"/>
    <w:rsid w:val="002F7CEF"/>
    <w:rsid w:val="003033B6"/>
    <w:rsid w:val="0030656D"/>
    <w:rsid w:val="00311453"/>
    <w:rsid w:val="00312E34"/>
    <w:rsid w:val="003164A4"/>
    <w:rsid w:val="00317B7D"/>
    <w:rsid w:val="0032302E"/>
    <w:rsid w:val="00325841"/>
    <w:rsid w:val="00334132"/>
    <w:rsid w:val="00334732"/>
    <w:rsid w:val="00334886"/>
    <w:rsid w:val="0034061F"/>
    <w:rsid w:val="00352A7F"/>
    <w:rsid w:val="0035703D"/>
    <w:rsid w:val="0036645A"/>
    <w:rsid w:val="0036711E"/>
    <w:rsid w:val="00371BD3"/>
    <w:rsid w:val="00377850"/>
    <w:rsid w:val="00386885"/>
    <w:rsid w:val="00386C77"/>
    <w:rsid w:val="00390914"/>
    <w:rsid w:val="003920CA"/>
    <w:rsid w:val="003A2489"/>
    <w:rsid w:val="003A3E66"/>
    <w:rsid w:val="003B1C4B"/>
    <w:rsid w:val="003B445E"/>
    <w:rsid w:val="003D2BC7"/>
    <w:rsid w:val="003D4187"/>
    <w:rsid w:val="003D7CB0"/>
    <w:rsid w:val="003E12F1"/>
    <w:rsid w:val="003E7A2A"/>
    <w:rsid w:val="003F649A"/>
    <w:rsid w:val="004007F9"/>
    <w:rsid w:val="004070B1"/>
    <w:rsid w:val="00407C4A"/>
    <w:rsid w:val="004122B2"/>
    <w:rsid w:val="00414A7A"/>
    <w:rsid w:val="00422160"/>
    <w:rsid w:val="00447C74"/>
    <w:rsid w:val="004510D9"/>
    <w:rsid w:val="00452CB0"/>
    <w:rsid w:val="00466106"/>
    <w:rsid w:val="004807DC"/>
    <w:rsid w:val="00481C10"/>
    <w:rsid w:val="00484BD9"/>
    <w:rsid w:val="00484FF7"/>
    <w:rsid w:val="00486FDF"/>
    <w:rsid w:val="00487562"/>
    <w:rsid w:val="00490C5C"/>
    <w:rsid w:val="00492407"/>
    <w:rsid w:val="00492599"/>
    <w:rsid w:val="00492E8A"/>
    <w:rsid w:val="0049372A"/>
    <w:rsid w:val="004A5C06"/>
    <w:rsid w:val="004A5EA1"/>
    <w:rsid w:val="004A6ED4"/>
    <w:rsid w:val="004B480E"/>
    <w:rsid w:val="004D3374"/>
    <w:rsid w:val="004D43E8"/>
    <w:rsid w:val="004D4CD5"/>
    <w:rsid w:val="004D707F"/>
    <w:rsid w:val="004E3DEF"/>
    <w:rsid w:val="004E5017"/>
    <w:rsid w:val="004E5611"/>
    <w:rsid w:val="004E7518"/>
    <w:rsid w:val="004E79E1"/>
    <w:rsid w:val="0050111A"/>
    <w:rsid w:val="00501500"/>
    <w:rsid w:val="0050188E"/>
    <w:rsid w:val="00505FB6"/>
    <w:rsid w:val="00510F38"/>
    <w:rsid w:val="005149B4"/>
    <w:rsid w:val="0052307A"/>
    <w:rsid w:val="00523825"/>
    <w:rsid w:val="005303AA"/>
    <w:rsid w:val="00532001"/>
    <w:rsid w:val="0053684C"/>
    <w:rsid w:val="005434CD"/>
    <w:rsid w:val="00544B1C"/>
    <w:rsid w:val="00573C78"/>
    <w:rsid w:val="00576A8B"/>
    <w:rsid w:val="00577210"/>
    <w:rsid w:val="00587F2E"/>
    <w:rsid w:val="005963A7"/>
    <w:rsid w:val="005A7D11"/>
    <w:rsid w:val="005B2A1C"/>
    <w:rsid w:val="005B4709"/>
    <w:rsid w:val="005B5376"/>
    <w:rsid w:val="005C13D3"/>
    <w:rsid w:val="005C2E68"/>
    <w:rsid w:val="005C5A5F"/>
    <w:rsid w:val="005C76FF"/>
    <w:rsid w:val="005D3779"/>
    <w:rsid w:val="005E6439"/>
    <w:rsid w:val="005F09E1"/>
    <w:rsid w:val="00604BFE"/>
    <w:rsid w:val="006103D5"/>
    <w:rsid w:val="00610C81"/>
    <w:rsid w:val="00614B79"/>
    <w:rsid w:val="006328B9"/>
    <w:rsid w:val="0063679B"/>
    <w:rsid w:val="00643FBF"/>
    <w:rsid w:val="00651724"/>
    <w:rsid w:val="00660032"/>
    <w:rsid w:val="006701B2"/>
    <w:rsid w:val="00673707"/>
    <w:rsid w:val="0068469D"/>
    <w:rsid w:val="00686505"/>
    <w:rsid w:val="006B7BED"/>
    <w:rsid w:val="006B7D95"/>
    <w:rsid w:val="006C0FE5"/>
    <w:rsid w:val="006C510E"/>
    <w:rsid w:val="006D0496"/>
    <w:rsid w:val="006D0AAA"/>
    <w:rsid w:val="006D56F1"/>
    <w:rsid w:val="006F0D62"/>
    <w:rsid w:val="006F764C"/>
    <w:rsid w:val="0070126E"/>
    <w:rsid w:val="007038B5"/>
    <w:rsid w:val="00711341"/>
    <w:rsid w:val="00711DBE"/>
    <w:rsid w:val="007144C5"/>
    <w:rsid w:val="007308EC"/>
    <w:rsid w:val="00732F15"/>
    <w:rsid w:val="0073388E"/>
    <w:rsid w:val="00734C8A"/>
    <w:rsid w:val="00782CBC"/>
    <w:rsid w:val="00790163"/>
    <w:rsid w:val="007B0CF4"/>
    <w:rsid w:val="007C1AF0"/>
    <w:rsid w:val="007C21BA"/>
    <w:rsid w:val="007D408B"/>
    <w:rsid w:val="007D4561"/>
    <w:rsid w:val="007E2E48"/>
    <w:rsid w:val="007E5724"/>
    <w:rsid w:val="007F7DD9"/>
    <w:rsid w:val="008045EF"/>
    <w:rsid w:val="00805108"/>
    <w:rsid w:val="00805AAC"/>
    <w:rsid w:val="00806EE5"/>
    <w:rsid w:val="00810456"/>
    <w:rsid w:val="00813FB1"/>
    <w:rsid w:val="00815877"/>
    <w:rsid w:val="00815AE5"/>
    <w:rsid w:val="00817CDC"/>
    <w:rsid w:val="008233D0"/>
    <w:rsid w:val="00837D34"/>
    <w:rsid w:val="00842670"/>
    <w:rsid w:val="008478BB"/>
    <w:rsid w:val="0086178C"/>
    <w:rsid w:val="008630C0"/>
    <w:rsid w:val="0086354D"/>
    <w:rsid w:val="00865EBC"/>
    <w:rsid w:val="00866D91"/>
    <w:rsid w:val="00866E30"/>
    <w:rsid w:val="0087038E"/>
    <w:rsid w:val="00884B17"/>
    <w:rsid w:val="008A1F1A"/>
    <w:rsid w:val="008A3D63"/>
    <w:rsid w:val="008B1ED3"/>
    <w:rsid w:val="008B4094"/>
    <w:rsid w:val="008C07F9"/>
    <w:rsid w:val="008C36DC"/>
    <w:rsid w:val="008D2450"/>
    <w:rsid w:val="008D6E3B"/>
    <w:rsid w:val="008E501B"/>
    <w:rsid w:val="008E65E6"/>
    <w:rsid w:val="008F08EC"/>
    <w:rsid w:val="008F0933"/>
    <w:rsid w:val="00915151"/>
    <w:rsid w:val="00920675"/>
    <w:rsid w:val="00933362"/>
    <w:rsid w:val="009450EC"/>
    <w:rsid w:val="00954516"/>
    <w:rsid w:val="009573F9"/>
    <w:rsid w:val="00957669"/>
    <w:rsid w:val="00967A91"/>
    <w:rsid w:val="0097396C"/>
    <w:rsid w:val="00975409"/>
    <w:rsid w:val="00981406"/>
    <w:rsid w:val="00981CBF"/>
    <w:rsid w:val="009912BD"/>
    <w:rsid w:val="0099140A"/>
    <w:rsid w:val="009B11AF"/>
    <w:rsid w:val="009B2CCE"/>
    <w:rsid w:val="009B49CD"/>
    <w:rsid w:val="009C0854"/>
    <w:rsid w:val="009D1710"/>
    <w:rsid w:val="009D51E6"/>
    <w:rsid w:val="009F3906"/>
    <w:rsid w:val="009F5FF9"/>
    <w:rsid w:val="00A01998"/>
    <w:rsid w:val="00A03C72"/>
    <w:rsid w:val="00A14326"/>
    <w:rsid w:val="00A14FA5"/>
    <w:rsid w:val="00A1675B"/>
    <w:rsid w:val="00A26597"/>
    <w:rsid w:val="00A2761C"/>
    <w:rsid w:val="00A33A36"/>
    <w:rsid w:val="00A33E46"/>
    <w:rsid w:val="00A4318A"/>
    <w:rsid w:val="00A64815"/>
    <w:rsid w:val="00A64849"/>
    <w:rsid w:val="00A657CB"/>
    <w:rsid w:val="00A66D5E"/>
    <w:rsid w:val="00A7385B"/>
    <w:rsid w:val="00A811AA"/>
    <w:rsid w:val="00A82FC5"/>
    <w:rsid w:val="00A9016B"/>
    <w:rsid w:val="00A908AF"/>
    <w:rsid w:val="00A9276A"/>
    <w:rsid w:val="00A938FD"/>
    <w:rsid w:val="00AA7C55"/>
    <w:rsid w:val="00AB0269"/>
    <w:rsid w:val="00AC082C"/>
    <w:rsid w:val="00AC0CE8"/>
    <w:rsid w:val="00AD19CE"/>
    <w:rsid w:val="00AD2A09"/>
    <w:rsid w:val="00AD3FAB"/>
    <w:rsid w:val="00AD47E1"/>
    <w:rsid w:val="00AD7383"/>
    <w:rsid w:val="00AE1B01"/>
    <w:rsid w:val="00AE4004"/>
    <w:rsid w:val="00AE6FF9"/>
    <w:rsid w:val="00AF0F13"/>
    <w:rsid w:val="00AF4451"/>
    <w:rsid w:val="00B02531"/>
    <w:rsid w:val="00B027C9"/>
    <w:rsid w:val="00B04F99"/>
    <w:rsid w:val="00B0522F"/>
    <w:rsid w:val="00B05E32"/>
    <w:rsid w:val="00B11AF3"/>
    <w:rsid w:val="00B14FBE"/>
    <w:rsid w:val="00B21AFB"/>
    <w:rsid w:val="00B239F0"/>
    <w:rsid w:val="00B3329E"/>
    <w:rsid w:val="00B34143"/>
    <w:rsid w:val="00B50F92"/>
    <w:rsid w:val="00B7368F"/>
    <w:rsid w:val="00B77B84"/>
    <w:rsid w:val="00B916A9"/>
    <w:rsid w:val="00B91A73"/>
    <w:rsid w:val="00B97004"/>
    <w:rsid w:val="00BA0DA4"/>
    <w:rsid w:val="00BA3EC4"/>
    <w:rsid w:val="00BA4B82"/>
    <w:rsid w:val="00BA6E07"/>
    <w:rsid w:val="00BA7964"/>
    <w:rsid w:val="00BB17CC"/>
    <w:rsid w:val="00BB1E84"/>
    <w:rsid w:val="00BB58AC"/>
    <w:rsid w:val="00BC211C"/>
    <w:rsid w:val="00BD1752"/>
    <w:rsid w:val="00BD416A"/>
    <w:rsid w:val="00BE7A93"/>
    <w:rsid w:val="00C00C52"/>
    <w:rsid w:val="00C00D18"/>
    <w:rsid w:val="00C06706"/>
    <w:rsid w:val="00C07364"/>
    <w:rsid w:val="00C11D3C"/>
    <w:rsid w:val="00C13BF4"/>
    <w:rsid w:val="00C15853"/>
    <w:rsid w:val="00C26352"/>
    <w:rsid w:val="00C30691"/>
    <w:rsid w:val="00C317D1"/>
    <w:rsid w:val="00C37C30"/>
    <w:rsid w:val="00C40403"/>
    <w:rsid w:val="00C43A2D"/>
    <w:rsid w:val="00C50476"/>
    <w:rsid w:val="00C5120D"/>
    <w:rsid w:val="00C518D1"/>
    <w:rsid w:val="00C6765A"/>
    <w:rsid w:val="00C750D3"/>
    <w:rsid w:val="00C8603C"/>
    <w:rsid w:val="00C86376"/>
    <w:rsid w:val="00C93431"/>
    <w:rsid w:val="00C95544"/>
    <w:rsid w:val="00CA4E93"/>
    <w:rsid w:val="00CB1766"/>
    <w:rsid w:val="00CB30E8"/>
    <w:rsid w:val="00CC17A9"/>
    <w:rsid w:val="00CC2C2E"/>
    <w:rsid w:val="00CC584E"/>
    <w:rsid w:val="00CC587D"/>
    <w:rsid w:val="00CC7D33"/>
    <w:rsid w:val="00CD1742"/>
    <w:rsid w:val="00CD5255"/>
    <w:rsid w:val="00CD7254"/>
    <w:rsid w:val="00CE06E1"/>
    <w:rsid w:val="00CE5C2A"/>
    <w:rsid w:val="00CF4C20"/>
    <w:rsid w:val="00CF6832"/>
    <w:rsid w:val="00D2054F"/>
    <w:rsid w:val="00D20733"/>
    <w:rsid w:val="00D258A1"/>
    <w:rsid w:val="00D26B22"/>
    <w:rsid w:val="00D26DE1"/>
    <w:rsid w:val="00D35843"/>
    <w:rsid w:val="00D50920"/>
    <w:rsid w:val="00D53266"/>
    <w:rsid w:val="00D548A6"/>
    <w:rsid w:val="00D6039B"/>
    <w:rsid w:val="00D624FC"/>
    <w:rsid w:val="00D62FD8"/>
    <w:rsid w:val="00D63D46"/>
    <w:rsid w:val="00D640B0"/>
    <w:rsid w:val="00D64DE6"/>
    <w:rsid w:val="00D70299"/>
    <w:rsid w:val="00D7508C"/>
    <w:rsid w:val="00D75DF2"/>
    <w:rsid w:val="00D77BDB"/>
    <w:rsid w:val="00D85175"/>
    <w:rsid w:val="00D85639"/>
    <w:rsid w:val="00D9088B"/>
    <w:rsid w:val="00D9225B"/>
    <w:rsid w:val="00D94665"/>
    <w:rsid w:val="00DA05EC"/>
    <w:rsid w:val="00DA2CD7"/>
    <w:rsid w:val="00DB4A2C"/>
    <w:rsid w:val="00DC2C38"/>
    <w:rsid w:val="00DD3F91"/>
    <w:rsid w:val="00DE0C5A"/>
    <w:rsid w:val="00DE66C1"/>
    <w:rsid w:val="00DF2A1B"/>
    <w:rsid w:val="00DF6069"/>
    <w:rsid w:val="00E13298"/>
    <w:rsid w:val="00E21913"/>
    <w:rsid w:val="00E22923"/>
    <w:rsid w:val="00E23D64"/>
    <w:rsid w:val="00E36303"/>
    <w:rsid w:val="00E40EFF"/>
    <w:rsid w:val="00E411E7"/>
    <w:rsid w:val="00E41E6E"/>
    <w:rsid w:val="00E45749"/>
    <w:rsid w:val="00E50740"/>
    <w:rsid w:val="00E536CF"/>
    <w:rsid w:val="00E63EAE"/>
    <w:rsid w:val="00E713E7"/>
    <w:rsid w:val="00E734B3"/>
    <w:rsid w:val="00E86713"/>
    <w:rsid w:val="00E87AF3"/>
    <w:rsid w:val="00E91B46"/>
    <w:rsid w:val="00E9227A"/>
    <w:rsid w:val="00E93C49"/>
    <w:rsid w:val="00EA0E97"/>
    <w:rsid w:val="00EA1FAA"/>
    <w:rsid w:val="00EB4531"/>
    <w:rsid w:val="00EC0E5C"/>
    <w:rsid w:val="00ED4B4D"/>
    <w:rsid w:val="00EE0362"/>
    <w:rsid w:val="00EE0DD6"/>
    <w:rsid w:val="00EE63BA"/>
    <w:rsid w:val="00EF1052"/>
    <w:rsid w:val="00F02799"/>
    <w:rsid w:val="00F02BA4"/>
    <w:rsid w:val="00F0626F"/>
    <w:rsid w:val="00F11A09"/>
    <w:rsid w:val="00F11A48"/>
    <w:rsid w:val="00F13DDF"/>
    <w:rsid w:val="00F23310"/>
    <w:rsid w:val="00F2739C"/>
    <w:rsid w:val="00F32291"/>
    <w:rsid w:val="00F32AB7"/>
    <w:rsid w:val="00F32F4F"/>
    <w:rsid w:val="00F35BC3"/>
    <w:rsid w:val="00F44D93"/>
    <w:rsid w:val="00F46DB7"/>
    <w:rsid w:val="00F53E35"/>
    <w:rsid w:val="00F6001D"/>
    <w:rsid w:val="00F600A1"/>
    <w:rsid w:val="00F65AE1"/>
    <w:rsid w:val="00F71275"/>
    <w:rsid w:val="00F71C26"/>
    <w:rsid w:val="00F737C4"/>
    <w:rsid w:val="00F7662C"/>
    <w:rsid w:val="00F82E54"/>
    <w:rsid w:val="00F848B5"/>
    <w:rsid w:val="00F84E9C"/>
    <w:rsid w:val="00F92497"/>
    <w:rsid w:val="00FC3F62"/>
    <w:rsid w:val="00FC756B"/>
    <w:rsid w:val="00FE293F"/>
    <w:rsid w:val="00FE4C92"/>
    <w:rsid w:val="00FE6851"/>
    <w:rsid w:val="00FF77E0"/>
    <w:rsid w:val="015956FE"/>
    <w:rsid w:val="017460A8"/>
    <w:rsid w:val="02873BB9"/>
    <w:rsid w:val="028F51D7"/>
    <w:rsid w:val="0378667E"/>
    <w:rsid w:val="0518356C"/>
    <w:rsid w:val="05277C2C"/>
    <w:rsid w:val="05A54A82"/>
    <w:rsid w:val="06450651"/>
    <w:rsid w:val="069E15FD"/>
    <w:rsid w:val="069E30CF"/>
    <w:rsid w:val="07484670"/>
    <w:rsid w:val="09385C0D"/>
    <w:rsid w:val="0A4B03CF"/>
    <w:rsid w:val="0B892FE6"/>
    <w:rsid w:val="0CAA62AB"/>
    <w:rsid w:val="0E2055ED"/>
    <w:rsid w:val="0F256C33"/>
    <w:rsid w:val="0FC1719B"/>
    <w:rsid w:val="10790FE5"/>
    <w:rsid w:val="10993435"/>
    <w:rsid w:val="1102722C"/>
    <w:rsid w:val="119E778B"/>
    <w:rsid w:val="12614426"/>
    <w:rsid w:val="16591862"/>
    <w:rsid w:val="16743D1F"/>
    <w:rsid w:val="17EA0A1A"/>
    <w:rsid w:val="17FB51DC"/>
    <w:rsid w:val="18932E60"/>
    <w:rsid w:val="19095701"/>
    <w:rsid w:val="1AC437A4"/>
    <w:rsid w:val="1BDC68CC"/>
    <w:rsid w:val="1F4B6242"/>
    <w:rsid w:val="1FEE524F"/>
    <w:rsid w:val="20191E9C"/>
    <w:rsid w:val="20857532"/>
    <w:rsid w:val="217F21D3"/>
    <w:rsid w:val="21E9166C"/>
    <w:rsid w:val="2345403D"/>
    <w:rsid w:val="23E0372A"/>
    <w:rsid w:val="245636BF"/>
    <w:rsid w:val="245C4A4D"/>
    <w:rsid w:val="26020039"/>
    <w:rsid w:val="2823522D"/>
    <w:rsid w:val="28AF15F0"/>
    <w:rsid w:val="29423AAF"/>
    <w:rsid w:val="296E7C07"/>
    <w:rsid w:val="2AC1385C"/>
    <w:rsid w:val="2C210A56"/>
    <w:rsid w:val="2E6D1E7B"/>
    <w:rsid w:val="30674881"/>
    <w:rsid w:val="30930820"/>
    <w:rsid w:val="316A4D77"/>
    <w:rsid w:val="32AB72CC"/>
    <w:rsid w:val="33A95802"/>
    <w:rsid w:val="349873A0"/>
    <w:rsid w:val="35E8370A"/>
    <w:rsid w:val="360D5BA8"/>
    <w:rsid w:val="36965B9D"/>
    <w:rsid w:val="387152EF"/>
    <w:rsid w:val="39216160"/>
    <w:rsid w:val="394338DF"/>
    <w:rsid w:val="39A25466"/>
    <w:rsid w:val="39C80763"/>
    <w:rsid w:val="3A296D28"/>
    <w:rsid w:val="3AA34D2C"/>
    <w:rsid w:val="3BA8306E"/>
    <w:rsid w:val="3BF33A92"/>
    <w:rsid w:val="3C1C6B44"/>
    <w:rsid w:val="3E715F3C"/>
    <w:rsid w:val="3EDE27D7"/>
    <w:rsid w:val="425F59DD"/>
    <w:rsid w:val="43486471"/>
    <w:rsid w:val="440C56F0"/>
    <w:rsid w:val="449A365F"/>
    <w:rsid w:val="46AD6644"/>
    <w:rsid w:val="478657BA"/>
    <w:rsid w:val="49646EA8"/>
    <w:rsid w:val="49E52C6C"/>
    <w:rsid w:val="49F17862"/>
    <w:rsid w:val="4C4579F1"/>
    <w:rsid w:val="4CF924A1"/>
    <w:rsid w:val="4DA04ECB"/>
    <w:rsid w:val="4DB0533F"/>
    <w:rsid w:val="4E7718A9"/>
    <w:rsid w:val="4ED11A10"/>
    <w:rsid w:val="506863A4"/>
    <w:rsid w:val="50A25CD8"/>
    <w:rsid w:val="51B76A3F"/>
    <w:rsid w:val="51D6177B"/>
    <w:rsid w:val="54CB6472"/>
    <w:rsid w:val="56484A62"/>
    <w:rsid w:val="56C60C5D"/>
    <w:rsid w:val="598C4EB2"/>
    <w:rsid w:val="5A0F163F"/>
    <w:rsid w:val="5ACB1A0A"/>
    <w:rsid w:val="5B0B0058"/>
    <w:rsid w:val="5B7A65FB"/>
    <w:rsid w:val="5BD50752"/>
    <w:rsid w:val="5E420235"/>
    <w:rsid w:val="5E983C45"/>
    <w:rsid w:val="5EE07B57"/>
    <w:rsid w:val="5F27742B"/>
    <w:rsid w:val="5F9E3FD8"/>
    <w:rsid w:val="615D7C5D"/>
    <w:rsid w:val="6300421A"/>
    <w:rsid w:val="648B3FB8"/>
    <w:rsid w:val="65183A9D"/>
    <w:rsid w:val="67F325A0"/>
    <w:rsid w:val="68075CF6"/>
    <w:rsid w:val="69252C2D"/>
    <w:rsid w:val="6B2A6712"/>
    <w:rsid w:val="6B955928"/>
    <w:rsid w:val="6BF96400"/>
    <w:rsid w:val="6F8C7562"/>
    <w:rsid w:val="6FD43436"/>
    <w:rsid w:val="717A163C"/>
    <w:rsid w:val="727D38B6"/>
    <w:rsid w:val="729D1A86"/>
    <w:rsid w:val="730C2768"/>
    <w:rsid w:val="74932EF6"/>
    <w:rsid w:val="74AA2238"/>
    <w:rsid w:val="75414CCA"/>
    <w:rsid w:val="75955ED4"/>
    <w:rsid w:val="75C02698"/>
    <w:rsid w:val="75EA05A1"/>
    <w:rsid w:val="760F44F8"/>
    <w:rsid w:val="791800B8"/>
    <w:rsid w:val="7A6C06BC"/>
    <w:rsid w:val="7AD1051F"/>
    <w:rsid w:val="7B1448AF"/>
    <w:rsid w:val="7B8B20F6"/>
    <w:rsid w:val="7BDF6C6B"/>
    <w:rsid w:val="7C2A5B50"/>
    <w:rsid w:val="7D062CA1"/>
    <w:rsid w:val="7E33329E"/>
    <w:rsid w:val="7E6416AA"/>
    <w:rsid w:val="7F062761"/>
    <w:rsid w:val="7F0E6F84"/>
    <w:rsid w:val="7FBD72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jc w:val="center"/>
      <w:outlineLvl w:val="0"/>
    </w:pPr>
    <w:rPr>
      <w:rFonts w:eastAsia="楷体_GB2312"/>
      <w:sz w:val="28"/>
      <w:szCs w:val="20"/>
    </w:rPr>
  </w:style>
  <w:style w:type="paragraph" w:styleId="5">
    <w:name w:val="heading 2"/>
    <w:basedOn w:val="1"/>
    <w:next w:val="1"/>
    <w:link w:val="2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-1440"/>
      </w:tabs>
      <w:ind w:firstLine="420"/>
    </w:pPr>
  </w:style>
  <w:style w:type="paragraph" w:styleId="3">
    <w:name w:val="Body Text Indent"/>
    <w:basedOn w:val="1"/>
    <w:qFormat/>
    <w:uiPriority w:val="0"/>
    <w:pPr>
      <w:tabs>
        <w:tab w:val="left" w:pos="-1440"/>
      </w:tabs>
      <w:spacing w:line="360" w:lineRule="auto"/>
      <w:ind w:left="176" w:firstLine="200" w:firstLineChars="200"/>
    </w:pPr>
    <w:rPr>
      <w:rFonts w:ascii="仿宋" w:hAnsi="Times New Roman" w:eastAsia="仿宋"/>
      <w:sz w:val="24"/>
    </w:rPr>
  </w:style>
  <w:style w:type="paragraph" w:styleId="6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Emphasis"/>
    <w:basedOn w:val="13"/>
    <w:qFormat/>
    <w:uiPriority w:val="20"/>
    <w:rPr>
      <w:i/>
    </w:rPr>
  </w:style>
  <w:style w:type="character" w:styleId="16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8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styleId="2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正文 A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23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批注框文本 字符"/>
    <w:basedOn w:val="13"/>
    <w:link w:val="7"/>
    <w:semiHidden/>
    <w:qFormat/>
    <w:uiPriority w:val="99"/>
    <w:rPr>
      <w:rFonts w:asciiTheme="minorHAnsi" w:hAnsiTheme="minorHAnsi" w:cstheme="minorBidi"/>
      <w:kern w:val="2"/>
      <w:sz w:val="18"/>
      <w:szCs w:val="18"/>
    </w:rPr>
  </w:style>
  <w:style w:type="character" w:customStyle="1" w:styleId="25">
    <w:name w:val="批注文字 字符"/>
    <w:basedOn w:val="13"/>
    <w:link w:val="6"/>
    <w:semiHidden/>
    <w:qFormat/>
    <w:uiPriority w:val="99"/>
    <w:rPr>
      <w:rFonts w:asciiTheme="minorHAnsi" w:hAnsiTheme="minorHAnsi" w:cstheme="minorBidi"/>
      <w:kern w:val="2"/>
      <w:sz w:val="24"/>
      <w:szCs w:val="24"/>
    </w:rPr>
  </w:style>
  <w:style w:type="character" w:customStyle="1" w:styleId="26">
    <w:name w:val="未处理的提及2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28">
    <w:name w:val="标题 2 字符"/>
    <w:basedOn w:val="13"/>
    <w:link w:val="5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29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7EA884-B047-459C-8DE8-850F55B66C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1892</Words>
  <Characters>2028</Characters>
  <Lines>25</Lines>
  <Paragraphs>7</Paragraphs>
  <TotalTime>3</TotalTime>
  <ScaleCrop>false</ScaleCrop>
  <LinksUpToDate>false</LinksUpToDate>
  <CharactersWithSpaces>2105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2022-07-25T07:27:00Z</dcterms:created>
  <dc:creator>caoning</dc:creator>
  <cp:lastModifiedBy>聂红军</cp:lastModifiedBy>
  <cp:lastPrinted>2023-01-06T02:08:00Z</cp:lastPrinted>
  <dcterms:modified xsi:type="dcterms:W3CDTF">2023-04-05T07:55:13Z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DBB17E254BC84E95A5496A78B93BD30C</vt:lpwstr>
  </property>
</Properties>
</file>